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94" w:rsidRDefault="00201494" w:rsidP="008F242E">
      <w:pPr>
        <w:pStyle w:val="Header"/>
        <w:tabs>
          <w:tab w:val="left" w:pos="6000"/>
        </w:tabs>
        <w:spacing w:line="360" w:lineRule="auto"/>
      </w:pPr>
      <w:r>
        <w:t xml:space="preserve">                                                                                                          PRITARTA </w:t>
      </w:r>
    </w:p>
    <w:p w:rsidR="00201494" w:rsidRDefault="00201494" w:rsidP="008F242E">
      <w:pPr>
        <w:pStyle w:val="Header"/>
        <w:tabs>
          <w:tab w:val="left" w:pos="6000"/>
        </w:tabs>
        <w:spacing w:line="360" w:lineRule="auto"/>
      </w:pPr>
      <w:r>
        <w:tab/>
        <w:t xml:space="preserve">                                                                                                          Prienų rajono savivaldybės tarybos</w:t>
      </w:r>
    </w:p>
    <w:p w:rsidR="00201494" w:rsidRDefault="00201494" w:rsidP="008F242E">
      <w:pPr>
        <w:pStyle w:val="Header"/>
        <w:tabs>
          <w:tab w:val="left" w:pos="6000"/>
        </w:tabs>
        <w:spacing w:line="360" w:lineRule="auto"/>
      </w:pPr>
      <w:r>
        <w:tab/>
        <w:t xml:space="preserve">                                                                                          2016 m. balandžio 28 d.</w:t>
      </w:r>
    </w:p>
    <w:p w:rsidR="00201494" w:rsidRDefault="00201494" w:rsidP="008F242E">
      <w:pPr>
        <w:pStyle w:val="Header"/>
        <w:tabs>
          <w:tab w:val="left" w:pos="6000"/>
        </w:tabs>
        <w:spacing w:line="360" w:lineRule="auto"/>
      </w:pPr>
      <w:r>
        <w:tab/>
        <w:t xml:space="preserve">                                                                                      sprendimu Nr. T3-79</w:t>
      </w:r>
    </w:p>
    <w:p w:rsidR="00201494" w:rsidRPr="008F242E" w:rsidRDefault="00201494" w:rsidP="008F242E">
      <w:pPr>
        <w:pStyle w:val="Default"/>
        <w:tabs>
          <w:tab w:val="left" w:pos="7230"/>
        </w:tabs>
        <w:spacing w:line="360" w:lineRule="auto"/>
        <w:jc w:val="right"/>
        <w:rPr>
          <w:b/>
          <w:color w:val="auto"/>
          <w:lang w:val="es-ES"/>
        </w:rPr>
      </w:pPr>
    </w:p>
    <w:p w:rsidR="00201494" w:rsidRPr="008F242E" w:rsidRDefault="00201494" w:rsidP="00045A53">
      <w:pPr>
        <w:pStyle w:val="Default"/>
        <w:tabs>
          <w:tab w:val="left" w:pos="7230"/>
        </w:tabs>
        <w:spacing w:line="360" w:lineRule="auto"/>
        <w:jc w:val="center"/>
        <w:rPr>
          <w:b/>
          <w:color w:val="auto"/>
          <w:lang w:val="es-ES"/>
        </w:rPr>
      </w:pPr>
      <w:r w:rsidRPr="008F242E">
        <w:rPr>
          <w:b/>
          <w:color w:val="auto"/>
          <w:lang w:val="es-ES"/>
        </w:rPr>
        <w:t xml:space="preserve">PRIENŲ ŠVIETIMO CENTRO DIREKTORĖS </w:t>
      </w:r>
    </w:p>
    <w:p w:rsidR="00201494" w:rsidRPr="007C0BB3" w:rsidRDefault="00201494" w:rsidP="00045A53">
      <w:pPr>
        <w:pStyle w:val="Default"/>
        <w:tabs>
          <w:tab w:val="left" w:pos="7230"/>
        </w:tabs>
        <w:spacing w:line="360" w:lineRule="auto"/>
        <w:jc w:val="center"/>
        <w:rPr>
          <w:b/>
          <w:color w:val="auto"/>
        </w:rPr>
      </w:pPr>
      <w:r>
        <w:rPr>
          <w:b/>
          <w:color w:val="auto"/>
        </w:rPr>
        <w:t>DANUTĖS STANKEVIČIENĖS</w:t>
      </w:r>
    </w:p>
    <w:p w:rsidR="00201494" w:rsidRPr="007C0BB3" w:rsidRDefault="00201494" w:rsidP="00045A53">
      <w:pPr>
        <w:pStyle w:val="Default"/>
        <w:spacing w:line="360" w:lineRule="auto"/>
        <w:jc w:val="center"/>
        <w:rPr>
          <w:b/>
          <w:color w:val="auto"/>
        </w:rPr>
      </w:pPr>
      <w:r w:rsidRPr="007C0BB3">
        <w:rPr>
          <w:b/>
          <w:color w:val="auto"/>
        </w:rPr>
        <w:t>2015 METŲ VEIKLOS ATASKAITA</w:t>
      </w:r>
    </w:p>
    <w:p w:rsidR="00201494" w:rsidRPr="007C0BB3" w:rsidRDefault="00201494" w:rsidP="00045A53">
      <w:pPr>
        <w:pStyle w:val="Default"/>
        <w:spacing w:line="360" w:lineRule="auto"/>
        <w:jc w:val="center"/>
        <w:rPr>
          <w:b/>
          <w:color w:val="FF0000"/>
        </w:rPr>
      </w:pPr>
    </w:p>
    <w:p w:rsidR="00201494" w:rsidRPr="007C0BB3" w:rsidRDefault="00201494" w:rsidP="00E87A93">
      <w:pPr>
        <w:pStyle w:val="Default"/>
        <w:spacing w:line="360" w:lineRule="auto"/>
        <w:ind w:firstLine="1080"/>
        <w:jc w:val="both"/>
        <w:rPr>
          <w:b/>
          <w:color w:val="auto"/>
          <w:lang w:val="lt-LT"/>
        </w:rPr>
      </w:pPr>
      <w:r w:rsidRPr="007C0BB3">
        <w:rPr>
          <w:b/>
          <w:color w:val="auto"/>
          <w:lang w:val="lt-LT"/>
        </w:rPr>
        <w:t>I. Trumpa informacija apie įstaigą.</w:t>
      </w:r>
    </w:p>
    <w:p w:rsidR="00201494" w:rsidRPr="00964CF2" w:rsidRDefault="00201494" w:rsidP="00CA6D24">
      <w:pPr>
        <w:pStyle w:val="Default"/>
        <w:spacing w:line="360" w:lineRule="auto"/>
        <w:ind w:firstLine="1080"/>
        <w:rPr>
          <w:color w:val="auto"/>
          <w:u w:val="single"/>
          <w:lang w:val="lt-LT"/>
        </w:rPr>
      </w:pPr>
      <w:r w:rsidRPr="00CA6D24">
        <w:rPr>
          <w:color w:val="auto"/>
          <w:lang w:val="lt-LT"/>
        </w:rPr>
        <w:t xml:space="preserve">Prienų švietimo centras (toliau Centras) - J. Brundzos  g. 12 A,  LT-59127, Prienai, tel./faks. (8 319 52081 el. p. svietimocentras@prienai.lt; </w:t>
      </w:r>
      <w:hyperlink r:id="rId6" w:history="1">
        <w:r w:rsidRPr="00CA6D24">
          <w:rPr>
            <w:rStyle w:val="Hyperlink"/>
            <w:color w:val="auto"/>
            <w:lang w:val="lt-LT"/>
          </w:rPr>
          <w:t>www.svietimocentras.prienai.lm.lt</w:t>
        </w:r>
      </w:hyperlink>
    </w:p>
    <w:p w:rsidR="00201494" w:rsidRPr="00CA6D24" w:rsidRDefault="00201494" w:rsidP="00045A53">
      <w:pPr>
        <w:pStyle w:val="Default"/>
        <w:spacing w:line="360" w:lineRule="auto"/>
        <w:ind w:firstLine="1080"/>
        <w:jc w:val="both"/>
        <w:rPr>
          <w:color w:val="auto"/>
          <w:u w:val="single"/>
          <w:lang w:val="lt-LT"/>
        </w:rPr>
      </w:pPr>
      <w:r w:rsidRPr="00CA6D24">
        <w:rPr>
          <w:color w:val="auto"/>
          <w:u w:val="single"/>
          <w:lang w:val="lt-LT"/>
        </w:rPr>
        <w:t>Centras įsteigtas – 2004-07-01</w:t>
      </w:r>
    </w:p>
    <w:p w:rsidR="00201494" w:rsidRPr="00CA6D24" w:rsidRDefault="00201494" w:rsidP="00045A53">
      <w:pPr>
        <w:pStyle w:val="Default"/>
        <w:spacing w:line="360" w:lineRule="auto"/>
        <w:ind w:firstLine="1080"/>
        <w:jc w:val="both"/>
        <w:rPr>
          <w:color w:val="auto"/>
          <w:lang w:val="pt-BR"/>
        </w:rPr>
      </w:pPr>
      <w:r w:rsidRPr="00CA6D24">
        <w:rPr>
          <w:color w:val="auto"/>
          <w:lang w:val="lt-LT"/>
        </w:rPr>
        <w:t>Centro pagrindinė paskirtis – švietimo pagalbos teikimas.</w:t>
      </w:r>
    </w:p>
    <w:p w:rsidR="00201494" w:rsidRDefault="00201494" w:rsidP="00045A53">
      <w:pPr>
        <w:pStyle w:val="Default"/>
        <w:spacing w:line="360" w:lineRule="auto"/>
        <w:ind w:firstLine="1080"/>
        <w:jc w:val="both"/>
        <w:rPr>
          <w:color w:val="auto"/>
          <w:lang w:val="pt-BR"/>
        </w:rPr>
      </w:pPr>
      <w:r w:rsidRPr="00CA6D24">
        <w:rPr>
          <w:color w:val="auto"/>
          <w:lang w:val="pt-BR"/>
        </w:rPr>
        <w:t xml:space="preserve">Centras – akredituota  institucija iki 2020  gegužės mėn. 7 d. (pažymėjimas AP Nr.076, išduotas vadovaujantis 2015-05-08  LR ŠMM įsak. Nr. ISAK-V-474). </w:t>
      </w:r>
    </w:p>
    <w:p w:rsidR="00201494" w:rsidRDefault="00201494" w:rsidP="00964CF2">
      <w:pPr>
        <w:pStyle w:val="Default"/>
        <w:spacing w:line="360" w:lineRule="auto"/>
        <w:ind w:firstLine="1080"/>
        <w:jc w:val="both"/>
        <w:rPr>
          <w:color w:val="auto"/>
          <w:lang w:val="lt-LT"/>
        </w:rPr>
      </w:pPr>
      <w:r>
        <w:rPr>
          <w:color w:val="auto"/>
          <w:lang w:val="lt-LT"/>
        </w:rPr>
        <w:t>Danutė Stankevičienė – Prienų švietimo centro direktorė, švietimo konsultantė –kvalifikacijos tobulinimo programų vertinimo ekspertė, švietimo lyderystės konsultantė, projektų administratorė. Vadybinio darbo stažas 28 metai,  išsilavinimas –VDU, edukologijos magistras.</w:t>
      </w:r>
    </w:p>
    <w:p w:rsidR="00201494" w:rsidRPr="00964CF2" w:rsidRDefault="00201494" w:rsidP="00045A53">
      <w:pPr>
        <w:pStyle w:val="Default"/>
        <w:spacing w:line="360" w:lineRule="auto"/>
        <w:ind w:firstLine="1080"/>
        <w:jc w:val="both"/>
        <w:rPr>
          <w:color w:val="auto"/>
          <w:lang w:val="lt-LT"/>
        </w:rPr>
      </w:pPr>
    </w:p>
    <w:p w:rsidR="00201494" w:rsidRDefault="00201494" w:rsidP="00CA6D24">
      <w:pPr>
        <w:spacing w:line="360" w:lineRule="auto"/>
        <w:ind w:firstLine="1080"/>
        <w:jc w:val="both"/>
        <w:rPr>
          <w:b/>
        </w:rPr>
      </w:pPr>
      <w:r>
        <w:rPr>
          <w:b/>
        </w:rPr>
        <w:t>Pagrindinės  Švietimo centro veiklos kryptys.</w:t>
      </w:r>
    </w:p>
    <w:p w:rsidR="00201494" w:rsidRDefault="00201494" w:rsidP="00CA6D24">
      <w:pPr>
        <w:spacing w:line="360" w:lineRule="auto"/>
        <w:ind w:firstLine="1080"/>
        <w:jc w:val="both"/>
      </w:pPr>
      <w:r>
        <w:t>1. Suaugusiųjų neformalusis  švietimas: vykdyti švietimo darbuotojų ir kitų suaugusiųjų kvalifikacijos tobulinimą(si), aktyvinti metodinę veiklą, padedančią švietimo darbuotojams tobulinti profesinį meistriškumą, skleisti pedagoginę patirtį.</w:t>
      </w:r>
    </w:p>
    <w:p w:rsidR="00201494" w:rsidRDefault="00201494" w:rsidP="00CA6D24">
      <w:pPr>
        <w:spacing w:line="360" w:lineRule="auto"/>
        <w:ind w:firstLine="1080"/>
        <w:jc w:val="both"/>
      </w:pPr>
      <w:r>
        <w:t>2. Neformalus vaikų švietimas: sudaryti sąlygas neformaliojo vaikų švietimo veiklai, gabių ir talentingų vaikų raiškai, koordinuoti vaikų ir jaunimo organizacijų veiklą rajone.</w:t>
      </w:r>
    </w:p>
    <w:p w:rsidR="00201494" w:rsidRDefault="00201494" w:rsidP="00CA6D24">
      <w:pPr>
        <w:spacing w:line="360" w:lineRule="auto"/>
        <w:ind w:firstLine="1080"/>
        <w:jc w:val="both"/>
      </w:pPr>
      <w:r>
        <w:t>3. Projektinė veikla: paraiškų ruošimas ir teikimas regioniniams, šalies ir tarptautiniams švietimo projektų konkursams, projektų administravimas.</w:t>
      </w:r>
    </w:p>
    <w:p w:rsidR="00201494" w:rsidRPr="00153ED2" w:rsidRDefault="00201494" w:rsidP="00045A53">
      <w:pPr>
        <w:pStyle w:val="Default"/>
        <w:spacing w:line="360" w:lineRule="auto"/>
        <w:ind w:firstLine="1080"/>
        <w:jc w:val="both"/>
        <w:rPr>
          <w:color w:val="FF0000"/>
          <w:u w:val="single"/>
          <w:lang w:val="lt-LT"/>
        </w:rPr>
      </w:pPr>
    </w:p>
    <w:p w:rsidR="00201494" w:rsidRPr="00BE193E" w:rsidRDefault="00201494" w:rsidP="00C37A60">
      <w:pPr>
        <w:spacing w:line="360" w:lineRule="auto"/>
        <w:jc w:val="center"/>
        <w:rPr>
          <w:b/>
        </w:rPr>
      </w:pPr>
      <w:r w:rsidRPr="00BE193E">
        <w:rPr>
          <w:b/>
        </w:rPr>
        <w:t>II. Vadovo išsikeltų uždavinių metams įgyvendinimas.</w:t>
      </w:r>
    </w:p>
    <w:p w:rsidR="00201494" w:rsidRPr="00BE193E" w:rsidRDefault="00201494" w:rsidP="00E87A93">
      <w:pPr>
        <w:spacing w:line="360" w:lineRule="auto"/>
        <w:jc w:val="both"/>
      </w:pPr>
      <w:r w:rsidRPr="00BE193E">
        <w:t>1. Projektinės veiklos bei edukacinio pat</w:t>
      </w:r>
      <w:r>
        <w:t>irties banko viešinimo galimybė</w:t>
      </w:r>
      <w:r w:rsidRPr="00BE193E">
        <w:t>s.</w:t>
      </w:r>
    </w:p>
    <w:p w:rsidR="00201494" w:rsidRPr="00BE193E" w:rsidRDefault="00201494" w:rsidP="00E87A93">
      <w:pPr>
        <w:spacing w:line="360" w:lineRule="auto"/>
        <w:jc w:val="both"/>
      </w:pPr>
      <w:r w:rsidRPr="00BE193E">
        <w:t>2. Kvalifikacijos tobulinimo renginių planavimas</w:t>
      </w:r>
      <w:r>
        <w:t>,</w:t>
      </w:r>
      <w:r w:rsidRPr="00BE193E">
        <w:t xml:space="preserve"> grįstas duomenimis, gautais analizuojant įgytos patirties ir žinių pritaikymo pamokose efektyvumą.</w:t>
      </w:r>
    </w:p>
    <w:p w:rsidR="00201494" w:rsidRPr="00640FFC" w:rsidRDefault="00201494" w:rsidP="00E87A93">
      <w:pPr>
        <w:spacing w:line="360" w:lineRule="auto"/>
        <w:jc w:val="both"/>
      </w:pPr>
      <w:r w:rsidRPr="00BE193E">
        <w:t xml:space="preserve">3. Paslaugų teikimas  nuotoliniu būdu, </w:t>
      </w:r>
      <w:r w:rsidRPr="00640FFC">
        <w:t>panaudojant atviro vaizdo konferencijų įrangą.</w:t>
      </w:r>
    </w:p>
    <w:p w:rsidR="00201494" w:rsidRDefault="00201494" w:rsidP="00E87A93">
      <w:pPr>
        <w:spacing w:line="360" w:lineRule="auto"/>
        <w:jc w:val="both"/>
      </w:pPr>
      <w:r w:rsidRPr="00640FFC">
        <w:t xml:space="preserve">              Vadovaujantis Centro nuostatais  projektin</w:t>
      </w:r>
      <w:r>
        <w:t>ė veikla yra viena iš priskirtųjų</w:t>
      </w:r>
      <w:r w:rsidRPr="00640FFC">
        <w:t xml:space="preserve"> funkcijų. Centras projektuose atlieka įvair</w:t>
      </w:r>
      <w:r>
        <w:t>ius vaidmenis – ir koordinatoriaus</w:t>
      </w:r>
      <w:r w:rsidRPr="00640FFC">
        <w:t xml:space="preserve">, </w:t>
      </w:r>
      <w:r>
        <w:t xml:space="preserve">ir </w:t>
      </w:r>
      <w:r w:rsidRPr="00640FFC">
        <w:t xml:space="preserve">partnerio, </w:t>
      </w:r>
      <w:r>
        <w:t xml:space="preserve">ir </w:t>
      </w:r>
      <w:r w:rsidRPr="00640FFC">
        <w:t>dalyvio</w:t>
      </w:r>
      <w:r>
        <w:t xml:space="preserve"> </w:t>
      </w:r>
      <w:r w:rsidRPr="00640FFC">
        <w:t>/</w:t>
      </w:r>
      <w:r>
        <w:t xml:space="preserve"> </w:t>
      </w:r>
      <w:r w:rsidRPr="00640FFC">
        <w:t>paslaugų teikėjo</w:t>
      </w:r>
      <w:r>
        <w:t>. Projektus rengia ir įgyvendina Centro darbuotojai.</w:t>
      </w:r>
      <w:r w:rsidRPr="00640FFC">
        <w:t xml:space="preserve"> </w:t>
      </w:r>
      <w:r>
        <w:t xml:space="preserve">Dalyvavimas projektuose pagerino institucijos materialinį aprūpinimą, pakilo institucijos darbuotojų kompetencija, įstaigos renginių kokybė, užmegzti nauji partnerystės tinklai su kitomis šalies ir užsienio suaugusiųjų švietimo institucijomis. Sistemingai domiuosi įvairių fondų pasiūla ir teikiamomis galimybėmis dalyvauti projektinėje veikloje. Inicijuoju projektų rengimą, sudarau darbuotojų grupes išanalizuoti situaciją ir tikslesnį poreikį,  telkiu socialinius partnerius bendram projektų rengimui. </w:t>
      </w:r>
    </w:p>
    <w:p w:rsidR="00201494" w:rsidRDefault="00201494" w:rsidP="00E87A93">
      <w:pPr>
        <w:spacing w:line="360" w:lineRule="auto"/>
        <w:jc w:val="both"/>
      </w:pPr>
      <w:r>
        <w:t xml:space="preserve">            Darbuotojus nuolat skatinu vertinti projektinės veiklos efektyvumą, naudoti projektų vertinimo anketas, neformaliai pabendrauti su projektų dalyviais. Įsipareigodama daugiau viešinti projektinę veiklą tai suprantu ne tik kaip tiesioginį informacijos pristatymą centro svetainėje informatyviau nurodant tikslus, veiklas, rezultatus bei produktus. Pristatome projektus spaudoje, dalijamės patirtimi su kolegomis iš kitų švietimo centrų. Su tikslinių grupių vadovais aptariame konkretesnį projekto veiklų turinį ir projektų dalyviams plačiau pristatome temas, vykdymo darbotvarkes, aptariame lektorių profesionalumą bei galutinio produkto panaudojimo galimybes savo profesinės  veiklos tobulinimui. </w:t>
      </w:r>
    </w:p>
    <w:p w:rsidR="00201494" w:rsidRDefault="00201494" w:rsidP="00E87A93">
      <w:pPr>
        <w:spacing w:line="360" w:lineRule="auto"/>
        <w:jc w:val="both"/>
      </w:pPr>
      <w:r>
        <w:t xml:space="preserve">             Edukacinės patirties bankas kaupiamas  ir sisteminamas  įvairiomis laikmenų formomis bei prieinamas įvairioms klientų grupėms pagal poreikį. Patirties banke </w:t>
      </w:r>
      <w:r w:rsidRPr="00E87A93">
        <w:t xml:space="preserve">yra  </w:t>
      </w:r>
      <w:r>
        <w:t>82 popierinės</w:t>
      </w:r>
      <w:r w:rsidRPr="00E87A93">
        <w:t xml:space="preserve"> (pamokų planai, pranešimai, metodinių priemonių aprašymai) ir 38 elektroninės laikmenos. Skatinu </w:t>
      </w:r>
      <w:r>
        <w:t xml:space="preserve">darbuotojus talpinti edukacinę mokytojų patirtį skaitmeniniu būdu Centro interneto svetainėje. Edukacinio banko medžiagos naudojimasis interneto svetainėje nebuvo tiriamas. </w:t>
      </w:r>
    </w:p>
    <w:p w:rsidR="00201494" w:rsidRDefault="00201494" w:rsidP="00E87A93">
      <w:pPr>
        <w:spacing w:line="360" w:lineRule="auto"/>
        <w:jc w:val="both"/>
      </w:pPr>
      <w:r w:rsidRPr="005D0B55">
        <w:t xml:space="preserve"> </w:t>
      </w:r>
      <w:r>
        <w:t xml:space="preserve">            </w:t>
      </w:r>
      <w:r w:rsidRPr="005D0B55">
        <w:t>Kvalifikacijos tobulinimo renginių planavimas ir organi</w:t>
      </w:r>
      <w:r>
        <w:t>zavimas Centre vykdomas sistemingai ir</w:t>
      </w:r>
      <w:r w:rsidRPr="005D0B55">
        <w:t xml:space="preserve"> apima įva</w:t>
      </w:r>
      <w:r>
        <w:t>irias tikslines pedagogų grupes. N</w:t>
      </w:r>
      <w:r w:rsidRPr="005D0B55">
        <w:t xml:space="preserve">uolat atliekami klientų poreikio tyrimai ir duomenų analizė bei veiklos rezultatų grįžtamasis ryšys. </w:t>
      </w:r>
      <w:r>
        <w:t xml:space="preserve">Vis tik vertinant kvalifikacijos tobulinimą vienas iš esminių klausimų yra: ar mokytojų tobulinimasis pagerina mokinių mokymąsi? Tačiau susieti profesinio tobulinimosi užmojus su  pagerėjusiais mokinių mokymosi rezultatais nėra lengva užduotis. Todėl telkiu Centro komandą gilintis, mokytis analizuoti, konsultuoti, suprasti ir mokėti pritaikyti informaciją, duomenis, susieti su konkrečiomis reikmėmis, šiuo atveju – kvalifikacijos tobulinimu. </w:t>
      </w:r>
      <w:r w:rsidRPr="00BE193E">
        <w:t>Kvalifikacijos</w:t>
      </w:r>
      <w:r>
        <w:t xml:space="preserve"> tobulinimo renginių planavimas, </w:t>
      </w:r>
      <w:r w:rsidRPr="00BE193E">
        <w:t>grįstas duomenimis, gautais analizuojant įgytos patirties ir žinių pritaikymo pamokose efektyvumą</w:t>
      </w:r>
      <w:r>
        <w:t>, yra nelengvai pamatuojamas. Tačiau turime patikimą  informaciją, kad mokytojams</w:t>
      </w:r>
      <w:r w:rsidRPr="00C565F1">
        <w:t xml:space="preserve"> </w:t>
      </w:r>
      <w:r w:rsidRPr="00C565F1">
        <w:rPr>
          <w:color w:val="000000"/>
        </w:rPr>
        <w:t xml:space="preserve">trūksta gebėjimų ugdymą grįsti įrodymais ir duomenimis, parinkti tinkamo sunkumo užduotis (ar jas pritaikyti), kurti (ar parinkti ir adaptuoti) aukštesniųjų mąstymo gebėjimų </w:t>
      </w:r>
      <w:r>
        <w:rPr>
          <w:color w:val="000000"/>
        </w:rPr>
        <w:t xml:space="preserve">ir problemų sprendimo užduotis. Remiantis šiais duomenimis, koordinuodami metodinę veiklą rajone susitarėme, kad prioritetas artimiausiems dvejiems metams – aukštesniojo lygmens mąstymo gebėjimų ugdymas (toliau – ALM). </w:t>
      </w:r>
      <w:r w:rsidRPr="00E87A93">
        <w:t xml:space="preserve">Šiuo atveju </w:t>
      </w:r>
      <w:r>
        <w:t xml:space="preserve">mokytojai turėtų pagerinti klausinėjimą per pamokas, </w:t>
      </w:r>
      <w:r w:rsidRPr="00224D33">
        <w:rPr>
          <w:color w:val="000000"/>
        </w:rPr>
        <w:t>reguliariai duoti mokiniams aukštesnio lygmens mąstymo užduotis, ugdyti mokinių metakognityvinius gebėjimus, mokyti problemų sprendimo ir kritinio mąstymo strategijų, ugdymo turinyje išskirti esminius klausimus.</w:t>
      </w:r>
      <w:r>
        <w:rPr>
          <w:color w:val="000000"/>
        </w:rPr>
        <w:t xml:space="preserve"> Balandžio mėnesį inicijavau konferencijos „Aukštesniųjų mąstymo gebėjimų ugdymas šiuolaikinėje mokykloje“ organizavimą šių uždavinių aptarimui, </w:t>
      </w:r>
      <w:r w:rsidRPr="009019FE">
        <w:rPr>
          <w:color w:val="000000"/>
        </w:rPr>
        <w:t>tai pat prielaidų siekiant gerinti mokymosi pasiekimus</w:t>
      </w:r>
      <w:r>
        <w:rPr>
          <w:color w:val="000000"/>
        </w:rPr>
        <w:t xml:space="preserve"> numatymui. ALM gebėjimų ugdymui skirta ir metodinių darbų paroda. Centre vykdomas </w:t>
      </w:r>
      <w:r>
        <w:t>p</w:t>
      </w:r>
      <w:r w:rsidRPr="00BE193E">
        <w:t xml:space="preserve">aslaugų teikimas </w:t>
      </w:r>
      <w:r>
        <w:t xml:space="preserve">ir </w:t>
      </w:r>
      <w:r w:rsidRPr="00BE193E">
        <w:t xml:space="preserve">nuotoliniu būdu, </w:t>
      </w:r>
      <w:r w:rsidRPr="00640FFC">
        <w:t>panaudojant at</w:t>
      </w:r>
      <w:r>
        <w:t xml:space="preserve">viro vaizdo konferencijų įrangą. Keletą kartų kvietėme švietimo bendruomenės narius išklausyti teikiamos UPC informacijos nuotoliniu būdu, bet nesulaukėme nei vieno dalyvio. Nuotoliniu būdu susisiekiame  su projekto partneriais, bendravimui ir informacijos sklaidai naudojame </w:t>
      </w:r>
      <w:r w:rsidRPr="00C83B06">
        <w:rPr>
          <w:i/>
        </w:rPr>
        <w:t>Facebook</w:t>
      </w:r>
      <w:r>
        <w:t xml:space="preserve"> paskyrą. Iškilus poreikiui galime organizuoti renginius nuotoliniu būdu.</w:t>
      </w:r>
    </w:p>
    <w:p w:rsidR="00201494" w:rsidRPr="0033313A" w:rsidRDefault="00201494" w:rsidP="00E87A93">
      <w:pPr>
        <w:spacing w:line="360" w:lineRule="auto"/>
        <w:jc w:val="both"/>
      </w:pPr>
    </w:p>
    <w:p w:rsidR="00201494" w:rsidRPr="00E87A93" w:rsidRDefault="00201494" w:rsidP="00C37A60">
      <w:pPr>
        <w:spacing w:line="360" w:lineRule="auto"/>
        <w:jc w:val="center"/>
        <w:rPr>
          <w:b/>
        </w:rPr>
      </w:pPr>
      <w:r w:rsidRPr="00E87A93">
        <w:rPr>
          <w:b/>
        </w:rPr>
        <w:t>III. Prisiimtos papildomos atsakomybės, užduotys rajono švietimo veikloje.</w:t>
      </w:r>
    </w:p>
    <w:p w:rsidR="00201494" w:rsidRDefault="00201494" w:rsidP="00E87A93">
      <w:pPr>
        <w:spacing w:line="360" w:lineRule="auto"/>
        <w:jc w:val="both"/>
      </w:pPr>
      <w:r>
        <w:rPr>
          <w:color w:val="FF0000"/>
        </w:rPr>
        <w:t xml:space="preserve">              </w:t>
      </w:r>
      <w:r w:rsidRPr="006B6F69">
        <w:t xml:space="preserve">Mano iniciatyva Centras organizavo šventinę </w:t>
      </w:r>
      <w:r>
        <w:t>konferenciją „</w:t>
      </w:r>
      <w:r>
        <w:rPr>
          <w:color w:val="000000"/>
        </w:rPr>
        <w:t xml:space="preserve">Kryptis – būti reikalingiems! Vakar, šiandien, rytoj“, </w:t>
      </w:r>
      <w:r>
        <w:t>skirtą Prienų švietimo centro 15 metų veiklos sukakčiai paminėti. Tai buvo Centro veiklos viešinimo renginys, kuriame dalyvavo Prienų rajono savivaldybės vadovai, ugdymo įstaigų atstovai, socialiniai partneriai, šalies švietimo centrų atstovai.</w:t>
      </w:r>
    </w:p>
    <w:p w:rsidR="00201494" w:rsidRPr="00C83B06" w:rsidRDefault="00201494" w:rsidP="00E87A93">
      <w:pPr>
        <w:spacing w:line="360" w:lineRule="auto"/>
        <w:jc w:val="both"/>
        <w:rPr>
          <w:color w:val="000000"/>
        </w:rPr>
      </w:pPr>
      <w:r>
        <w:t xml:space="preserve">            Priėmiau sprendimą atlikti Centro veiklos paslaugų kokybės vertinimo tyrimą. 2015 m. lapkričio mėn. Šiaulių Universiteto Socialinių tyrimų centras (dr. Jūratė Valuckienė ir Sigitas Balčiūnas) atliko švietimo bendruomenės nuomonės tyrimą „Prienų švietimo centro paslaugų kokybės vertinimas“. Tyrimo tikslas buvo įvertinti Prienų švietimo centro teikiamų paslaugų kokybę. Tyrimo išvadose atskleista respondentų nuomonė apie Centro veiklą švietimo kokybės siekio kontekste, pateikti teigiami Centro veiklos kokybės vertinimai, pateikti pasiūlymai ir veiklos tobulinimo kryptys.</w:t>
      </w:r>
      <w:r>
        <w:rPr>
          <w:color w:val="000000"/>
        </w:rPr>
        <w:t xml:space="preserve"> </w:t>
      </w:r>
      <w:r w:rsidRPr="00B40BE0">
        <w:t>Spalio mėnesį Centras kartu su savivaldybės mokyklų metodine taryba organizavo iš</w:t>
      </w:r>
      <w:r>
        <w:t>vyką į Koperniko mokslo centrą Lenkijoje.</w:t>
      </w:r>
    </w:p>
    <w:p w:rsidR="00201494" w:rsidRDefault="00201494" w:rsidP="00E87A93">
      <w:pPr>
        <w:spacing w:line="360" w:lineRule="auto"/>
        <w:jc w:val="both"/>
      </w:pPr>
      <w:r>
        <w:t xml:space="preserve">           Telkiau komandą parengti ir teikti Erazmus+ programos projektą „</w:t>
      </w:r>
      <w:r w:rsidRPr="008F1455">
        <w:t>Pilietinės lyderystės ugdymas mokykloje“</w:t>
      </w:r>
      <w:r>
        <w:t xml:space="preserve">. Projektas buvo teigiamai įvertintas, skirtas finansavimas veikloms vykdyti, jau įvyko pirmasis tarptautinis partnerių susitikimas, paruoštas klausimynas. Sukurtais intelektualiais produktais (Pilietinio lyderio ugdymo modelis, rekomendacijos) galės naudotis ir visos rajono mokyklos. </w:t>
      </w:r>
    </w:p>
    <w:p w:rsidR="00201494" w:rsidRDefault="00201494" w:rsidP="00E87A93">
      <w:pPr>
        <w:spacing w:line="360" w:lineRule="auto"/>
        <w:jc w:val="both"/>
      </w:pPr>
      <w:r>
        <w:t xml:space="preserve">          Pati taip pat dalyvauju įvairių renginių, konkursų komisijų darbe: Neformaliojo vaikų švietimo programų atitikties svarstyme, „Dainų dainelės“, mokinių meninio skaitymo konkurso ir kt.</w:t>
      </w:r>
      <w:r w:rsidRPr="006B6F69">
        <w:rPr>
          <w:color w:val="FF0000"/>
        </w:rPr>
        <w:t xml:space="preserve"> </w:t>
      </w:r>
      <w:r w:rsidRPr="006B6F69">
        <w:t xml:space="preserve">Esu Prienų rajono mokyklų vadovų tarybos narė.  </w:t>
      </w:r>
    </w:p>
    <w:p w:rsidR="00201494" w:rsidRDefault="00201494" w:rsidP="00E87A93">
      <w:pPr>
        <w:spacing w:line="360" w:lineRule="auto"/>
        <w:jc w:val="both"/>
      </w:pPr>
      <w:r>
        <w:t xml:space="preserve">          2015 m. buvo organizuotos konsultacijos „Ugdymo įstaigos viešieji ryšiai ir socialinė partnerystė“, „Švietimo įstaigos darbuotojų kvalifikacijos tobulinimas“, “Socialinio pedagogo veiklos dokumentavimas“.</w:t>
      </w:r>
    </w:p>
    <w:p w:rsidR="00201494" w:rsidRDefault="00201494" w:rsidP="00E87A93">
      <w:pPr>
        <w:spacing w:line="360" w:lineRule="auto"/>
        <w:jc w:val="both"/>
        <w:rPr>
          <w:color w:val="FF0000"/>
        </w:rPr>
      </w:pPr>
      <w:r>
        <w:t xml:space="preserve">         Siekiant metodinės veiklos veiksmingumo bei aukštą kvalifikacinę kategoriją turinčių mokytojų  motyvaciją savo patirties sklaidai, organizavau mokytojų ekspertų susitikimą su kolegomis iš Kaišiadorių rajono Nacionalinėje mokyklų vertinimo agentūroje. Ir toliau inicijuoju tolesnį ekspertų bendradarbiavimą, jų indėlį prisidedant prie švietimo kokybę didinančių veiklų.</w:t>
      </w:r>
      <w:r>
        <w:rPr>
          <w:color w:val="FF0000"/>
        </w:rPr>
        <w:t xml:space="preserve"> </w:t>
      </w:r>
    </w:p>
    <w:p w:rsidR="00201494" w:rsidRPr="00CA6D24" w:rsidRDefault="00201494" w:rsidP="00E87A93">
      <w:pPr>
        <w:spacing w:line="360" w:lineRule="auto"/>
        <w:jc w:val="both"/>
      </w:pPr>
      <w:r w:rsidRPr="00CA6D24">
        <w:t>Teikėme mokytojų kandidatūras Metų mokytojo nominacijai.</w:t>
      </w:r>
    </w:p>
    <w:p w:rsidR="00201494" w:rsidRPr="006B6F69" w:rsidRDefault="00201494" w:rsidP="00E87A93">
      <w:pPr>
        <w:spacing w:line="360" w:lineRule="auto"/>
        <w:jc w:val="both"/>
      </w:pPr>
      <w:r>
        <w:rPr>
          <w:color w:val="FF0000"/>
        </w:rPr>
        <w:t xml:space="preserve"> </w:t>
      </w:r>
    </w:p>
    <w:p w:rsidR="00201494" w:rsidRDefault="00201494" w:rsidP="00C37A60">
      <w:pPr>
        <w:spacing w:line="360" w:lineRule="auto"/>
        <w:jc w:val="center"/>
        <w:rPr>
          <w:b/>
        </w:rPr>
      </w:pPr>
      <w:r w:rsidRPr="006B6F69">
        <w:rPr>
          <w:b/>
        </w:rPr>
        <w:t>IV. Strateginio bei Veiklos plano įgyvendinimo sėkmingumas.</w:t>
      </w:r>
    </w:p>
    <w:p w:rsidR="00201494" w:rsidRPr="00C83B06" w:rsidRDefault="00201494" w:rsidP="00C83B06">
      <w:pPr>
        <w:spacing w:line="360" w:lineRule="auto"/>
        <w:jc w:val="both"/>
        <w:rPr>
          <w:color w:val="000000"/>
        </w:rPr>
      </w:pPr>
      <w:r>
        <w:t xml:space="preserve">           </w:t>
      </w:r>
      <w:r w:rsidRPr="00BA6928">
        <w:t xml:space="preserve">Centro prioritetas </w:t>
      </w:r>
      <w:r>
        <w:t>–</w:t>
      </w:r>
      <w:r w:rsidRPr="00BA6928">
        <w:t xml:space="preserve"> teikiamų paslaugų kokybės gerinimas, atsižvelgiant į aplinkos pokyčius, todėl darbuotojai </w:t>
      </w:r>
      <w:r>
        <w:t>skiria daug</w:t>
      </w:r>
      <w:r w:rsidRPr="00BA6928">
        <w:t xml:space="preserve"> d</w:t>
      </w:r>
      <w:r>
        <w:t>ėmesio visų renginių bei veiklų</w:t>
      </w:r>
      <w:r w:rsidRPr="00BA6928">
        <w:t xml:space="preserve"> analizavimui</w:t>
      </w:r>
      <w:r>
        <w:t>.</w:t>
      </w:r>
      <w:r w:rsidRPr="00BA6928">
        <w:t xml:space="preserve"> </w:t>
      </w:r>
      <w:r>
        <w:rPr>
          <w:color w:val="000000"/>
        </w:rPr>
        <w:t xml:space="preserve">Padidėjusi darbo apimtis ir veiklų įvairovė  įpareigoja mus tobulėti visose srityse, apgalvoti darbo efektyvumo rodiklius, veiklos rezultatus, prisiminti vertybes, pagalvoti, kaip suteikti kokybiškas paslaugas kvalifikuočiau,  nusistatyti veiklos prioritetus. </w:t>
      </w:r>
      <w:r>
        <w:t>Centre nusistovėjusi darbo kultūra ir po renginių teikiamas grįžtamasis ryšys, analizuojame kas buvo gerai, kas taisytina, ką galime keisti, kalbame apie tobulėjimo galimybes, mokomės iš klaidų.</w:t>
      </w:r>
    </w:p>
    <w:p w:rsidR="00201494" w:rsidRPr="00BA6928" w:rsidRDefault="00201494" w:rsidP="00E87A93">
      <w:pPr>
        <w:spacing w:line="360" w:lineRule="auto"/>
        <w:jc w:val="both"/>
        <w:rPr>
          <w:lang w:eastAsia="en-US"/>
        </w:rPr>
      </w:pPr>
      <w:r>
        <w:rPr>
          <w:bCs/>
          <w:lang w:eastAsia="en-US"/>
        </w:rPr>
        <w:t xml:space="preserve">          </w:t>
      </w:r>
      <w:r w:rsidRPr="006B6F69">
        <w:rPr>
          <w:bCs/>
          <w:lang w:eastAsia="en-US"/>
        </w:rPr>
        <w:t>Strateginis tikslas – sudaryti galimybes švietimo ir kitų sričių darbuotojams plėtoti bendrąsias ir profesines kompetencijas, įgalinančias prisitaikyti prie kintančių aplinkybių</w:t>
      </w:r>
      <w:r>
        <w:rPr>
          <w:bCs/>
          <w:lang w:eastAsia="en-US"/>
        </w:rPr>
        <w:t>, yra</w:t>
      </w:r>
      <w:r w:rsidRPr="006B6F69">
        <w:rPr>
          <w:bCs/>
          <w:lang w:eastAsia="en-US"/>
        </w:rPr>
        <w:t xml:space="preserve"> įgyvendintas.</w:t>
      </w:r>
      <w:r w:rsidRPr="006B6F69">
        <w:rPr>
          <w:color w:val="FF0000"/>
          <w:lang w:eastAsia="en-US"/>
        </w:rPr>
        <w:t xml:space="preserve"> </w:t>
      </w:r>
      <w:r w:rsidRPr="006B6F69">
        <w:rPr>
          <w:lang w:eastAsia="en-US"/>
        </w:rPr>
        <w:t>Parengtos švietimo įstaigų vadovų ir pedagogų kvalifikacijos tobulinimo poreikius atitinkančios programos.</w:t>
      </w:r>
      <w:r>
        <w:rPr>
          <w:bCs/>
          <w:lang w:eastAsia="en-US"/>
        </w:rPr>
        <w:t xml:space="preserve"> </w:t>
      </w:r>
      <w:r w:rsidRPr="006B6F69">
        <w:rPr>
          <w:bCs/>
          <w:lang w:eastAsia="en-US"/>
        </w:rPr>
        <w:t>Organizuoti kvalifikacijos tobulinimo mokymai švietimo bendruomenėms, kultūros darbuotojams, biudžetinių įstaigų buhalteriams, kitų šalies rajonų</w:t>
      </w:r>
      <w:r w:rsidRPr="006B6F69">
        <w:rPr>
          <w:lang w:eastAsia="en-US"/>
        </w:rPr>
        <w:t xml:space="preserve"> mokyklų bendruomenėms. Pedagogai įgijo žinių ir praktinių gebėjimų ugdymo proceso tobulinimui, plėtojo  profesinei veiklai reikalingas kompetencijas.</w:t>
      </w:r>
      <w:r w:rsidRPr="006B6F69">
        <w:rPr>
          <w:color w:val="FF0000"/>
          <w:lang w:eastAsia="en-US"/>
        </w:rPr>
        <w:t xml:space="preserve"> </w:t>
      </w:r>
      <w:r w:rsidRPr="006B6F69">
        <w:rPr>
          <w:lang w:eastAsia="en-US"/>
        </w:rPr>
        <w:t>Vyko veiksmingas metodinis ir dalykinis mokytojų bendradarbiavimas, vykdoma metodinių naujovių sklaida. Kvalifikacijos tobulinimo renginių  kokybės gerinimas buvo grindžiamas grįžtamojo ryšio procedūros rezultatais, anketuojant renginių dalyvius, bendraujant su lektoriais, tiriant  užsakovų poreikį bei analizuojant savo veiklos galimybes.</w:t>
      </w:r>
    </w:p>
    <w:p w:rsidR="00201494" w:rsidRDefault="00201494" w:rsidP="00E87A93">
      <w:pPr>
        <w:pStyle w:val="Default"/>
        <w:spacing w:line="360" w:lineRule="auto"/>
        <w:jc w:val="both"/>
        <w:rPr>
          <w:color w:val="auto"/>
          <w:lang w:val="lt-LT" w:eastAsia="lt-LT"/>
        </w:rPr>
      </w:pPr>
      <w:r w:rsidRPr="00BA6928">
        <w:rPr>
          <w:color w:val="auto"/>
          <w:lang w:val="lt-LT"/>
        </w:rPr>
        <w:t xml:space="preserve">              Tikslas – gilinti mokinių dalykines žinias tobulinant bendrąsias ir dalykines kompetencijas b</w:t>
      </w:r>
      <w:r>
        <w:rPr>
          <w:color w:val="auto"/>
          <w:lang w:val="lt-LT"/>
        </w:rPr>
        <w:t>ei ugdyti mokymosi motyvaciją,</w:t>
      </w:r>
      <w:r w:rsidRPr="00BA6928">
        <w:rPr>
          <w:color w:val="auto"/>
          <w:lang w:val="lt-LT"/>
        </w:rPr>
        <w:t xml:space="preserve"> mokslinį kritinį mąstymą, kūrybiškumą ir savarankiškumą</w:t>
      </w:r>
      <w:r>
        <w:rPr>
          <w:color w:val="auto"/>
          <w:lang w:val="lt-LT"/>
        </w:rPr>
        <w:t>. T</w:t>
      </w:r>
      <w:r w:rsidRPr="00BA6928">
        <w:rPr>
          <w:color w:val="auto"/>
          <w:lang w:val="lt-LT"/>
        </w:rPr>
        <w:t xml:space="preserve">ikslas sėkmingai įgyvendinamas organizuojant vaikų neformaliojo švietimo renginius. Remiantis </w:t>
      </w:r>
      <w:r>
        <w:rPr>
          <w:color w:val="auto"/>
          <w:lang w:val="lt-LT"/>
        </w:rPr>
        <w:t>grįžtamojo ryšio</w:t>
      </w:r>
      <w:r w:rsidRPr="00BA6928">
        <w:rPr>
          <w:color w:val="auto"/>
          <w:lang w:val="lt-LT"/>
        </w:rPr>
        <w:t xml:space="preserve"> informacija daugiau dėmesio skiriama komisijų sudarymui, užduočių vertinimui, edukacinių aplinkų paruošimui, mokinių apdovanojimui ir pagerbimui. </w:t>
      </w:r>
      <w:r>
        <w:rPr>
          <w:color w:val="auto"/>
          <w:lang w:val="lt-LT"/>
        </w:rPr>
        <w:t>Paruošta ataskaita „Mokinių 2014–2015</w:t>
      </w:r>
      <w:r w:rsidRPr="00BA6928">
        <w:rPr>
          <w:color w:val="auto"/>
          <w:lang w:val="lt-LT"/>
        </w:rPr>
        <w:t xml:space="preserve"> mokslo metų olimpiadų ir konkursų rajoninių etapų nugalėtojų sąrašas“. </w:t>
      </w:r>
      <w:r w:rsidRPr="00BA6928">
        <w:rPr>
          <w:color w:val="auto"/>
          <w:sz w:val="23"/>
          <w:szCs w:val="23"/>
          <w:lang w:val="lt-LT"/>
        </w:rPr>
        <w:t>Mokinių dalykinių olimpiadų ir konkursų rezultatų suvesti</w:t>
      </w:r>
      <w:r>
        <w:rPr>
          <w:color w:val="auto"/>
          <w:sz w:val="23"/>
          <w:szCs w:val="23"/>
          <w:lang w:val="lt-LT"/>
        </w:rPr>
        <w:t xml:space="preserve">nės paskelbtos Centro interneto </w:t>
      </w:r>
      <w:r w:rsidRPr="00BA6928">
        <w:rPr>
          <w:color w:val="auto"/>
          <w:sz w:val="23"/>
          <w:szCs w:val="23"/>
          <w:lang w:val="lt-LT"/>
        </w:rPr>
        <w:t xml:space="preserve">svetainėje </w:t>
      </w:r>
      <w:hyperlink r:id="rId7" w:history="1">
        <w:r w:rsidRPr="00BA6928">
          <w:rPr>
            <w:rStyle w:val="Hyperlink"/>
            <w:color w:val="auto"/>
            <w:sz w:val="23"/>
            <w:szCs w:val="23"/>
            <w:lang w:val="lt-LT"/>
          </w:rPr>
          <w:t>www.svietimocentras.prienai.lm.lt</w:t>
        </w:r>
      </w:hyperlink>
      <w:r w:rsidRPr="00BA6928">
        <w:rPr>
          <w:color w:val="auto"/>
          <w:sz w:val="23"/>
          <w:szCs w:val="23"/>
          <w:lang w:val="lt-LT"/>
        </w:rPr>
        <w:t>.</w:t>
      </w:r>
      <w:r w:rsidRPr="00BA6928">
        <w:rPr>
          <w:bCs/>
          <w:color w:val="auto"/>
          <w:lang w:val="lt-LT"/>
        </w:rPr>
        <w:t xml:space="preserve"> </w:t>
      </w:r>
      <w:r>
        <w:rPr>
          <w:bCs/>
          <w:color w:val="auto"/>
          <w:lang w:val="lt-LT"/>
        </w:rPr>
        <w:t xml:space="preserve">Po renginio mokyklos pateikiama informacija, ataskaita. </w:t>
      </w:r>
      <w:r w:rsidRPr="00BA6928">
        <w:rPr>
          <w:bCs/>
          <w:color w:val="auto"/>
          <w:lang w:val="lt-LT"/>
        </w:rPr>
        <w:t>Parengtas r</w:t>
      </w:r>
      <w:hyperlink r:id="rId8" w:tgtFrame="_blank" w:history="1">
        <w:r w:rsidRPr="00BA6928">
          <w:rPr>
            <w:color w:val="auto"/>
            <w:lang w:val="lt-LT" w:eastAsia="lt-LT"/>
          </w:rPr>
          <w:t>enginių, organizuojamų Prienų rajono mokyk</w:t>
        </w:r>
        <w:r>
          <w:rPr>
            <w:color w:val="auto"/>
            <w:lang w:val="lt-LT" w:eastAsia="lt-LT"/>
          </w:rPr>
          <w:t>lų mokiniams ir mokytojams, 2014–2015</w:t>
        </w:r>
        <w:r w:rsidRPr="00BA6928">
          <w:rPr>
            <w:color w:val="auto"/>
            <w:lang w:val="lt-LT" w:eastAsia="lt-LT"/>
          </w:rPr>
          <w:t xml:space="preserve"> mokslo metų planas</w:t>
        </w:r>
      </w:hyperlink>
      <w:r w:rsidRPr="00BA6928">
        <w:rPr>
          <w:color w:val="auto"/>
          <w:lang w:val="lt-LT" w:eastAsia="lt-LT"/>
        </w:rPr>
        <w:t xml:space="preserve">, kuriuo vadovaujantis buvo organizuota neformaliojo mokinių švietimo veikla. </w:t>
      </w:r>
    </w:p>
    <w:p w:rsidR="00201494" w:rsidRPr="00D257ED" w:rsidRDefault="00201494" w:rsidP="00D257ED">
      <w:pPr>
        <w:pStyle w:val="Default"/>
        <w:spacing w:line="360" w:lineRule="auto"/>
        <w:jc w:val="both"/>
        <w:rPr>
          <w:color w:val="auto"/>
          <w:lang w:val="lt-LT"/>
        </w:rPr>
      </w:pPr>
      <w:r>
        <w:rPr>
          <w:color w:val="auto"/>
          <w:lang w:val="lt-LT" w:eastAsia="lt-LT"/>
        </w:rPr>
        <w:t xml:space="preserve">           </w:t>
      </w:r>
      <w:r w:rsidRPr="00D257ED">
        <w:rPr>
          <w:color w:val="auto"/>
          <w:lang w:val="lt-LT" w:eastAsia="lt-LT"/>
        </w:rPr>
        <w:t xml:space="preserve">2015 metais buvo organizuota </w:t>
      </w:r>
      <w:r w:rsidRPr="00D257ED">
        <w:rPr>
          <w:lang w:val="lt-LT"/>
        </w:rPr>
        <w:t xml:space="preserve">14 olimpiadų, </w:t>
      </w:r>
      <w:r>
        <w:rPr>
          <w:lang w:val="lt-LT"/>
        </w:rPr>
        <w:t xml:space="preserve">jose </w:t>
      </w:r>
      <w:r w:rsidRPr="00D257ED">
        <w:rPr>
          <w:lang w:val="lt-LT"/>
        </w:rPr>
        <w:t xml:space="preserve">dalyvavo 384 mokiniai, komisijų darbe dalyvavo 160 mokytojų. </w:t>
      </w:r>
      <w:r>
        <w:rPr>
          <w:lang w:val="lt-LT"/>
        </w:rPr>
        <w:t>Įvykdyta</w:t>
      </w:r>
      <w:r w:rsidRPr="00D257ED">
        <w:rPr>
          <w:lang w:val="lt-LT"/>
        </w:rPr>
        <w:t xml:space="preserve"> 60 konkursų, švenčių, parodų, varžybų, </w:t>
      </w:r>
      <w:r>
        <w:rPr>
          <w:lang w:val="lt-LT"/>
        </w:rPr>
        <w:t xml:space="preserve">kuriose </w:t>
      </w:r>
      <w:r w:rsidRPr="00D257ED">
        <w:rPr>
          <w:lang w:val="lt-LT"/>
        </w:rPr>
        <w:t>dalyvavo apie 2350 mokinių ir 560 juos ruošusių mokytojų</w:t>
      </w:r>
      <w:r w:rsidRPr="00D257ED">
        <w:rPr>
          <w:color w:val="auto"/>
          <w:lang w:val="lt-LT" w:eastAsia="lt-LT"/>
        </w:rPr>
        <w:t>.</w:t>
      </w:r>
      <w:r>
        <w:rPr>
          <w:color w:val="auto"/>
          <w:lang w:val="lt-LT" w:eastAsia="lt-LT"/>
        </w:rPr>
        <w:t xml:space="preserve"> Centras organizavo dalykinių olimpiadų ir konkursų nugalėtojų pagerbimo šventę „Pasidžiaukime kartu“.</w:t>
      </w:r>
    </w:p>
    <w:p w:rsidR="00201494" w:rsidRPr="00AB22D1" w:rsidRDefault="00201494" w:rsidP="00E87A93">
      <w:pPr>
        <w:spacing w:line="360" w:lineRule="auto"/>
        <w:jc w:val="both"/>
      </w:pPr>
      <w:r w:rsidRPr="004B56D9">
        <w:t xml:space="preserve">  </w:t>
      </w:r>
      <w:r>
        <w:t xml:space="preserve">         Tikslui, </w:t>
      </w:r>
      <w:r w:rsidRPr="004B56D9">
        <w:t xml:space="preserve"> švietimo įstaigų bendruomenėms ir kitų sričių darbuotojams sudaryti neformalaus suaugusiųjų švietimo galimybes, siekiant pa</w:t>
      </w:r>
      <w:r>
        <w:t>slaugų kokybės bei prieinamumo, įgyvendinti b</w:t>
      </w:r>
      <w:r w:rsidRPr="00D27035">
        <w:t xml:space="preserve">uvo vykdytas projektas  </w:t>
      </w:r>
      <w:r w:rsidRPr="004B56D9">
        <w:rPr>
          <w:iCs/>
          <w:lang w:eastAsia="en-US"/>
        </w:rPr>
        <w:t>„Socialiai pažeidžiamų asmenų informacinio raštingumo ugdymas pasitelkiant socialines paslaugas teikiančius darbuotojus</w:t>
      </w:r>
      <w:r>
        <w:rPr>
          <w:iCs/>
          <w:lang w:eastAsia="en-US"/>
        </w:rPr>
        <w:t>“. Projekto metu buvo apmokyti 35 Socialinių paslaugų ir Prienų globos namų darbuotojai, teikiantys paslaugas socialinės rizikos šeimoms, pagyvenusiems žmonėms.</w:t>
      </w:r>
      <w:r w:rsidRPr="00E13F3C">
        <w:rPr>
          <w:color w:val="0D0D0D"/>
          <w:lang w:eastAsia="en-US"/>
        </w:rPr>
        <w:t xml:space="preserve"> Dalyvi</w:t>
      </w:r>
      <w:r>
        <w:rPr>
          <w:color w:val="0D0D0D"/>
          <w:lang w:eastAsia="en-US"/>
        </w:rPr>
        <w:t xml:space="preserve">ai įgijo gebėjimų </w:t>
      </w:r>
      <w:r w:rsidRPr="00E13F3C">
        <w:rPr>
          <w:color w:val="0D0D0D"/>
          <w:lang w:eastAsia="en-US"/>
        </w:rPr>
        <w:t>kritiškai analizuoti ir vertinti žiniasklaidos prie</w:t>
      </w:r>
      <w:r>
        <w:rPr>
          <w:color w:val="0D0D0D"/>
          <w:lang w:eastAsia="en-US"/>
        </w:rPr>
        <w:t xml:space="preserve">monėse </w:t>
      </w:r>
      <w:r w:rsidRPr="00E13F3C">
        <w:rPr>
          <w:color w:val="0D0D0D"/>
          <w:lang w:eastAsia="en-US"/>
        </w:rPr>
        <w:t>pateikiamą informaciją bei veiksmingai konsultuoti savo klientus šiais klausimais.</w:t>
      </w:r>
      <w:r>
        <w:rPr>
          <w:lang w:eastAsia="en-US"/>
        </w:rPr>
        <w:t xml:space="preserve"> Kartu su partneriais parengtas ir Kultūros ministerijai pateiktas projektas </w:t>
      </w:r>
      <w:r w:rsidRPr="00D27035">
        <w:rPr>
          <w:lang w:eastAsia="en-US"/>
        </w:rPr>
        <w:t>„Prienų rajono kultūros darbuotojų kvalifikacijos bendruomenių kultūrinei įtraukčiai didinti stiprinimas“</w:t>
      </w:r>
      <w:r>
        <w:rPr>
          <w:lang w:eastAsia="en-US"/>
        </w:rPr>
        <w:t>, skirtas kultūros darbuotojų bendrųjų ir dalykinių kompetencijų ugdymui bei bendruomenių kultūriniam aktyvumui bei įtraukčiai didinti. Gautas finansavimas ŠMPF Erazmus</w:t>
      </w:r>
      <w:r w:rsidRPr="000D0CAE">
        <w:rPr>
          <w:lang w:eastAsia="en-US"/>
        </w:rPr>
        <w:t>+</w:t>
      </w:r>
      <w:r>
        <w:rPr>
          <w:lang w:eastAsia="en-US"/>
        </w:rPr>
        <w:t xml:space="preserve"> programos projektui „Pilietinės lyderystės ugdymas mokykloje“, projekto partneriai – </w:t>
      </w:r>
      <w:r>
        <w:t xml:space="preserve">Prienų „Ąžuolo“ progimnazija, Skriaudžių pagrindinė mokykla, Išlaužo pagrindinė mokykla, Šiaulių universiteto Socialinių tyrimų mokslinis centras / Baltijos regiono tyrėjų asociacija, Italijos St. Thomas's tarptautinė mokykla, Norvegijos NiTi -Nordisk institutt for trening og internasjonalt nettverk. </w:t>
      </w:r>
    </w:p>
    <w:p w:rsidR="00201494" w:rsidRPr="007C0BB3" w:rsidRDefault="00201494" w:rsidP="00E87A93">
      <w:pPr>
        <w:pStyle w:val="Default"/>
        <w:spacing w:line="360" w:lineRule="auto"/>
        <w:jc w:val="both"/>
        <w:rPr>
          <w:bCs/>
          <w:color w:val="FF0000"/>
          <w:sz w:val="23"/>
          <w:szCs w:val="23"/>
          <w:lang w:val="lt-LT"/>
        </w:rPr>
      </w:pPr>
      <w:r>
        <w:rPr>
          <w:color w:val="auto"/>
          <w:lang w:val="lt-LT"/>
        </w:rPr>
        <w:t xml:space="preserve">              </w:t>
      </w:r>
      <w:r w:rsidRPr="004B56D9">
        <w:rPr>
          <w:color w:val="auto"/>
          <w:lang w:val="lt-LT"/>
        </w:rPr>
        <w:t>Meno mokykloms buvo organizuoti seminarai dalyko profe</w:t>
      </w:r>
      <w:r>
        <w:rPr>
          <w:color w:val="auto"/>
          <w:lang w:val="lt-LT"/>
        </w:rPr>
        <w:t xml:space="preserve">sinėms kompetencijoms tobulinti, stebėti ir kartu su ekspertais aptarti koncertų repertuarą, domėtis muzikos istorija. </w:t>
      </w:r>
      <w:r w:rsidRPr="004B56D9">
        <w:rPr>
          <w:color w:val="auto"/>
          <w:lang w:val="lt-LT"/>
        </w:rPr>
        <w:t xml:space="preserve"> Biudžetinių </w:t>
      </w:r>
      <w:r>
        <w:rPr>
          <w:color w:val="auto"/>
          <w:lang w:val="lt-LT"/>
        </w:rPr>
        <w:t>buhalteriams</w:t>
      </w:r>
      <w:r w:rsidRPr="004B56D9">
        <w:rPr>
          <w:color w:val="auto"/>
          <w:lang w:val="lt-LT"/>
        </w:rPr>
        <w:t xml:space="preserve"> organizuota keletas seminarų dėl naujausių teisės aktų pakeitimų ir pasirengimo sudaryti metines </w:t>
      </w:r>
      <w:r w:rsidRPr="00011D38">
        <w:rPr>
          <w:color w:val="auto"/>
          <w:lang w:val="lt-LT"/>
        </w:rPr>
        <w:t>ataskaitas ir kt.</w:t>
      </w:r>
    </w:p>
    <w:p w:rsidR="00201494" w:rsidRDefault="00201494" w:rsidP="0033313A">
      <w:pPr>
        <w:spacing w:line="360" w:lineRule="auto"/>
        <w:jc w:val="both"/>
        <w:rPr>
          <w:b/>
          <w:color w:val="FF0000"/>
        </w:rPr>
      </w:pPr>
    </w:p>
    <w:p w:rsidR="00201494" w:rsidRDefault="00201494" w:rsidP="0033313A">
      <w:pPr>
        <w:spacing w:line="360" w:lineRule="auto"/>
        <w:jc w:val="both"/>
        <w:rPr>
          <w:b/>
          <w:color w:val="FF0000"/>
        </w:rPr>
      </w:pPr>
    </w:p>
    <w:p w:rsidR="00201494" w:rsidRDefault="00201494" w:rsidP="0033313A">
      <w:pPr>
        <w:spacing w:line="360" w:lineRule="auto"/>
        <w:jc w:val="both"/>
        <w:rPr>
          <w:b/>
          <w:color w:val="FF0000"/>
        </w:rPr>
      </w:pPr>
    </w:p>
    <w:p w:rsidR="00201494" w:rsidRDefault="00201494" w:rsidP="0033313A">
      <w:pPr>
        <w:spacing w:line="360" w:lineRule="auto"/>
        <w:jc w:val="both"/>
        <w:rPr>
          <w:b/>
        </w:rPr>
      </w:pPr>
      <w:r w:rsidRPr="00C13C3A">
        <w:rPr>
          <w:b/>
        </w:rPr>
        <w:t xml:space="preserve">   </w:t>
      </w:r>
    </w:p>
    <w:p w:rsidR="00201494" w:rsidRDefault="00201494" w:rsidP="00E87A93">
      <w:pPr>
        <w:spacing w:line="360" w:lineRule="auto"/>
        <w:ind w:firstLine="1080"/>
        <w:jc w:val="both"/>
        <w:rPr>
          <w:b/>
        </w:rPr>
      </w:pPr>
    </w:p>
    <w:p w:rsidR="00201494" w:rsidRPr="00C13C3A" w:rsidRDefault="00201494" w:rsidP="00E87A93">
      <w:pPr>
        <w:spacing w:line="360" w:lineRule="auto"/>
        <w:ind w:firstLine="1080"/>
        <w:jc w:val="both"/>
        <w:rPr>
          <w:b/>
        </w:rPr>
      </w:pPr>
      <w:r w:rsidRPr="00C13C3A">
        <w:rPr>
          <w:b/>
        </w:rPr>
        <w:t xml:space="preserve">  1 lentelė. Kvalifikacijos tobulinimo renginiai pagal metus.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1"/>
        <w:gridCol w:w="1771"/>
        <w:gridCol w:w="1771"/>
        <w:gridCol w:w="1771"/>
      </w:tblGrid>
      <w:tr w:rsidR="00201494" w:rsidRPr="00C13C3A" w:rsidTr="00884656">
        <w:trPr>
          <w:jc w:val="center"/>
        </w:trPr>
        <w:tc>
          <w:tcPr>
            <w:tcW w:w="1771" w:type="dxa"/>
          </w:tcPr>
          <w:p w:rsidR="00201494" w:rsidRPr="00C13C3A" w:rsidRDefault="00201494" w:rsidP="00E87A93">
            <w:pPr>
              <w:jc w:val="both"/>
              <w:rPr>
                <w:lang w:eastAsia="en-US"/>
              </w:rPr>
            </w:pPr>
            <w:r w:rsidRPr="00C13C3A">
              <w:t>Laikotarpis</w:t>
            </w:r>
          </w:p>
        </w:tc>
        <w:tc>
          <w:tcPr>
            <w:tcW w:w="1771" w:type="dxa"/>
          </w:tcPr>
          <w:p w:rsidR="00201494" w:rsidRPr="00C13C3A" w:rsidRDefault="00201494" w:rsidP="00E87A93">
            <w:pPr>
              <w:jc w:val="both"/>
              <w:rPr>
                <w:lang w:eastAsia="en-US"/>
              </w:rPr>
            </w:pPr>
            <w:r w:rsidRPr="00C13C3A">
              <w:t>Seminarų skaičius</w:t>
            </w:r>
          </w:p>
        </w:tc>
        <w:tc>
          <w:tcPr>
            <w:tcW w:w="1771" w:type="dxa"/>
          </w:tcPr>
          <w:p w:rsidR="00201494" w:rsidRPr="00C13C3A" w:rsidRDefault="00201494" w:rsidP="00E87A93">
            <w:pPr>
              <w:jc w:val="both"/>
              <w:rPr>
                <w:lang w:eastAsia="en-US"/>
              </w:rPr>
            </w:pPr>
            <w:r w:rsidRPr="00C13C3A">
              <w:t>Dalyvių skaičius</w:t>
            </w:r>
          </w:p>
        </w:tc>
        <w:tc>
          <w:tcPr>
            <w:tcW w:w="1771" w:type="dxa"/>
          </w:tcPr>
          <w:p w:rsidR="00201494" w:rsidRPr="00C13C3A" w:rsidRDefault="00201494" w:rsidP="00E87A93">
            <w:pPr>
              <w:jc w:val="both"/>
              <w:rPr>
                <w:lang w:eastAsia="en-US"/>
              </w:rPr>
            </w:pPr>
            <w:r w:rsidRPr="00C13C3A">
              <w:t>Valandų skaičius</w:t>
            </w:r>
          </w:p>
        </w:tc>
      </w:tr>
      <w:tr w:rsidR="00201494" w:rsidRPr="00C13C3A" w:rsidTr="00884656">
        <w:trPr>
          <w:jc w:val="center"/>
        </w:trPr>
        <w:tc>
          <w:tcPr>
            <w:tcW w:w="1771" w:type="dxa"/>
          </w:tcPr>
          <w:p w:rsidR="00201494" w:rsidRPr="00C13C3A" w:rsidRDefault="00201494" w:rsidP="00011D38">
            <w:pPr>
              <w:jc w:val="center"/>
              <w:rPr>
                <w:lang w:eastAsia="en-US"/>
              </w:rPr>
            </w:pPr>
            <w:r w:rsidRPr="00C13C3A">
              <w:t>2010 m.</w:t>
            </w:r>
          </w:p>
        </w:tc>
        <w:tc>
          <w:tcPr>
            <w:tcW w:w="1771" w:type="dxa"/>
          </w:tcPr>
          <w:p w:rsidR="00201494" w:rsidRPr="00C13C3A" w:rsidRDefault="00201494" w:rsidP="00011D38">
            <w:pPr>
              <w:jc w:val="center"/>
              <w:rPr>
                <w:lang w:eastAsia="en-US"/>
              </w:rPr>
            </w:pPr>
            <w:r w:rsidRPr="00C13C3A">
              <w:t>98</w:t>
            </w:r>
          </w:p>
        </w:tc>
        <w:tc>
          <w:tcPr>
            <w:tcW w:w="1771" w:type="dxa"/>
          </w:tcPr>
          <w:p w:rsidR="00201494" w:rsidRPr="00C13C3A" w:rsidRDefault="00201494" w:rsidP="00011D38">
            <w:pPr>
              <w:jc w:val="center"/>
              <w:rPr>
                <w:lang w:eastAsia="en-US"/>
              </w:rPr>
            </w:pPr>
            <w:r w:rsidRPr="00C13C3A">
              <w:t>2133</w:t>
            </w:r>
          </w:p>
        </w:tc>
        <w:tc>
          <w:tcPr>
            <w:tcW w:w="1771" w:type="dxa"/>
          </w:tcPr>
          <w:p w:rsidR="00201494" w:rsidRDefault="00201494" w:rsidP="00011D38">
            <w:pPr>
              <w:jc w:val="center"/>
            </w:pPr>
            <w:r w:rsidRPr="00C13C3A">
              <w:t>588</w:t>
            </w:r>
          </w:p>
          <w:p w:rsidR="00201494" w:rsidRPr="00C13C3A" w:rsidRDefault="00201494" w:rsidP="00011D38">
            <w:pPr>
              <w:jc w:val="center"/>
              <w:rPr>
                <w:lang w:eastAsia="en-US"/>
              </w:rPr>
            </w:pPr>
          </w:p>
        </w:tc>
      </w:tr>
      <w:tr w:rsidR="00201494" w:rsidRPr="00C13C3A" w:rsidTr="00884656">
        <w:trPr>
          <w:jc w:val="center"/>
        </w:trPr>
        <w:tc>
          <w:tcPr>
            <w:tcW w:w="1771" w:type="dxa"/>
          </w:tcPr>
          <w:p w:rsidR="00201494" w:rsidRPr="00C13C3A" w:rsidRDefault="00201494" w:rsidP="00011D38">
            <w:pPr>
              <w:jc w:val="center"/>
              <w:rPr>
                <w:lang w:eastAsia="en-US"/>
              </w:rPr>
            </w:pPr>
            <w:r w:rsidRPr="00C13C3A">
              <w:t>2011 m.</w:t>
            </w:r>
          </w:p>
        </w:tc>
        <w:tc>
          <w:tcPr>
            <w:tcW w:w="1771" w:type="dxa"/>
          </w:tcPr>
          <w:p w:rsidR="00201494" w:rsidRPr="00C13C3A" w:rsidRDefault="00201494" w:rsidP="00011D38">
            <w:pPr>
              <w:jc w:val="center"/>
              <w:rPr>
                <w:lang w:eastAsia="en-US"/>
              </w:rPr>
            </w:pPr>
            <w:r w:rsidRPr="00C13C3A">
              <w:t>60</w:t>
            </w:r>
          </w:p>
        </w:tc>
        <w:tc>
          <w:tcPr>
            <w:tcW w:w="1771" w:type="dxa"/>
          </w:tcPr>
          <w:p w:rsidR="00201494" w:rsidRPr="00C13C3A" w:rsidRDefault="00201494" w:rsidP="00011D38">
            <w:pPr>
              <w:jc w:val="center"/>
              <w:rPr>
                <w:lang w:eastAsia="en-US"/>
              </w:rPr>
            </w:pPr>
            <w:r w:rsidRPr="00C13C3A">
              <w:t>1168</w:t>
            </w:r>
          </w:p>
        </w:tc>
        <w:tc>
          <w:tcPr>
            <w:tcW w:w="1771" w:type="dxa"/>
          </w:tcPr>
          <w:p w:rsidR="00201494" w:rsidRDefault="00201494" w:rsidP="00011D38">
            <w:pPr>
              <w:jc w:val="center"/>
            </w:pPr>
            <w:r w:rsidRPr="00C13C3A">
              <w:t>360</w:t>
            </w:r>
          </w:p>
          <w:p w:rsidR="00201494" w:rsidRPr="00C13C3A" w:rsidRDefault="00201494" w:rsidP="00011D38">
            <w:pPr>
              <w:jc w:val="center"/>
              <w:rPr>
                <w:lang w:eastAsia="en-US"/>
              </w:rPr>
            </w:pPr>
          </w:p>
        </w:tc>
      </w:tr>
      <w:tr w:rsidR="00201494" w:rsidRPr="00C13C3A" w:rsidTr="00884656">
        <w:trPr>
          <w:jc w:val="center"/>
        </w:trPr>
        <w:tc>
          <w:tcPr>
            <w:tcW w:w="1771" w:type="dxa"/>
          </w:tcPr>
          <w:p w:rsidR="00201494" w:rsidRPr="00C13C3A" w:rsidRDefault="00201494" w:rsidP="00011D38">
            <w:pPr>
              <w:jc w:val="center"/>
              <w:rPr>
                <w:lang w:eastAsia="en-US"/>
              </w:rPr>
            </w:pPr>
            <w:r w:rsidRPr="00C13C3A">
              <w:t>2012 m.</w:t>
            </w:r>
          </w:p>
        </w:tc>
        <w:tc>
          <w:tcPr>
            <w:tcW w:w="1771" w:type="dxa"/>
          </w:tcPr>
          <w:p w:rsidR="00201494" w:rsidRPr="00C13C3A" w:rsidRDefault="00201494" w:rsidP="00011D38">
            <w:pPr>
              <w:jc w:val="center"/>
              <w:rPr>
                <w:lang w:eastAsia="en-US"/>
              </w:rPr>
            </w:pPr>
            <w:r w:rsidRPr="00C13C3A">
              <w:t>37</w:t>
            </w:r>
          </w:p>
        </w:tc>
        <w:tc>
          <w:tcPr>
            <w:tcW w:w="1771" w:type="dxa"/>
          </w:tcPr>
          <w:p w:rsidR="00201494" w:rsidRPr="00C13C3A" w:rsidRDefault="00201494" w:rsidP="00011D38">
            <w:pPr>
              <w:jc w:val="center"/>
              <w:rPr>
                <w:lang w:eastAsia="en-US"/>
              </w:rPr>
            </w:pPr>
            <w:r w:rsidRPr="00C13C3A">
              <w:t>844</w:t>
            </w:r>
          </w:p>
        </w:tc>
        <w:tc>
          <w:tcPr>
            <w:tcW w:w="1771" w:type="dxa"/>
          </w:tcPr>
          <w:p w:rsidR="00201494" w:rsidRDefault="00201494" w:rsidP="00011D38">
            <w:pPr>
              <w:jc w:val="center"/>
            </w:pPr>
            <w:r w:rsidRPr="00C13C3A">
              <w:t>222</w:t>
            </w:r>
          </w:p>
          <w:p w:rsidR="00201494" w:rsidRPr="00C13C3A" w:rsidRDefault="00201494" w:rsidP="00011D38">
            <w:pPr>
              <w:jc w:val="center"/>
              <w:rPr>
                <w:lang w:eastAsia="en-US"/>
              </w:rPr>
            </w:pPr>
          </w:p>
        </w:tc>
      </w:tr>
      <w:tr w:rsidR="00201494" w:rsidRPr="00C13C3A" w:rsidTr="00884656">
        <w:trPr>
          <w:jc w:val="center"/>
        </w:trPr>
        <w:tc>
          <w:tcPr>
            <w:tcW w:w="1771" w:type="dxa"/>
          </w:tcPr>
          <w:p w:rsidR="00201494" w:rsidRPr="00C13C3A" w:rsidRDefault="00201494" w:rsidP="00011D38">
            <w:pPr>
              <w:jc w:val="center"/>
              <w:rPr>
                <w:lang w:eastAsia="en-US"/>
              </w:rPr>
            </w:pPr>
            <w:r w:rsidRPr="00C13C3A">
              <w:t>2013 m.</w:t>
            </w:r>
          </w:p>
        </w:tc>
        <w:tc>
          <w:tcPr>
            <w:tcW w:w="1771" w:type="dxa"/>
          </w:tcPr>
          <w:p w:rsidR="00201494" w:rsidRPr="00C13C3A" w:rsidRDefault="00201494" w:rsidP="00011D38">
            <w:pPr>
              <w:jc w:val="center"/>
              <w:rPr>
                <w:lang w:eastAsia="en-US"/>
              </w:rPr>
            </w:pPr>
            <w:r w:rsidRPr="00C13C3A">
              <w:t>43</w:t>
            </w:r>
          </w:p>
        </w:tc>
        <w:tc>
          <w:tcPr>
            <w:tcW w:w="1771" w:type="dxa"/>
          </w:tcPr>
          <w:p w:rsidR="00201494" w:rsidRPr="00C13C3A" w:rsidRDefault="00201494" w:rsidP="00011D38">
            <w:pPr>
              <w:jc w:val="center"/>
              <w:rPr>
                <w:lang w:eastAsia="en-US"/>
              </w:rPr>
            </w:pPr>
            <w:r w:rsidRPr="00C13C3A">
              <w:t>1030</w:t>
            </w:r>
          </w:p>
        </w:tc>
        <w:tc>
          <w:tcPr>
            <w:tcW w:w="1771" w:type="dxa"/>
          </w:tcPr>
          <w:p w:rsidR="00201494" w:rsidRDefault="00201494" w:rsidP="00011D38">
            <w:pPr>
              <w:jc w:val="center"/>
            </w:pPr>
            <w:r w:rsidRPr="00C13C3A">
              <w:t>258</w:t>
            </w:r>
          </w:p>
          <w:p w:rsidR="00201494" w:rsidRPr="00C13C3A" w:rsidRDefault="00201494" w:rsidP="00011D38">
            <w:pPr>
              <w:jc w:val="center"/>
              <w:rPr>
                <w:lang w:eastAsia="en-US"/>
              </w:rPr>
            </w:pPr>
          </w:p>
        </w:tc>
      </w:tr>
      <w:tr w:rsidR="00201494" w:rsidRPr="00C13C3A" w:rsidTr="00884656">
        <w:trPr>
          <w:jc w:val="center"/>
        </w:trPr>
        <w:tc>
          <w:tcPr>
            <w:tcW w:w="1771" w:type="dxa"/>
          </w:tcPr>
          <w:p w:rsidR="00201494" w:rsidRPr="00C13C3A" w:rsidRDefault="00201494" w:rsidP="00011D38">
            <w:pPr>
              <w:jc w:val="center"/>
            </w:pPr>
            <w:r w:rsidRPr="00C13C3A">
              <w:t>2014 m.</w:t>
            </w:r>
          </w:p>
        </w:tc>
        <w:tc>
          <w:tcPr>
            <w:tcW w:w="1771" w:type="dxa"/>
          </w:tcPr>
          <w:p w:rsidR="00201494" w:rsidRPr="00C13C3A" w:rsidRDefault="00201494" w:rsidP="00011D38">
            <w:pPr>
              <w:jc w:val="center"/>
            </w:pPr>
            <w:r w:rsidRPr="00C13C3A">
              <w:t>60</w:t>
            </w:r>
          </w:p>
        </w:tc>
        <w:tc>
          <w:tcPr>
            <w:tcW w:w="1771" w:type="dxa"/>
          </w:tcPr>
          <w:p w:rsidR="00201494" w:rsidRPr="00C13C3A" w:rsidRDefault="00201494" w:rsidP="00011D38">
            <w:pPr>
              <w:jc w:val="center"/>
            </w:pPr>
            <w:r w:rsidRPr="00C13C3A">
              <w:t>1611</w:t>
            </w:r>
          </w:p>
        </w:tc>
        <w:tc>
          <w:tcPr>
            <w:tcW w:w="1771" w:type="dxa"/>
          </w:tcPr>
          <w:p w:rsidR="00201494" w:rsidRDefault="00201494" w:rsidP="00011D38">
            <w:pPr>
              <w:jc w:val="center"/>
            </w:pPr>
            <w:r w:rsidRPr="00C13C3A">
              <w:t>360</w:t>
            </w:r>
          </w:p>
          <w:p w:rsidR="00201494" w:rsidRPr="00C13C3A" w:rsidRDefault="00201494" w:rsidP="00011D38">
            <w:pPr>
              <w:jc w:val="center"/>
            </w:pPr>
          </w:p>
        </w:tc>
      </w:tr>
      <w:tr w:rsidR="00201494" w:rsidRPr="00C13C3A" w:rsidTr="00884656">
        <w:trPr>
          <w:jc w:val="center"/>
        </w:trPr>
        <w:tc>
          <w:tcPr>
            <w:tcW w:w="1771" w:type="dxa"/>
          </w:tcPr>
          <w:p w:rsidR="00201494" w:rsidRPr="00C13C3A" w:rsidRDefault="00201494" w:rsidP="00011D38">
            <w:pPr>
              <w:jc w:val="center"/>
            </w:pPr>
            <w:r w:rsidRPr="00C13C3A">
              <w:t>2015 m.</w:t>
            </w:r>
          </w:p>
        </w:tc>
        <w:tc>
          <w:tcPr>
            <w:tcW w:w="1771" w:type="dxa"/>
          </w:tcPr>
          <w:p w:rsidR="00201494" w:rsidRPr="00C13C3A" w:rsidRDefault="00201494" w:rsidP="00011D38">
            <w:pPr>
              <w:jc w:val="center"/>
            </w:pPr>
            <w:r w:rsidRPr="00C13C3A">
              <w:t>66</w:t>
            </w:r>
          </w:p>
        </w:tc>
        <w:tc>
          <w:tcPr>
            <w:tcW w:w="1771" w:type="dxa"/>
          </w:tcPr>
          <w:p w:rsidR="00201494" w:rsidRPr="00C13C3A" w:rsidRDefault="00201494" w:rsidP="00011D38">
            <w:pPr>
              <w:jc w:val="center"/>
            </w:pPr>
            <w:r w:rsidRPr="00C13C3A">
              <w:t>2020</w:t>
            </w:r>
          </w:p>
        </w:tc>
        <w:tc>
          <w:tcPr>
            <w:tcW w:w="1771" w:type="dxa"/>
          </w:tcPr>
          <w:p w:rsidR="00201494" w:rsidRDefault="00201494" w:rsidP="00011D38">
            <w:pPr>
              <w:jc w:val="center"/>
            </w:pPr>
            <w:r w:rsidRPr="00C13C3A">
              <w:t>396</w:t>
            </w:r>
          </w:p>
          <w:p w:rsidR="00201494" w:rsidRPr="00C13C3A" w:rsidRDefault="00201494" w:rsidP="00011D38">
            <w:pPr>
              <w:jc w:val="center"/>
            </w:pPr>
          </w:p>
        </w:tc>
      </w:tr>
    </w:tbl>
    <w:p w:rsidR="00201494" w:rsidRDefault="00201494" w:rsidP="00E87A93">
      <w:pPr>
        <w:pStyle w:val="Default"/>
        <w:spacing w:line="360" w:lineRule="auto"/>
        <w:jc w:val="both"/>
        <w:rPr>
          <w:bCs/>
          <w:color w:val="FF0000"/>
          <w:sz w:val="23"/>
          <w:szCs w:val="23"/>
          <w:lang w:val="lt-LT"/>
        </w:rPr>
      </w:pPr>
    </w:p>
    <w:p w:rsidR="00201494" w:rsidRPr="0033313A" w:rsidRDefault="00201494" w:rsidP="00E87A93">
      <w:pPr>
        <w:pStyle w:val="Default"/>
        <w:spacing w:line="360" w:lineRule="auto"/>
        <w:jc w:val="both"/>
        <w:rPr>
          <w:bCs/>
          <w:color w:val="auto"/>
          <w:sz w:val="23"/>
          <w:szCs w:val="23"/>
          <w:lang w:val="lt-LT"/>
        </w:rPr>
      </w:pPr>
      <w:r>
        <w:rPr>
          <w:bCs/>
          <w:color w:val="auto"/>
          <w:sz w:val="23"/>
          <w:szCs w:val="23"/>
          <w:lang w:val="lt-LT"/>
        </w:rPr>
        <w:t xml:space="preserve">          Didėjantis</w:t>
      </w:r>
      <w:r w:rsidRPr="00FF2826">
        <w:rPr>
          <w:bCs/>
          <w:color w:val="auto"/>
          <w:sz w:val="23"/>
          <w:szCs w:val="23"/>
          <w:lang w:val="lt-LT"/>
        </w:rPr>
        <w:t xml:space="preserve"> kvalifikacijos tobulinimo seminarų skaičius rodo gilesnę mokyklų ugdymo proceso analizę bei poreikį kvalifikacijos tobulinimui.</w:t>
      </w:r>
      <w:r>
        <w:rPr>
          <w:bCs/>
          <w:color w:val="auto"/>
          <w:sz w:val="23"/>
          <w:szCs w:val="23"/>
          <w:lang w:val="lt-LT"/>
        </w:rPr>
        <w:t xml:space="preserve"> Daugiausiai seminarų – </w:t>
      </w:r>
      <w:r w:rsidRPr="00FF2826">
        <w:rPr>
          <w:bCs/>
          <w:color w:val="auto"/>
          <w:sz w:val="23"/>
          <w:szCs w:val="23"/>
          <w:lang w:val="lt-LT"/>
        </w:rPr>
        <w:t xml:space="preserve">43 organizavome  </w:t>
      </w:r>
      <w:r w:rsidRPr="00FF2826">
        <w:rPr>
          <w:color w:val="auto"/>
          <w:lang w:val="lt-LT"/>
        </w:rPr>
        <w:t xml:space="preserve">pagrindinių ir vidurinių mokyklų dalykų mokytojams, pradinio ugdymo pedagogams – 3, neformaliojo vaikų švietimo mokytojams </w:t>
      </w:r>
      <w:r>
        <w:rPr>
          <w:color w:val="auto"/>
          <w:lang w:val="lt-LT"/>
        </w:rPr>
        <w:t xml:space="preserve">– </w:t>
      </w:r>
      <w:r w:rsidRPr="00FF2826">
        <w:rPr>
          <w:color w:val="auto"/>
          <w:lang w:val="lt-LT"/>
        </w:rPr>
        <w:t xml:space="preserve">3, mokyklų vadovams, specialiojo ugdymo pedagogams – po 2.  </w:t>
      </w:r>
      <w:r w:rsidRPr="00FF2826">
        <w:rPr>
          <w:bCs/>
          <w:color w:val="auto"/>
          <w:sz w:val="23"/>
          <w:szCs w:val="23"/>
          <w:lang w:val="lt-LT"/>
        </w:rPr>
        <w:t>Atsižvelgdami į klientų pageidavimus 27 seminarus ir 2 kursus  organizavome bendruomenių darbo vietose. Seminarų temos yra atnaujinamos</w:t>
      </w:r>
      <w:r>
        <w:rPr>
          <w:bCs/>
          <w:color w:val="auto"/>
          <w:sz w:val="23"/>
          <w:szCs w:val="23"/>
          <w:lang w:val="lt-LT"/>
        </w:rPr>
        <w:t>,</w:t>
      </w:r>
      <w:r w:rsidRPr="00FF2826">
        <w:rPr>
          <w:bCs/>
          <w:color w:val="auto"/>
          <w:sz w:val="23"/>
          <w:szCs w:val="23"/>
          <w:lang w:val="lt-LT"/>
        </w:rPr>
        <w:t xml:space="preserve"> atsižvelgiant į švietimo kaitos tendencijas, naujus švietimo politikos formavimo dokumentus. Grįžtamoji informacija apie kvalifikacijos tobulinimo renginius renkama ir iš dalyvių, ir iš lektorių. Gauta informacija yra naudojama renginių organizavimo kokybei gerinti, pagal poreikį gali būti. koreguoja</w:t>
      </w:r>
      <w:r>
        <w:rPr>
          <w:bCs/>
          <w:color w:val="auto"/>
          <w:sz w:val="23"/>
          <w:szCs w:val="23"/>
          <w:lang w:val="lt-LT"/>
        </w:rPr>
        <w:t>mas programos turinys. Skatinau</w:t>
      </w:r>
      <w:r w:rsidRPr="00FF2826">
        <w:rPr>
          <w:bCs/>
          <w:color w:val="auto"/>
          <w:sz w:val="23"/>
          <w:szCs w:val="23"/>
          <w:lang w:val="lt-LT"/>
        </w:rPr>
        <w:t xml:space="preserve"> rajono mokytojus, turinčius ek</w:t>
      </w:r>
      <w:r>
        <w:rPr>
          <w:bCs/>
          <w:color w:val="auto"/>
          <w:sz w:val="23"/>
          <w:szCs w:val="23"/>
          <w:lang w:val="lt-LT"/>
        </w:rPr>
        <w:t>sperto kvalifikacinę kategoriją</w:t>
      </w:r>
      <w:r w:rsidRPr="00FF2826">
        <w:rPr>
          <w:bCs/>
          <w:color w:val="auto"/>
          <w:sz w:val="23"/>
          <w:szCs w:val="23"/>
          <w:lang w:val="lt-LT"/>
        </w:rPr>
        <w:t xml:space="preserve"> rengti kvalifikacijos tobulinimo programas, pristatant savo patirtį ne tik mūsų rajone, bet ir šalyje.</w:t>
      </w:r>
    </w:p>
    <w:p w:rsidR="00201494" w:rsidRPr="00FF2826" w:rsidRDefault="00201494" w:rsidP="00E87A93">
      <w:pPr>
        <w:pStyle w:val="Default"/>
        <w:spacing w:line="360" w:lineRule="auto"/>
        <w:jc w:val="both"/>
        <w:rPr>
          <w:bCs/>
          <w:color w:val="auto"/>
          <w:sz w:val="23"/>
          <w:szCs w:val="23"/>
          <w:lang w:val="lt-LT"/>
        </w:rPr>
      </w:pPr>
      <w:r>
        <w:rPr>
          <w:bCs/>
          <w:color w:val="FF0000"/>
          <w:sz w:val="23"/>
          <w:szCs w:val="23"/>
          <w:lang w:val="lt-LT"/>
        </w:rPr>
        <w:t xml:space="preserve">         </w:t>
      </w:r>
      <w:r w:rsidRPr="007C0BB3">
        <w:rPr>
          <w:bCs/>
          <w:color w:val="FF0000"/>
          <w:sz w:val="23"/>
          <w:szCs w:val="23"/>
          <w:lang w:val="lt-LT"/>
        </w:rPr>
        <w:t xml:space="preserve"> </w:t>
      </w:r>
      <w:r w:rsidRPr="00FF2826">
        <w:rPr>
          <w:bCs/>
          <w:color w:val="auto"/>
          <w:sz w:val="23"/>
          <w:szCs w:val="23"/>
          <w:lang w:val="lt-LT"/>
        </w:rPr>
        <w:t>Vadovavau kolektyvui koordinuojant metodinių būrelių bei Mokyklų metodinės tarybos veiklą, Mažosios tarybos veiklą</w:t>
      </w:r>
      <w:r>
        <w:rPr>
          <w:bCs/>
          <w:color w:val="FF0000"/>
          <w:sz w:val="23"/>
          <w:szCs w:val="23"/>
          <w:lang w:val="lt-LT"/>
        </w:rPr>
        <w:t>.</w:t>
      </w:r>
      <w:r w:rsidRPr="007C0BB3">
        <w:rPr>
          <w:bCs/>
          <w:color w:val="FF0000"/>
          <w:sz w:val="23"/>
          <w:szCs w:val="23"/>
          <w:lang w:val="lt-LT"/>
        </w:rPr>
        <w:t xml:space="preserve"> </w:t>
      </w:r>
      <w:r w:rsidRPr="00FF2826">
        <w:rPr>
          <w:bCs/>
          <w:color w:val="auto"/>
          <w:sz w:val="23"/>
          <w:szCs w:val="23"/>
          <w:lang w:val="lt-LT"/>
        </w:rPr>
        <w:t>R</w:t>
      </w:r>
      <w:r>
        <w:rPr>
          <w:bCs/>
          <w:color w:val="auto"/>
          <w:sz w:val="23"/>
          <w:szCs w:val="23"/>
          <w:lang w:val="lt-LT"/>
        </w:rPr>
        <w:t>ajone veikia 24 mokomųjų dalykų</w:t>
      </w:r>
      <w:r w:rsidRPr="00FF2826">
        <w:rPr>
          <w:bCs/>
          <w:color w:val="auto"/>
          <w:sz w:val="23"/>
          <w:szCs w:val="23"/>
          <w:lang w:val="lt-LT"/>
        </w:rPr>
        <w:t xml:space="preserve"> metodiniai būreliai, organizuota </w:t>
      </w:r>
      <w:r w:rsidRPr="00115720">
        <w:rPr>
          <w:bCs/>
          <w:color w:val="auto"/>
          <w:sz w:val="23"/>
          <w:szCs w:val="23"/>
          <w:lang w:val="lt-LT"/>
        </w:rPr>
        <w:t>56</w:t>
      </w:r>
      <w:r w:rsidRPr="007C0BB3">
        <w:rPr>
          <w:bCs/>
          <w:color w:val="FF0000"/>
          <w:sz w:val="23"/>
          <w:szCs w:val="23"/>
          <w:lang w:val="lt-LT"/>
        </w:rPr>
        <w:t xml:space="preserve"> </w:t>
      </w:r>
      <w:r w:rsidRPr="00115720">
        <w:rPr>
          <w:bCs/>
          <w:color w:val="auto"/>
          <w:sz w:val="23"/>
          <w:szCs w:val="23"/>
          <w:lang w:val="lt-LT"/>
        </w:rPr>
        <w:t>pasitarimai, 4</w:t>
      </w:r>
      <w:r w:rsidRPr="007C0BB3">
        <w:rPr>
          <w:bCs/>
          <w:color w:val="FF0000"/>
          <w:sz w:val="23"/>
          <w:szCs w:val="23"/>
          <w:lang w:val="lt-LT"/>
        </w:rPr>
        <w:t xml:space="preserve"> </w:t>
      </w:r>
      <w:r>
        <w:rPr>
          <w:bCs/>
          <w:color w:val="auto"/>
          <w:sz w:val="23"/>
          <w:szCs w:val="23"/>
          <w:lang w:val="lt-LT"/>
        </w:rPr>
        <w:t>metodinės išvykos, skaityta 30 paskaitų.</w:t>
      </w:r>
    </w:p>
    <w:tbl>
      <w:tblPr>
        <w:tblW w:w="0" w:type="auto"/>
        <w:tblInd w:w="2311" w:type="dxa"/>
        <w:tblLayout w:type="fixed"/>
        <w:tblLook w:val="0000"/>
      </w:tblPr>
      <w:tblGrid>
        <w:gridCol w:w="4240"/>
      </w:tblGrid>
      <w:tr w:rsidR="00201494" w:rsidRPr="007C0BB3" w:rsidTr="00884656">
        <w:trPr>
          <w:trHeight w:val="249"/>
        </w:trPr>
        <w:tc>
          <w:tcPr>
            <w:tcW w:w="4240" w:type="dxa"/>
          </w:tcPr>
          <w:p w:rsidR="00201494" w:rsidRPr="007C0BB3" w:rsidRDefault="00201494" w:rsidP="00E87A93">
            <w:pPr>
              <w:autoSpaceDE w:val="0"/>
              <w:autoSpaceDN w:val="0"/>
              <w:adjustRightInd w:val="0"/>
              <w:spacing w:line="360" w:lineRule="auto"/>
              <w:jc w:val="both"/>
              <w:rPr>
                <w:color w:val="FF0000"/>
                <w:lang w:eastAsia="en-US"/>
              </w:rPr>
            </w:pPr>
          </w:p>
        </w:tc>
      </w:tr>
    </w:tbl>
    <w:p w:rsidR="00201494" w:rsidRPr="00AD1DF4" w:rsidRDefault="00201494" w:rsidP="00AD1DF4">
      <w:pPr>
        <w:spacing w:line="360" w:lineRule="auto"/>
      </w:pPr>
      <w:r w:rsidRPr="00AD1DF4">
        <w:rPr>
          <w:b/>
        </w:rPr>
        <w:t xml:space="preserve">                            V. Veiklos įsivertinimo organizavimas bei rezultatų panaudojimas. </w:t>
      </w:r>
    </w:p>
    <w:p w:rsidR="00201494" w:rsidRPr="00AD1DF4" w:rsidRDefault="00201494" w:rsidP="00AD1DF4">
      <w:pPr>
        <w:spacing w:line="360" w:lineRule="auto"/>
        <w:jc w:val="both"/>
      </w:pPr>
      <w:r>
        <w:t xml:space="preserve">           </w:t>
      </w:r>
      <w:r w:rsidRPr="00AD1DF4">
        <w:t>Siekiant institucijos veiklos tobulinimo Centras atlieka vidinį savo veiklos tyrimą pagal aktualias sritis. Įsivertinus veiklą už 2015 m. buvo nustatytas nepakankamas bendradarbiavimas su mokyklomis planuojant kva</w:t>
      </w:r>
      <w:bookmarkStart w:id="0" w:name="OLE_LINK1"/>
      <w:bookmarkStart w:id="1" w:name="OLE_LINK2"/>
      <w:r w:rsidRPr="00AD1DF4">
        <w:t>lifikacijos tobulinimo procesą, todėl planuojame daugiau naudotis duomenimis grįsta informacija, mokyklų vertinimo išvadomis. Dalykinių pokalbių su mokyklų vadovais metu planuoti mokyklų bendruomenių kvalifikacijos tobulinimo renginius, išsiaiškinti bendruomenės kvalifikacijos tobulinimo poreikis derinant su asmenų poreikiu mokytis.</w:t>
      </w:r>
    </w:p>
    <w:p w:rsidR="00201494" w:rsidRPr="00AD1DF4" w:rsidRDefault="00201494" w:rsidP="00AD1DF4">
      <w:pPr>
        <w:spacing w:line="360" w:lineRule="auto"/>
        <w:jc w:val="both"/>
      </w:pPr>
      <w:r w:rsidRPr="00AD1DF4">
        <w:t xml:space="preserve">             Skatinti ir motyvuoti mokytoju</w:t>
      </w:r>
      <w:bookmarkEnd w:id="0"/>
      <w:bookmarkEnd w:id="1"/>
      <w:r w:rsidRPr="00AD1DF4">
        <w:t>s, ypač aukštą kvalifikacinę kategoriją turinčius mokytojus,  savanoriškai veiklai dar tęsiasi. Daug dėmesio skyriau atsakingam pasiruošimui organizuojant metodinių būrelių pasitarimus. Kartu su Švietimo skyriumi analizuotas mokyklų metodinės veiklos veiksmingumas padeda toliau aktyvinti mokytojus. Išrinkta Mokyklų metodinės tarybos Mažoji taryba analizuoja veiklos situaciją rajone, rengia veiklos planą, teikia pasiūlymus dėl metodinės veiklos organizavimo. Numatytas prioritetas – aukštesnio lygmens mąstymo gebėjimų tobulinimas dvejiems metams, organizuojami renginiai šio prioriteto įgyvendinimui.</w:t>
      </w:r>
    </w:p>
    <w:p w:rsidR="00201494" w:rsidRPr="00AD1DF4" w:rsidRDefault="00201494" w:rsidP="00AD1DF4">
      <w:pPr>
        <w:spacing w:line="360" w:lineRule="auto"/>
        <w:rPr>
          <w:b/>
        </w:rPr>
      </w:pPr>
      <w:r w:rsidRPr="00AD1DF4">
        <w:rPr>
          <w:b/>
        </w:rPr>
        <w:t xml:space="preserve">          VI. Turto ir lėšų administravimas, papildomų finansinių išteklių pritraukimas.</w:t>
      </w:r>
    </w:p>
    <w:p w:rsidR="00201494" w:rsidRPr="00AD1DF4" w:rsidRDefault="00201494" w:rsidP="00AD1DF4">
      <w:pPr>
        <w:rPr>
          <w:lang w:eastAsia="en-US"/>
        </w:rPr>
      </w:pPr>
      <w:r w:rsidRPr="00AD1DF4">
        <w:rPr>
          <w:b/>
        </w:rPr>
        <w:t xml:space="preserve">          </w:t>
      </w:r>
      <w:r w:rsidRPr="00AD1DF4">
        <w:rPr>
          <w:b/>
          <w:lang w:val="pt-BR"/>
        </w:rPr>
        <w:t>2 lentelė.  Prienų švietimo centro 2015 m. gautos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45"/>
        <w:gridCol w:w="2127"/>
      </w:tblGrid>
      <w:tr w:rsidR="00201494" w:rsidRPr="00AD1DF4" w:rsidTr="0005301E">
        <w:tc>
          <w:tcPr>
            <w:tcW w:w="6345" w:type="dxa"/>
          </w:tcPr>
          <w:p w:rsidR="00201494" w:rsidRPr="0005301E" w:rsidRDefault="00201494" w:rsidP="002226F2">
            <w:pPr>
              <w:rPr>
                <w:lang w:eastAsia="en-US"/>
              </w:rPr>
            </w:pPr>
            <w:r w:rsidRPr="00AD1DF4">
              <w:t>Finansavimo šaltiniai</w:t>
            </w:r>
          </w:p>
        </w:tc>
        <w:tc>
          <w:tcPr>
            <w:tcW w:w="2127" w:type="dxa"/>
          </w:tcPr>
          <w:p w:rsidR="00201494" w:rsidRPr="0005301E" w:rsidRDefault="00201494" w:rsidP="0005301E">
            <w:pPr>
              <w:jc w:val="center"/>
              <w:rPr>
                <w:lang w:eastAsia="en-US"/>
              </w:rPr>
            </w:pPr>
            <w:r w:rsidRPr="0005301E">
              <w:rPr>
                <w:lang w:eastAsia="en-US"/>
              </w:rPr>
              <w:t>Lėšos (Eur.)  2015 m.</w:t>
            </w:r>
          </w:p>
          <w:p w:rsidR="00201494" w:rsidRPr="0005301E" w:rsidRDefault="00201494" w:rsidP="0005301E">
            <w:pPr>
              <w:jc w:val="center"/>
              <w:rPr>
                <w:lang w:eastAsia="en-US"/>
              </w:rPr>
            </w:pPr>
          </w:p>
        </w:tc>
      </w:tr>
      <w:tr w:rsidR="00201494" w:rsidRPr="00AD1DF4" w:rsidTr="0005301E">
        <w:tc>
          <w:tcPr>
            <w:tcW w:w="6345" w:type="dxa"/>
          </w:tcPr>
          <w:p w:rsidR="00201494" w:rsidRPr="0005301E" w:rsidRDefault="00201494" w:rsidP="002226F2">
            <w:pPr>
              <w:rPr>
                <w:lang w:eastAsia="en-US"/>
              </w:rPr>
            </w:pPr>
            <w:r w:rsidRPr="0005301E">
              <w:rPr>
                <w:rFonts w:eastAsia="SimSun"/>
              </w:rPr>
              <w:t>Savivaldybės biudžeto lėšos</w:t>
            </w:r>
          </w:p>
        </w:tc>
        <w:tc>
          <w:tcPr>
            <w:tcW w:w="2127" w:type="dxa"/>
          </w:tcPr>
          <w:p w:rsidR="00201494" w:rsidRPr="0005301E" w:rsidRDefault="00201494" w:rsidP="0005301E">
            <w:pPr>
              <w:jc w:val="center"/>
              <w:rPr>
                <w:rFonts w:eastAsia="SimSun"/>
                <w:lang w:eastAsia="zh-CN"/>
              </w:rPr>
            </w:pPr>
            <w:r w:rsidRPr="0005301E">
              <w:rPr>
                <w:rFonts w:eastAsia="SimSun"/>
                <w:lang w:eastAsia="zh-CN"/>
              </w:rPr>
              <w:t>69109,00</w:t>
            </w:r>
          </w:p>
          <w:p w:rsidR="00201494" w:rsidRPr="0005301E" w:rsidRDefault="00201494" w:rsidP="0005301E">
            <w:pPr>
              <w:jc w:val="center"/>
              <w:rPr>
                <w:lang w:eastAsia="en-US"/>
              </w:rPr>
            </w:pPr>
          </w:p>
        </w:tc>
      </w:tr>
      <w:tr w:rsidR="00201494" w:rsidRPr="00AD1DF4" w:rsidTr="0005301E">
        <w:tc>
          <w:tcPr>
            <w:tcW w:w="6345" w:type="dxa"/>
          </w:tcPr>
          <w:p w:rsidR="00201494" w:rsidRPr="0005301E" w:rsidRDefault="00201494" w:rsidP="002226F2">
            <w:pPr>
              <w:rPr>
                <w:lang w:eastAsia="en-US"/>
              </w:rPr>
            </w:pPr>
            <w:r w:rsidRPr="00AD1DF4">
              <w:t>Valstybės biudžeto lėšos</w:t>
            </w:r>
          </w:p>
        </w:tc>
        <w:tc>
          <w:tcPr>
            <w:tcW w:w="2127" w:type="dxa"/>
          </w:tcPr>
          <w:p w:rsidR="00201494" w:rsidRPr="0005301E" w:rsidRDefault="00201494" w:rsidP="0005301E">
            <w:pPr>
              <w:jc w:val="center"/>
              <w:rPr>
                <w:rFonts w:eastAsia="SimSun"/>
                <w:lang w:eastAsia="zh-CN"/>
              </w:rPr>
            </w:pPr>
            <w:r w:rsidRPr="0005301E">
              <w:rPr>
                <w:rFonts w:eastAsia="SimSun"/>
                <w:lang w:eastAsia="zh-CN"/>
              </w:rPr>
              <w:t>455,00</w:t>
            </w:r>
          </w:p>
          <w:p w:rsidR="00201494" w:rsidRPr="0005301E" w:rsidRDefault="00201494" w:rsidP="0005301E">
            <w:pPr>
              <w:jc w:val="center"/>
              <w:rPr>
                <w:lang w:eastAsia="en-US"/>
              </w:rPr>
            </w:pPr>
          </w:p>
        </w:tc>
      </w:tr>
      <w:tr w:rsidR="00201494" w:rsidRPr="00AD1DF4" w:rsidTr="0005301E">
        <w:tc>
          <w:tcPr>
            <w:tcW w:w="6345" w:type="dxa"/>
          </w:tcPr>
          <w:p w:rsidR="00201494" w:rsidRPr="0005301E" w:rsidRDefault="00201494" w:rsidP="002226F2">
            <w:pPr>
              <w:rPr>
                <w:lang w:eastAsia="en-US"/>
              </w:rPr>
            </w:pPr>
            <w:r w:rsidRPr="00AD1DF4">
              <w:t>Biudžetinės įstaigos pajamos</w:t>
            </w:r>
          </w:p>
        </w:tc>
        <w:tc>
          <w:tcPr>
            <w:tcW w:w="2127" w:type="dxa"/>
          </w:tcPr>
          <w:p w:rsidR="00201494" w:rsidRPr="0005301E" w:rsidRDefault="00201494" w:rsidP="0005301E">
            <w:pPr>
              <w:jc w:val="center"/>
              <w:rPr>
                <w:rFonts w:eastAsia="SimSun"/>
                <w:lang w:eastAsia="zh-CN"/>
              </w:rPr>
            </w:pPr>
            <w:r w:rsidRPr="0005301E">
              <w:rPr>
                <w:rFonts w:eastAsia="SimSun"/>
                <w:lang w:eastAsia="zh-CN"/>
              </w:rPr>
              <w:t>13179,00</w:t>
            </w:r>
          </w:p>
          <w:p w:rsidR="00201494" w:rsidRPr="0005301E" w:rsidRDefault="00201494" w:rsidP="0005301E">
            <w:pPr>
              <w:jc w:val="center"/>
              <w:rPr>
                <w:lang w:eastAsia="en-US"/>
              </w:rPr>
            </w:pPr>
          </w:p>
        </w:tc>
      </w:tr>
      <w:tr w:rsidR="00201494" w:rsidRPr="00AD1DF4" w:rsidTr="0005301E">
        <w:tc>
          <w:tcPr>
            <w:tcW w:w="6345" w:type="dxa"/>
          </w:tcPr>
          <w:p w:rsidR="00201494" w:rsidRPr="0005301E" w:rsidRDefault="00201494" w:rsidP="002226F2">
            <w:pPr>
              <w:rPr>
                <w:lang w:eastAsia="en-US"/>
              </w:rPr>
            </w:pPr>
            <w:r w:rsidRPr="00AD1DF4">
              <w:t>Projektų ir kitos lėšos (E</w:t>
            </w:r>
            <w:r w:rsidRPr="0005301E">
              <w:t>uropos sąjungos, valstybės biudžeto , 2% lėšos)</w:t>
            </w:r>
          </w:p>
        </w:tc>
        <w:tc>
          <w:tcPr>
            <w:tcW w:w="2127" w:type="dxa"/>
          </w:tcPr>
          <w:p w:rsidR="00201494" w:rsidRPr="0005301E" w:rsidRDefault="00201494" w:rsidP="0005301E">
            <w:pPr>
              <w:jc w:val="center"/>
              <w:rPr>
                <w:lang w:eastAsia="en-US"/>
              </w:rPr>
            </w:pPr>
            <w:r w:rsidRPr="0005301E">
              <w:rPr>
                <w:rFonts w:eastAsia="SimSun"/>
                <w:lang w:eastAsia="zh-CN"/>
              </w:rPr>
              <w:t>23151,00</w:t>
            </w:r>
          </w:p>
        </w:tc>
      </w:tr>
    </w:tbl>
    <w:p w:rsidR="00201494" w:rsidRPr="00AD1DF4" w:rsidRDefault="00201494" w:rsidP="00AD1DF4">
      <w:pPr>
        <w:spacing w:after="200" w:line="276" w:lineRule="auto"/>
        <w:rPr>
          <w:rFonts w:ascii="Calibri" w:hAnsi="Calibri"/>
          <w:sz w:val="22"/>
          <w:szCs w:val="22"/>
          <w:lang w:eastAsia="en-US"/>
        </w:rPr>
      </w:pPr>
    </w:p>
    <w:p w:rsidR="00201494" w:rsidRPr="007C0BB3" w:rsidRDefault="00201494" w:rsidP="0033313A">
      <w:pPr>
        <w:spacing w:line="360" w:lineRule="auto"/>
        <w:jc w:val="center"/>
        <w:rPr>
          <w:b/>
          <w:color w:val="FF0000"/>
        </w:rPr>
      </w:pPr>
      <w:r w:rsidRPr="00334E7E">
        <w:rPr>
          <w:b/>
        </w:rPr>
        <w:t>VII. Veikla planuojant ir keičiant centro kultūrą.</w:t>
      </w:r>
    </w:p>
    <w:p w:rsidR="00201494" w:rsidRPr="00EC1EA1" w:rsidRDefault="00201494" w:rsidP="00E87A93">
      <w:pPr>
        <w:spacing w:line="360" w:lineRule="auto"/>
        <w:jc w:val="both"/>
      </w:pPr>
      <w:r w:rsidRPr="00334E7E">
        <w:t xml:space="preserve">            Organizacijos kultūra </w:t>
      </w:r>
      <w:r>
        <w:t>gali daryti didelę įtaką organizacijos veiklai, kultūra akcentuojanti  vertybių svarbą gali padėti organizacijai pasiekti tikslų.</w:t>
      </w:r>
      <w:r w:rsidRPr="00334E7E">
        <w:t xml:space="preserve"> </w:t>
      </w:r>
      <w:r>
        <w:t>Todėl vykdydami savo veiklą remiamės  vertybinėmis nuostatomis. Kultūra p</w:t>
      </w:r>
      <w:r w:rsidRPr="00334E7E">
        <w:t>r</w:t>
      </w:r>
      <w:r>
        <w:t xml:space="preserve">iklauso nuo vadovavimo stiliaus,  </w:t>
      </w:r>
      <w:r w:rsidRPr="00334E7E">
        <w:t>todėl vadovaujuosi prisiimtos atsakomybe</w:t>
      </w:r>
      <w:r>
        <w:t>s bei žmogiškumo principais</w:t>
      </w:r>
      <w:r w:rsidRPr="00AB07C3">
        <w:t>.  Strateginiai sprendimai Centre priimami dalyvaujant visiems darbuotojams. Diskutuojame kokiomis vertybėmis vadovausimės savo veikloje, aiškinamės, kaip kiekviena</w:t>
      </w:r>
      <w:r>
        <w:t>s suprantame vertybes,  mums svarbus susitarimų principas. Kiekvienas darbuotojas turi galimybę inicijuoti pozityvius pokyčius, asmeninės iniciatyvos skatinamos ir palaikomos. Skatinu darbuotojus mokytis, tobulinti ne tik savo profesines kompetencijas, bet  mokytis ir užsienio kalbų.</w:t>
      </w:r>
      <w:r w:rsidRPr="00AB07C3">
        <w:t xml:space="preserve"> </w:t>
      </w:r>
      <w:r>
        <w:t>Personalo komunikavimas, santykiai ir mikroklimatas tinkami veiklai vykdyti</w:t>
      </w:r>
      <w:r w:rsidRPr="00AC0723">
        <w:t>. Taikau  pasida</w:t>
      </w:r>
      <w:r>
        <w:t xml:space="preserve">lintosios lyderystės nuostatas. </w:t>
      </w:r>
      <w:r w:rsidRPr="00AC0723">
        <w:t>Darbuotojai noriau prisiima atsakomybę, dažniau patys įsipareigoja savo asmenine iniciatyva</w:t>
      </w:r>
      <w:r>
        <w:t>. V</w:t>
      </w:r>
      <w:r w:rsidRPr="00AC0723">
        <w:t>eiklos ataskaitų ruošimas bei metiniai pokalbiai  duoda teigiamų rezultatų. Mūsų vertybė yra tai, kad mes vieningai sutariame, jo klientų aptarnavimo kokybė mums svarbiausia.</w:t>
      </w:r>
    </w:p>
    <w:p w:rsidR="00201494" w:rsidRDefault="00201494" w:rsidP="00E87A93">
      <w:pPr>
        <w:spacing w:line="360" w:lineRule="auto"/>
        <w:jc w:val="both"/>
        <w:rPr>
          <w:b/>
          <w:color w:val="FF0000"/>
        </w:rPr>
      </w:pPr>
      <w:r w:rsidRPr="007C0BB3">
        <w:rPr>
          <w:b/>
          <w:color w:val="FF0000"/>
        </w:rPr>
        <w:t xml:space="preserve">              </w:t>
      </w:r>
    </w:p>
    <w:p w:rsidR="00201494" w:rsidRDefault="00201494" w:rsidP="00E87A93">
      <w:pPr>
        <w:spacing w:line="360" w:lineRule="auto"/>
        <w:jc w:val="both"/>
        <w:rPr>
          <w:b/>
          <w:color w:val="FF0000"/>
        </w:rPr>
      </w:pPr>
    </w:p>
    <w:p w:rsidR="00201494" w:rsidRPr="006B7B6A" w:rsidRDefault="00201494" w:rsidP="0033313A">
      <w:pPr>
        <w:spacing w:line="360" w:lineRule="auto"/>
        <w:jc w:val="center"/>
        <w:rPr>
          <w:b/>
        </w:rPr>
      </w:pPr>
      <w:r w:rsidRPr="006B7B6A">
        <w:rPr>
          <w:b/>
        </w:rPr>
        <w:t>VIII. Savivaldos institucijų veiklos plėtojimas.</w:t>
      </w:r>
    </w:p>
    <w:p w:rsidR="00201494" w:rsidRPr="00573FB9" w:rsidRDefault="00201494" w:rsidP="00E87A93">
      <w:pPr>
        <w:pStyle w:val="style2"/>
        <w:spacing w:before="0" w:beforeAutospacing="0" w:after="0" w:afterAutospacing="0" w:line="360" w:lineRule="auto"/>
        <w:ind w:right="40"/>
        <w:jc w:val="both"/>
        <w:rPr>
          <w:rFonts w:ascii="Calibri" w:hAnsi="Calibri"/>
          <w:lang w:val="lt-LT"/>
        </w:rPr>
      </w:pPr>
      <w:r w:rsidRPr="006B7B6A">
        <w:rPr>
          <w:lang w:val="lt-LT"/>
        </w:rPr>
        <w:t xml:space="preserve">              Centre veikia trys savivaldos institucijos – Patarėjų taryba, Mokyklų metodinė taryba, Centro taryba.  </w:t>
      </w:r>
      <w:r w:rsidRPr="00AD1DF4">
        <w:rPr>
          <w:lang w:val="lt-LT"/>
        </w:rPr>
        <w:t>Per ataskaitinį laikotarpį įvyko 9 Patarėjų tarybos posėdžiai, buvo įvertinta 50 kvalifikacijos tobulinimo programų. Programas pateikė mokytojai praktikai, aukštųjų mokyklų lektoriai, mokyklų vadovai.  Patarėjų</w:t>
      </w:r>
      <w:r w:rsidRPr="006B7B6A">
        <w:rPr>
          <w:lang w:val="lt-LT"/>
        </w:rPr>
        <w:t xml:space="preserve"> tarybos paskirtis ir funkcijos yra gana apibrėžtos ir aiškios, tačiau inicijavus  naujus pasiūlymus jos veikla išsiplėtė, kartu su Mokyklų Metodine taryba rengia metodines parodas, prisideda prie </w:t>
      </w:r>
      <w:r w:rsidRPr="00573FB9">
        <w:rPr>
          <w:lang w:val="lt-LT"/>
        </w:rPr>
        <w:t>konferencijų organizavimo.</w:t>
      </w:r>
      <w:r>
        <w:rPr>
          <w:lang w:val="lt-LT"/>
        </w:rPr>
        <w:t xml:space="preserve"> </w:t>
      </w:r>
      <w:r w:rsidRPr="00573FB9">
        <w:rPr>
          <w:lang w:val="lt-LT"/>
        </w:rPr>
        <w:t xml:space="preserve">Inicijavau išplėstinį Patarėjų tarybos posėdį aptarti veiklos privalumus ir problemas, lūkesčius. Mokyklų metodinė taryba dirbo pagal numatytą veiklos planą, svarstė </w:t>
      </w:r>
      <w:r w:rsidRPr="00573FB9">
        <w:rPr>
          <w:bCs/>
          <w:lang w:val="lt-LT"/>
        </w:rPr>
        <w:t xml:space="preserve">aktualiausius ugdymo turinio įgyvendinimo ir ugdymo proceso organizavimo ir keitimosi gerąja patirtimi klausimus. </w:t>
      </w:r>
      <w:r w:rsidRPr="00573FB9">
        <w:rPr>
          <w:lang w:val="lt-LT"/>
        </w:rPr>
        <w:t>Išrinkta nauja tarybos pirmininkė – „Žiburio“ gimnazijos istorijos mokytoja</w:t>
      </w:r>
      <w:r>
        <w:rPr>
          <w:lang w:val="lt-LT"/>
        </w:rPr>
        <w:t xml:space="preserve"> ekspertė Vilija Juodsnukienė. </w:t>
      </w:r>
      <w:r w:rsidRPr="00573FB9">
        <w:rPr>
          <w:lang w:val="lt-LT"/>
        </w:rPr>
        <w:t>Tarybos planui parengti bei greičiau priimti s</w:t>
      </w:r>
      <w:r>
        <w:rPr>
          <w:lang w:val="lt-LT"/>
        </w:rPr>
        <w:t>prendimus įkurta Mažoji taryba.</w:t>
      </w:r>
      <w:r w:rsidRPr="00573FB9">
        <w:rPr>
          <w:lang w:val="lt-LT"/>
        </w:rPr>
        <w:t xml:space="preserve"> Švi</w:t>
      </w:r>
      <w:r>
        <w:rPr>
          <w:lang w:val="lt-LT"/>
        </w:rPr>
        <w:t>etimo Centro Tarybą</w:t>
      </w:r>
      <w:r w:rsidRPr="00573FB9">
        <w:rPr>
          <w:lang w:val="lt-LT"/>
        </w:rPr>
        <w:t xml:space="preserve"> sudaro mokytojai bei visuomenes atstovai. Jiems yra pristatoma centro veikla, ataskaitos, išklausomi patarimai, teikiami pasiūlymai dėl Centro strateginių tikslų, uždavinių ir jų įgyvendinimo priemonių.</w:t>
      </w:r>
    </w:p>
    <w:p w:rsidR="00201494" w:rsidRPr="00573FB9" w:rsidRDefault="00201494" w:rsidP="0033313A">
      <w:pPr>
        <w:spacing w:line="360" w:lineRule="auto"/>
        <w:jc w:val="center"/>
        <w:rPr>
          <w:b/>
        </w:rPr>
      </w:pPr>
      <w:r w:rsidRPr="00573FB9">
        <w:rPr>
          <w:b/>
        </w:rPr>
        <w:t>IX. Edukacinių aplinkų kūrimas ir tobulinimas.</w:t>
      </w:r>
    </w:p>
    <w:p w:rsidR="00201494" w:rsidRPr="00AD1DF4" w:rsidRDefault="00201494" w:rsidP="00AD1DF4">
      <w:pPr>
        <w:spacing w:line="360" w:lineRule="auto"/>
        <w:jc w:val="both"/>
      </w:pPr>
      <w:r>
        <w:t xml:space="preserve">              </w:t>
      </w:r>
      <w:r w:rsidRPr="00F641F1">
        <w:t xml:space="preserve"> Norėdami užtikrinti švietimo paslaugų prieinamumo kokybę, didelį dėmesį skiriame edukacinių aplinkų </w:t>
      </w:r>
      <w:r w:rsidRPr="00AD1DF4">
        <w:t>tobulinimui. 2015 m. disponavome 114 kvalifikacijos tobulinimo programų, savo klientams galėjome pasiūlyti 11 AIKOS sistemoje</w:t>
      </w:r>
      <w:r w:rsidRPr="00E87A93">
        <w:t xml:space="preserve"> registruotas programas. Seminarų </w:t>
      </w:r>
      <w:r w:rsidRPr="00F641F1">
        <w:t xml:space="preserve">tematika atnaujinama pagal klientų poreikius, Centro interneto svetainėje talpinama informacija apie kvalifikacijos tobulinimo renginius, pristatomos programų anotacijos. Klientų patogumui galima </w:t>
      </w:r>
      <w:r w:rsidRPr="00D73016">
        <w:t>internetinė registracija į renginius,  kviečiame rašyti atsiliepimus. Parenkant seminarų lektorius teikiu daug dėmesio gauti informacijai apie jų patirtį, kompetenciją bei gebėjimus bendrauti su klausytojais. Kviečiami lektoriai, turintys pedagoginę praktiką bei ją derinantys su naujausiais edukologijos mokslo pasiekimais. Patvirtinta kvalifikacijos tobulinimo renginių organizavimo tvarka, kuri reglamentuoja tikslą, uždavinius, organizavimą bei finansavimą. Tai leidžia organizuoti kokybiškus mokymus, atitinkančius klientų poreikius, bei racionaliau naudoti lėšas.</w:t>
      </w:r>
      <w:r w:rsidRPr="00D73016">
        <w:rPr>
          <w:bCs/>
        </w:rPr>
        <w:t xml:space="preserve"> </w:t>
      </w:r>
      <w:r>
        <w:rPr>
          <w:bCs/>
        </w:rPr>
        <w:t xml:space="preserve">Edukacinė aplinka kaip konkreti fizinė erdvė labiau pritaikyta nedidelėms mokymosi dalyvių grupėms. Tuomet mokymo(si) proceso dalyviai turi galimybę susėsti ratu ar grupėmis. Centre yra biblioteka, kurios knygomis gali naudotis švietimo </w:t>
      </w:r>
      <w:r w:rsidRPr="00AD1DF4">
        <w:rPr>
          <w:bCs/>
        </w:rPr>
        <w:t>bendruomenė (fonde 164 knygos).</w:t>
      </w:r>
    </w:p>
    <w:p w:rsidR="00201494" w:rsidRDefault="00201494" w:rsidP="00E87A93">
      <w:pPr>
        <w:spacing w:line="360" w:lineRule="auto"/>
        <w:jc w:val="both"/>
      </w:pPr>
    </w:p>
    <w:p w:rsidR="00201494" w:rsidRDefault="00201494" w:rsidP="00E87A93">
      <w:pPr>
        <w:spacing w:line="360" w:lineRule="auto"/>
        <w:jc w:val="both"/>
      </w:pPr>
    </w:p>
    <w:p w:rsidR="00201494" w:rsidRPr="00D73016" w:rsidRDefault="00201494" w:rsidP="00E87A93">
      <w:pPr>
        <w:spacing w:line="360" w:lineRule="auto"/>
        <w:jc w:val="both"/>
      </w:pPr>
    </w:p>
    <w:p w:rsidR="00201494" w:rsidRPr="00D73016" w:rsidRDefault="00201494" w:rsidP="0033313A">
      <w:pPr>
        <w:spacing w:line="360" w:lineRule="auto"/>
        <w:jc w:val="center"/>
        <w:rPr>
          <w:b/>
        </w:rPr>
      </w:pPr>
      <w:r w:rsidRPr="00D73016">
        <w:rPr>
          <w:b/>
        </w:rPr>
        <w:t>X. Darbuotoju veiklos reglamentavimas.</w:t>
      </w:r>
    </w:p>
    <w:p w:rsidR="00201494" w:rsidRPr="00D73016" w:rsidRDefault="00201494" w:rsidP="00E87A93">
      <w:pPr>
        <w:spacing w:line="360" w:lineRule="auto"/>
        <w:jc w:val="both"/>
      </w:pPr>
      <w:r w:rsidRPr="00D73016">
        <w:t xml:space="preserve">            Centre darbuotojų veikla yra reglamentuota: parengtos darbuotojų pareiginės instrukcijos, vidaus darbo tvarkos taisyklės. Darbuotojai yra susipažinę su dokumentais ir vadovaujasi jais savo veikloje. Mikroklimatas kolektyve palankus, darbuotojai žino savo teises ir pareigas, geba prisiimti atsakomybę bei atlikti savo funkcijas. Centre rengiamos įvairios veiklos ataskaitos, kurių tikslas analizuojant veiklą gerinti jos kokybę, suteikti informaciją klientams bei steigėjui, formuoti teigiamą Centro įvaizdį. </w:t>
      </w:r>
    </w:p>
    <w:p w:rsidR="00201494" w:rsidRPr="00AD1DF4" w:rsidRDefault="00201494" w:rsidP="0033313A">
      <w:pPr>
        <w:spacing w:line="360" w:lineRule="auto"/>
        <w:jc w:val="center"/>
        <w:rPr>
          <w:b/>
        </w:rPr>
      </w:pPr>
      <w:r w:rsidRPr="00AD1DF4">
        <w:rPr>
          <w:b/>
        </w:rPr>
        <w:t>XI. Vadovo asmeninis tobulėjimas, įskaitant kvalifikacijos kėlimą.</w:t>
      </w:r>
    </w:p>
    <w:p w:rsidR="00201494" w:rsidRPr="00AD1DF4" w:rsidRDefault="00201494" w:rsidP="00AD1DF4">
      <w:pPr>
        <w:spacing w:line="360" w:lineRule="auto"/>
        <w:jc w:val="both"/>
      </w:pPr>
      <w:r w:rsidRPr="00AD1DF4">
        <w:t xml:space="preserve">            Organizuodama savo tiesioginį darbą, nuolat atnaujinu kokybės  vadybos žinias, domiuosi užduočių delegavimo darbuotojams strategijomis, stengiuosi jas įdiegti praktikoje. Nuolat analizuodama mokslinę literatūrą bei naujausius edukologijos mokslo leidinius, stengiuosi tuo uždegti  ir Centro darbuotojus, ir rajono mokytojų bendruomenę. </w:t>
      </w:r>
    </w:p>
    <w:p w:rsidR="00201494" w:rsidRPr="00AD1DF4" w:rsidRDefault="00201494" w:rsidP="00AD1DF4">
      <w:pPr>
        <w:spacing w:line="360" w:lineRule="auto"/>
        <w:jc w:val="both"/>
      </w:pPr>
      <w:r w:rsidRPr="00AD1DF4">
        <w:t xml:space="preserve">         Plėtoti socialinio dialogo bei viešųjų ryšių kompetencijas. Savivaldybės tarybos sprendimu  Centrui priskirtas Neformaliojo suaugusiųjų švietimo koordinatoriaus vaidmuo, todėl dalyvavau seminare  „Neformalaus suaugusiųjų švietimo savivaldybėje koordinavimas: sritys, formos, būdai“. Toliau domiuosi  Lyderių laiko projekto veiklomis, dalyvavau projekto „Lyderių laikas 2“ Nacionaliniame švietimo lyderystės forume „Lyderystės kelias savivaldybėse“, švietimo lyderystės forume „Lyderystės galia mokymo(si) sėkmei“ skaičiau pranešimą „Metinis pokalbis su vadovu – mada ar nauda?“. Tobulinau žmogiškųjų išteklių ir pokyčių valdymo  kompetencijas seminare - kūrybinėse dirbtuvėse „Švietimo centrų vaidmuo įgyvendinant mokytojų, pagalbos mokiniui specialistų ir mokyklų vadovų nacionalinius kvalifikacijos tobulinimo prioritetus regionuose‘, tobulinau profesines kompetencijas kituose kvalifikacijos tobulinimo renginiuose.</w:t>
      </w:r>
    </w:p>
    <w:p w:rsidR="00201494" w:rsidRPr="00AD1DF4" w:rsidRDefault="00201494" w:rsidP="0033313A">
      <w:pPr>
        <w:spacing w:line="360" w:lineRule="auto"/>
        <w:jc w:val="center"/>
        <w:rPr>
          <w:b/>
        </w:rPr>
      </w:pPr>
      <w:r w:rsidRPr="00AD1DF4">
        <w:rPr>
          <w:b/>
        </w:rPr>
        <w:t>XII. Veiklos uždaviniai kitiems metams bei profesinės veiklos (nauji įgūdžiai ir naujos         žinios)  tobulinimo poreikis.</w:t>
      </w:r>
    </w:p>
    <w:p w:rsidR="00201494" w:rsidRPr="00AD1DF4" w:rsidRDefault="00201494" w:rsidP="00AD1DF4">
      <w:pPr>
        <w:spacing w:line="360" w:lineRule="auto"/>
        <w:jc w:val="both"/>
      </w:pPr>
      <w:r w:rsidRPr="00AD1DF4">
        <w:t xml:space="preserve">             Ketinu skirti daugiau dėmesio bendravimui su ugdymo įstaigų administracija išsiaiškinant darbuotojų kvalifikacijos tobulinimo poreikį. Užtikrinant strateginio plano įgyvendinimą skirti laiko </w:t>
      </w:r>
      <w:r>
        <w:t xml:space="preserve">stebėsenai, </w:t>
      </w:r>
      <w:r w:rsidRPr="00AD1DF4">
        <w:t xml:space="preserve"> įvertinimu bei koregavimui. Puoselėjant centro įvaizdį dėsiu pastangas Centro renovacijai atlikti.</w:t>
      </w:r>
    </w:p>
    <w:p w:rsidR="00201494" w:rsidRDefault="00201494" w:rsidP="0033313A">
      <w:pPr>
        <w:spacing w:line="360" w:lineRule="auto"/>
        <w:jc w:val="center"/>
        <w:rPr>
          <w:b/>
        </w:rPr>
      </w:pPr>
    </w:p>
    <w:p w:rsidR="00201494" w:rsidRDefault="00201494" w:rsidP="0033313A">
      <w:pPr>
        <w:spacing w:line="360" w:lineRule="auto"/>
        <w:jc w:val="center"/>
        <w:rPr>
          <w:b/>
        </w:rPr>
      </w:pPr>
    </w:p>
    <w:p w:rsidR="00201494" w:rsidRPr="00D257ED" w:rsidRDefault="00201494" w:rsidP="0033313A">
      <w:pPr>
        <w:spacing w:line="360" w:lineRule="auto"/>
        <w:jc w:val="center"/>
        <w:rPr>
          <w:b/>
        </w:rPr>
      </w:pPr>
      <w:r w:rsidRPr="00D257ED">
        <w:rPr>
          <w:b/>
        </w:rPr>
        <w:t>XIII. Centrui  reikalinga parama.</w:t>
      </w:r>
    </w:p>
    <w:p w:rsidR="00201494" w:rsidRPr="00D257ED" w:rsidRDefault="00201494" w:rsidP="00AD1DF4">
      <w:pPr>
        <w:spacing w:line="360" w:lineRule="auto"/>
        <w:jc w:val="both"/>
      </w:pPr>
      <w:r w:rsidRPr="00D257ED">
        <w:t xml:space="preserve">          Sudarant galimybes Mokymosi visą gyvenimą idėjai įgyvendinti reikalingi ne tik žmogiškieji ištekliai, bet ir gera materialinė bazė. Nors nepakanka finansinių galimybių atnaujinti programinę įrangą, pastaruoju metu didesnį nerimą kelia pastato fizinė būklė. Įstaigai reikalinga finansinė parama renovuojant pastatą. </w:t>
      </w:r>
    </w:p>
    <w:p w:rsidR="00201494" w:rsidRPr="00D257ED" w:rsidRDefault="00201494" w:rsidP="00D257ED">
      <w:pPr>
        <w:spacing w:line="360" w:lineRule="auto"/>
        <w:jc w:val="both"/>
      </w:pPr>
      <w:r w:rsidRPr="00D257ED">
        <w:t xml:space="preserve">          Glaudesnis  bendradarbiavimas  su Švietimo skyriumi  prisiėmus kvalifikacijos tobulinimo bei metodinės veiklos  prioritetus galėtų pagerinti ugdymo(si) kokybę mokykloje.</w:t>
      </w:r>
    </w:p>
    <w:p w:rsidR="00201494" w:rsidRPr="00D01379" w:rsidRDefault="00201494" w:rsidP="00D01379">
      <w:pPr>
        <w:spacing w:line="360" w:lineRule="auto"/>
        <w:jc w:val="center"/>
      </w:pPr>
      <w:r>
        <w:t>______________________</w:t>
      </w:r>
    </w:p>
    <w:p w:rsidR="00201494" w:rsidRPr="00E87A93" w:rsidRDefault="00201494" w:rsidP="00E87A93">
      <w:pPr>
        <w:spacing w:line="360" w:lineRule="auto"/>
        <w:jc w:val="both"/>
      </w:pPr>
    </w:p>
    <w:p w:rsidR="00201494" w:rsidRPr="007C0BB3" w:rsidRDefault="00201494" w:rsidP="00E87A93">
      <w:pPr>
        <w:spacing w:line="360" w:lineRule="auto"/>
        <w:jc w:val="both"/>
        <w:rPr>
          <w:b/>
          <w:color w:val="FF0000"/>
        </w:rPr>
      </w:pPr>
    </w:p>
    <w:p w:rsidR="00201494" w:rsidRPr="007C0BB3" w:rsidRDefault="00201494" w:rsidP="00E87A93">
      <w:pPr>
        <w:spacing w:line="360" w:lineRule="auto"/>
        <w:jc w:val="both"/>
        <w:rPr>
          <w:color w:val="FF0000"/>
        </w:rPr>
      </w:pPr>
    </w:p>
    <w:p w:rsidR="00201494" w:rsidRPr="007C0BB3" w:rsidRDefault="00201494" w:rsidP="00E87A93">
      <w:pPr>
        <w:jc w:val="both"/>
        <w:rPr>
          <w:b/>
          <w:color w:val="FF0000"/>
        </w:rPr>
      </w:pPr>
    </w:p>
    <w:p w:rsidR="00201494" w:rsidRPr="007C0BB3" w:rsidRDefault="00201494" w:rsidP="00E87A93">
      <w:pPr>
        <w:jc w:val="both"/>
        <w:rPr>
          <w:color w:val="FF0000"/>
        </w:rPr>
      </w:pPr>
    </w:p>
    <w:sectPr w:rsidR="00201494" w:rsidRPr="007C0BB3" w:rsidSect="00FD2354">
      <w:headerReference w:type="even" r:id="rId9"/>
      <w:headerReference w:type="default" r:id="rId10"/>
      <w:footerReference w:type="even" r:id="rId11"/>
      <w:footerReference w:type="default" r:id="rId12"/>
      <w:headerReference w:type="first" r:id="rId13"/>
      <w:footerReference w:type="first" r:id="rId14"/>
      <w:pgSz w:w="12240" w:h="15840"/>
      <w:pgMar w:top="1276"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494" w:rsidRDefault="00201494">
      <w:r>
        <w:separator/>
      </w:r>
    </w:p>
  </w:endnote>
  <w:endnote w:type="continuationSeparator" w:id="0">
    <w:p w:rsidR="00201494" w:rsidRDefault="00201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imSun">
    <w:altName w:val="?Ø©??"/>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94" w:rsidRDefault="002014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94" w:rsidRDefault="002014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94" w:rsidRDefault="00201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494" w:rsidRDefault="00201494">
      <w:r>
        <w:separator/>
      </w:r>
    </w:p>
  </w:footnote>
  <w:footnote w:type="continuationSeparator" w:id="0">
    <w:p w:rsidR="00201494" w:rsidRDefault="00201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94" w:rsidRDefault="00201494" w:rsidP="006170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1494" w:rsidRDefault="002014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94" w:rsidRDefault="00201494" w:rsidP="006170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01494" w:rsidRDefault="002014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94" w:rsidRDefault="002014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4F3"/>
    <w:rsid w:val="00011D38"/>
    <w:rsid w:val="000223EB"/>
    <w:rsid w:val="00045A53"/>
    <w:rsid w:val="0005301E"/>
    <w:rsid w:val="000544BC"/>
    <w:rsid w:val="000642C1"/>
    <w:rsid w:val="00073E96"/>
    <w:rsid w:val="000D0CAE"/>
    <w:rsid w:val="00115720"/>
    <w:rsid w:val="00153ED2"/>
    <w:rsid w:val="001C3327"/>
    <w:rsid w:val="001E1159"/>
    <w:rsid w:val="001E5265"/>
    <w:rsid w:val="001F4C55"/>
    <w:rsid w:val="00201494"/>
    <w:rsid w:val="0020383C"/>
    <w:rsid w:val="002226F2"/>
    <w:rsid w:val="00224D33"/>
    <w:rsid w:val="00255ACC"/>
    <w:rsid w:val="002A452D"/>
    <w:rsid w:val="0031298F"/>
    <w:rsid w:val="0033313A"/>
    <w:rsid w:val="00334E7E"/>
    <w:rsid w:val="0033552C"/>
    <w:rsid w:val="00337BEC"/>
    <w:rsid w:val="003E1FCA"/>
    <w:rsid w:val="00471238"/>
    <w:rsid w:val="004821EF"/>
    <w:rsid w:val="004B56D9"/>
    <w:rsid w:val="004C4087"/>
    <w:rsid w:val="00570F2B"/>
    <w:rsid w:val="00573FB9"/>
    <w:rsid w:val="005D0B55"/>
    <w:rsid w:val="0060154E"/>
    <w:rsid w:val="006170F7"/>
    <w:rsid w:val="00640FFC"/>
    <w:rsid w:val="00662777"/>
    <w:rsid w:val="006B6F69"/>
    <w:rsid w:val="006B7B6A"/>
    <w:rsid w:val="006E478F"/>
    <w:rsid w:val="006F10B4"/>
    <w:rsid w:val="006F2730"/>
    <w:rsid w:val="007413A6"/>
    <w:rsid w:val="00773B9E"/>
    <w:rsid w:val="0077610B"/>
    <w:rsid w:val="007B0789"/>
    <w:rsid w:val="007C0BB3"/>
    <w:rsid w:val="00822FC5"/>
    <w:rsid w:val="008777AA"/>
    <w:rsid w:val="00884656"/>
    <w:rsid w:val="008A4E9F"/>
    <w:rsid w:val="008F1455"/>
    <w:rsid w:val="008F242E"/>
    <w:rsid w:val="009019FE"/>
    <w:rsid w:val="00964CF2"/>
    <w:rsid w:val="009731D5"/>
    <w:rsid w:val="0098065D"/>
    <w:rsid w:val="009901DF"/>
    <w:rsid w:val="009C1B76"/>
    <w:rsid w:val="009E74F3"/>
    <w:rsid w:val="00A27EC5"/>
    <w:rsid w:val="00A41D77"/>
    <w:rsid w:val="00A64F64"/>
    <w:rsid w:val="00A72140"/>
    <w:rsid w:val="00A8154F"/>
    <w:rsid w:val="00AA330D"/>
    <w:rsid w:val="00AB07C3"/>
    <w:rsid w:val="00AB22D1"/>
    <w:rsid w:val="00AC064C"/>
    <w:rsid w:val="00AC0723"/>
    <w:rsid w:val="00AD00C9"/>
    <w:rsid w:val="00AD1DF4"/>
    <w:rsid w:val="00B40BE0"/>
    <w:rsid w:val="00BA6928"/>
    <w:rsid w:val="00BE193E"/>
    <w:rsid w:val="00C04FA5"/>
    <w:rsid w:val="00C13C3A"/>
    <w:rsid w:val="00C37A60"/>
    <w:rsid w:val="00C565F1"/>
    <w:rsid w:val="00C63A9A"/>
    <w:rsid w:val="00C83B06"/>
    <w:rsid w:val="00CA6D24"/>
    <w:rsid w:val="00CC260A"/>
    <w:rsid w:val="00CD4C6A"/>
    <w:rsid w:val="00CE5EC2"/>
    <w:rsid w:val="00D01379"/>
    <w:rsid w:val="00D257ED"/>
    <w:rsid w:val="00D27035"/>
    <w:rsid w:val="00D73016"/>
    <w:rsid w:val="00E13F3C"/>
    <w:rsid w:val="00E42C10"/>
    <w:rsid w:val="00E84FBB"/>
    <w:rsid w:val="00E87A93"/>
    <w:rsid w:val="00EC1EA1"/>
    <w:rsid w:val="00EF4CFD"/>
    <w:rsid w:val="00F44F75"/>
    <w:rsid w:val="00F641F1"/>
    <w:rsid w:val="00F9198B"/>
    <w:rsid w:val="00FA3142"/>
    <w:rsid w:val="00FD2354"/>
    <w:rsid w:val="00FE2C26"/>
    <w:rsid w:val="00FF282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B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C0BB3"/>
    <w:pPr>
      <w:autoSpaceDE w:val="0"/>
      <w:autoSpaceDN w:val="0"/>
      <w:adjustRightInd w:val="0"/>
    </w:pPr>
    <w:rPr>
      <w:rFonts w:ascii="Times New Roman" w:eastAsia="Times New Roman" w:hAnsi="Times New Roman"/>
      <w:color w:val="000000"/>
      <w:sz w:val="24"/>
      <w:szCs w:val="24"/>
      <w:lang w:val="en-US" w:eastAsia="en-US"/>
    </w:rPr>
  </w:style>
  <w:style w:type="character" w:styleId="Hyperlink">
    <w:name w:val="Hyperlink"/>
    <w:basedOn w:val="DefaultParagraphFont"/>
    <w:uiPriority w:val="99"/>
    <w:semiHidden/>
    <w:rsid w:val="007C0BB3"/>
    <w:rPr>
      <w:rFonts w:cs="Times New Roman"/>
      <w:color w:val="0000FF"/>
      <w:u w:val="single"/>
    </w:rPr>
  </w:style>
  <w:style w:type="paragraph" w:styleId="Header">
    <w:name w:val="header"/>
    <w:basedOn w:val="Normal"/>
    <w:link w:val="HeaderChar"/>
    <w:uiPriority w:val="99"/>
    <w:rsid w:val="007C0BB3"/>
    <w:pPr>
      <w:tabs>
        <w:tab w:val="center" w:pos="4819"/>
        <w:tab w:val="right" w:pos="9638"/>
      </w:tabs>
    </w:pPr>
  </w:style>
  <w:style w:type="character" w:customStyle="1" w:styleId="HeaderChar">
    <w:name w:val="Header Char"/>
    <w:basedOn w:val="DefaultParagraphFont"/>
    <w:link w:val="Header"/>
    <w:uiPriority w:val="99"/>
    <w:locked/>
    <w:rsid w:val="007C0BB3"/>
    <w:rPr>
      <w:rFonts w:ascii="Times New Roman" w:hAnsi="Times New Roman" w:cs="Times New Roman"/>
      <w:sz w:val="24"/>
      <w:szCs w:val="24"/>
      <w:lang w:eastAsia="lt-LT"/>
    </w:rPr>
  </w:style>
  <w:style w:type="paragraph" w:styleId="Footer">
    <w:name w:val="footer"/>
    <w:basedOn w:val="Normal"/>
    <w:link w:val="FooterChar"/>
    <w:uiPriority w:val="99"/>
    <w:rsid w:val="007C0BB3"/>
    <w:pPr>
      <w:tabs>
        <w:tab w:val="center" w:pos="4819"/>
        <w:tab w:val="right" w:pos="9638"/>
      </w:tabs>
    </w:pPr>
  </w:style>
  <w:style w:type="character" w:customStyle="1" w:styleId="FooterChar">
    <w:name w:val="Footer Char"/>
    <w:basedOn w:val="DefaultParagraphFont"/>
    <w:link w:val="Footer"/>
    <w:uiPriority w:val="99"/>
    <w:locked/>
    <w:rsid w:val="007C0BB3"/>
    <w:rPr>
      <w:rFonts w:ascii="Times New Roman" w:hAnsi="Times New Roman" w:cs="Times New Roman"/>
      <w:sz w:val="24"/>
      <w:szCs w:val="24"/>
      <w:lang w:eastAsia="lt-LT"/>
    </w:rPr>
  </w:style>
  <w:style w:type="paragraph" w:customStyle="1" w:styleId="style2">
    <w:name w:val="style2"/>
    <w:basedOn w:val="Normal"/>
    <w:uiPriority w:val="99"/>
    <w:rsid w:val="007C0BB3"/>
    <w:pPr>
      <w:spacing w:before="100" w:beforeAutospacing="1" w:after="100" w:afterAutospacing="1"/>
    </w:pPr>
    <w:rPr>
      <w:lang w:val="en-US" w:eastAsia="en-US"/>
    </w:rPr>
  </w:style>
  <w:style w:type="character" w:styleId="PageNumber">
    <w:name w:val="page number"/>
    <w:basedOn w:val="DefaultParagraphFont"/>
    <w:uiPriority w:val="99"/>
    <w:rsid w:val="007C0BB3"/>
    <w:rPr>
      <w:rFonts w:cs="Times New Roman"/>
    </w:rPr>
  </w:style>
  <w:style w:type="table" w:styleId="TableGrid">
    <w:name w:val="Table Grid"/>
    <w:basedOn w:val="TableNormal"/>
    <w:uiPriority w:val="99"/>
    <w:rsid w:val="00AD1D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basedOn w:val="DefaultParagraphFont"/>
    <w:uiPriority w:val="99"/>
    <w:locked/>
    <w:rsid w:val="008F242E"/>
    <w:rPr>
      <w:rFonts w:cs="Times New Roman"/>
      <w:sz w:val="26"/>
      <w:lang w:val="lt-LT" w:eastAsia="en-US" w:bidi="ar-SA"/>
    </w:rPr>
  </w:style>
</w:styles>
</file>

<file path=word/webSettings.xml><?xml version="1.0" encoding="utf-8"?>
<w:webSettings xmlns:r="http://schemas.openxmlformats.org/officeDocument/2006/relationships" xmlns:w="http://schemas.openxmlformats.org/wordprocessingml/2006/main">
  <w:divs>
    <w:div w:id="2134319765">
      <w:marLeft w:val="0"/>
      <w:marRight w:val="0"/>
      <w:marTop w:val="0"/>
      <w:marBottom w:val="0"/>
      <w:divBdr>
        <w:top w:val="none" w:sz="0" w:space="0" w:color="auto"/>
        <w:left w:val="none" w:sz="0" w:space="0" w:color="auto"/>
        <w:bottom w:val="none" w:sz="0" w:space="0" w:color="auto"/>
        <w:right w:val="none" w:sz="0" w:space="0" w:color="auto"/>
      </w:divBdr>
    </w:div>
    <w:div w:id="2134319766">
      <w:marLeft w:val="0"/>
      <w:marRight w:val="0"/>
      <w:marTop w:val="0"/>
      <w:marBottom w:val="0"/>
      <w:divBdr>
        <w:top w:val="none" w:sz="0" w:space="0" w:color="auto"/>
        <w:left w:val="none" w:sz="0" w:space="0" w:color="auto"/>
        <w:bottom w:val="none" w:sz="0" w:space="0" w:color="auto"/>
        <w:right w:val="none" w:sz="0" w:space="0" w:color="auto"/>
      </w:divBdr>
    </w:div>
    <w:div w:id="2134319767">
      <w:marLeft w:val="0"/>
      <w:marRight w:val="0"/>
      <w:marTop w:val="0"/>
      <w:marBottom w:val="0"/>
      <w:divBdr>
        <w:top w:val="none" w:sz="0" w:space="0" w:color="auto"/>
        <w:left w:val="none" w:sz="0" w:space="0" w:color="auto"/>
        <w:bottom w:val="none" w:sz="0" w:space="0" w:color="auto"/>
        <w:right w:val="none" w:sz="0" w:space="0" w:color="auto"/>
      </w:divBdr>
    </w:div>
    <w:div w:id="2134319768">
      <w:marLeft w:val="0"/>
      <w:marRight w:val="0"/>
      <w:marTop w:val="0"/>
      <w:marBottom w:val="0"/>
      <w:divBdr>
        <w:top w:val="none" w:sz="0" w:space="0" w:color="auto"/>
        <w:left w:val="none" w:sz="0" w:space="0" w:color="auto"/>
        <w:bottom w:val="none" w:sz="0" w:space="0" w:color="auto"/>
        <w:right w:val="none" w:sz="0" w:space="0" w:color="auto"/>
      </w:divBdr>
    </w:div>
    <w:div w:id="2134319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ietimocentras.prienai.lm.lt/wp-content/uploads/2013/10/Renginiu-planas-2013-2014-1.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svietimocentras.prienai.lm.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vietimocentras.prienai.lm.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15212</Words>
  <Characters>8672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ŠVIETIMO CENTRO DIREKTORĖS </dc:title>
  <dc:subject/>
  <dc:creator>Direktore</dc:creator>
  <cp:keywords/>
  <dc:description/>
  <cp:lastModifiedBy>Dovile</cp:lastModifiedBy>
  <cp:revision>3</cp:revision>
  <dcterms:created xsi:type="dcterms:W3CDTF">2016-05-02T08:29:00Z</dcterms:created>
  <dcterms:modified xsi:type="dcterms:W3CDTF">2016-05-02T08:30:00Z</dcterms:modified>
</cp:coreProperties>
</file>