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5E7" w:rsidRDefault="009A1D19" w:rsidP="009A1D19">
      <w:pPr>
        <w:spacing w:after="0"/>
        <w:rPr>
          <w:rFonts w:ascii="Times New Roman" w:hAnsi="Times New Roman" w:cs="Times New Roman"/>
        </w:rPr>
      </w:pPr>
      <w:r>
        <w:rPr>
          <w:rFonts w:ascii="Times New Roman" w:hAnsi="Times New Roman" w:cs="Times New Roman"/>
          <w:noProof/>
          <w:sz w:val="24"/>
          <w:lang w:eastAsia="lt-LT"/>
        </w:rPr>
        <w:drawing>
          <wp:anchor distT="0" distB="0" distL="114300" distR="114300" simplePos="0" relativeHeight="251659264" behindDoc="0" locked="0" layoutInCell="1" allowOverlap="1">
            <wp:simplePos x="0" y="0"/>
            <wp:positionH relativeFrom="margin">
              <wp:align>left</wp:align>
            </wp:positionH>
            <wp:positionV relativeFrom="paragraph">
              <wp:posOffset>372</wp:posOffset>
            </wp:positionV>
            <wp:extent cx="3790950" cy="806450"/>
            <wp:effectExtent l="0" t="0" r="0" b="0"/>
            <wp:wrapThrough wrapText="bothSides">
              <wp:wrapPolygon edited="0">
                <wp:start x="0" y="0"/>
                <wp:lineTo x="0" y="20920"/>
                <wp:lineTo x="21491" y="20920"/>
                <wp:lineTo x="21491" y="0"/>
                <wp:lineTo x="0" y="0"/>
              </wp:wrapPolygon>
            </wp:wrapThrough>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90950" cy="806450"/>
                    </a:xfrm>
                    <a:prstGeom prst="rect">
                      <a:avLst/>
                    </a:prstGeom>
                    <a:noFill/>
                    <a:ln>
                      <a:noFill/>
                    </a:ln>
                  </pic:spPr>
                </pic:pic>
              </a:graphicData>
            </a:graphic>
          </wp:anchor>
        </w:drawing>
      </w:r>
    </w:p>
    <w:p w:rsidR="003615E7" w:rsidRDefault="003615E7" w:rsidP="009A1D19">
      <w:pPr>
        <w:spacing w:after="0"/>
        <w:rPr>
          <w:rFonts w:ascii="Times New Roman" w:hAnsi="Times New Roman" w:cs="Times New Roman"/>
        </w:rPr>
      </w:pPr>
    </w:p>
    <w:p w:rsidR="003615E7" w:rsidRDefault="003615E7" w:rsidP="009A1D19">
      <w:pPr>
        <w:spacing w:after="0"/>
        <w:rPr>
          <w:rFonts w:ascii="Times New Roman" w:hAnsi="Times New Roman" w:cs="Times New Roman"/>
        </w:rPr>
      </w:pPr>
    </w:p>
    <w:p w:rsidR="003615E7" w:rsidRDefault="003615E7" w:rsidP="009A1D19">
      <w:pPr>
        <w:spacing w:after="0"/>
        <w:rPr>
          <w:rFonts w:ascii="Times New Roman" w:hAnsi="Times New Roman" w:cs="Times New Roman"/>
        </w:rPr>
      </w:pPr>
    </w:p>
    <w:p w:rsidR="009A1D19" w:rsidRPr="006D1DB3" w:rsidRDefault="003615E7" w:rsidP="009A1D19">
      <w:pPr>
        <w:spacing w:after="0"/>
        <w:rPr>
          <w:rFonts w:ascii="Times New Roman" w:hAnsi="Times New Roman" w:cs="Times New Roman"/>
          <w:sz w:val="20"/>
        </w:rPr>
      </w:pPr>
      <w:r>
        <w:rPr>
          <w:rFonts w:ascii="Times New Roman" w:hAnsi="Times New Roman" w:cs="Times New Roman"/>
          <w:sz w:val="20"/>
        </w:rPr>
        <w:t xml:space="preserve">       </w:t>
      </w:r>
      <w:r w:rsidR="009A1D19" w:rsidRPr="006D1DB3">
        <w:rPr>
          <w:rFonts w:ascii="Times New Roman" w:hAnsi="Times New Roman" w:cs="Times New Roman"/>
          <w:sz w:val="20"/>
        </w:rPr>
        <w:t>PRITARTA</w:t>
      </w:r>
    </w:p>
    <w:p w:rsidR="009A1D19" w:rsidRPr="006D1DB3" w:rsidRDefault="009A1D19" w:rsidP="009A1D19">
      <w:pPr>
        <w:spacing w:after="0"/>
        <w:rPr>
          <w:rFonts w:ascii="Times New Roman" w:hAnsi="Times New Roman" w:cs="Times New Roman"/>
          <w:sz w:val="20"/>
        </w:rPr>
      </w:pPr>
      <w:r w:rsidRPr="006D1DB3">
        <w:rPr>
          <w:rFonts w:ascii="Times New Roman" w:hAnsi="Times New Roman" w:cs="Times New Roman"/>
          <w:sz w:val="20"/>
        </w:rPr>
        <w:tab/>
      </w:r>
      <w:r w:rsidRPr="006D1DB3">
        <w:rPr>
          <w:rFonts w:ascii="Times New Roman" w:hAnsi="Times New Roman" w:cs="Times New Roman"/>
          <w:sz w:val="20"/>
        </w:rPr>
        <w:tab/>
      </w:r>
      <w:r w:rsidRPr="006D1DB3">
        <w:rPr>
          <w:rFonts w:ascii="Times New Roman" w:hAnsi="Times New Roman" w:cs="Times New Roman"/>
          <w:sz w:val="20"/>
        </w:rPr>
        <w:tab/>
      </w:r>
      <w:r w:rsidRPr="006D1DB3">
        <w:rPr>
          <w:rFonts w:ascii="Times New Roman" w:hAnsi="Times New Roman" w:cs="Times New Roman"/>
          <w:sz w:val="20"/>
        </w:rPr>
        <w:tab/>
      </w:r>
      <w:r w:rsidR="003615E7">
        <w:rPr>
          <w:rFonts w:ascii="Times New Roman" w:hAnsi="Times New Roman" w:cs="Times New Roman"/>
          <w:sz w:val="20"/>
        </w:rPr>
        <w:tab/>
      </w:r>
      <w:r w:rsidRPr="006D1DB3">
        <w:rPr>
          <w:rFonts w:ascii="Times New Roman" w:hAnsi="Times New Roman" w:cs="Times New Roman"/>
          <w:sz w:val="20"/>
        </w:rPr>
        <w:t xml:space="preserve">Prienų rajono savivaldybės tarybos </w:t>
      </w:r>
    </w:p>
    <w:p w:rsidR="009A1D19" w:rsidRPr="006D1DB3" w:rsidRDefault="009A1D19" w:rsidP="009A1D19">
      <w:pPr>
        <w:spacing w:after="0"/>
        <w:ind w:left="5184" w:firstLine="1296"/>
        <w:rPr>
          <w:rFonts w:ascii="Times New Roman" w:hAnsi="Times New Roman" w:cs="Times New Roman"/>
          <w:sz w:val="20"/>
        </w:rPr>
      </w:pPr>
      <w:r w:rsidRPr="006D1DB3">
        <w:rPr>
          <w:rFonts w:ascii="Times New Roman" w:hAnsi="Times New Roman" w:cs="Times New Roman"/>
          <w:sz w:val="20"/>
        </w:rPr>
        <w:t>201</w:t>
      </w:r>
      <w:r w:rsidR="003615E7">
        <w:rPr>
          <w:rFonts w:ascii="Times New Roman" w:hAnsi="Times New Roman" w:cs="Times New Roman"/>
          <w:sz w:val="20"/>
        </w:rPr>
        <w:t>6</w:t>
      </w:r>
      <w:r w:rsidR="000C518D">
        <w:rPr>
          <w:rFonts w:ascii="Times New Roman" w:hAnsi="Times New Roman" w:cs="Times New Roman"/>
          <w:sz w:val="20"/>
        </w:rPr>
        <w:t xml:space="preserve"> m. birželio</w:t>
      </w:r>
      <w:r w:rsidRPr="006D1DB3">
        <w:rPr>
          <w:rFonts w:ascii="Times New Roman" w:hAnsi="Times New Roman" w:cs="Times New Roman"/>
          <w:sz w:val="20"/>
        </w:rPr>
        <w:t xml:space="preserve"> </w:t>
      </w:r>
      <w:r w:rsidR="00897B4A">
        <w:rPr>
          <w:rFonts w:ascii="Times New Roman" w:hAnsi="Times New Roman" w:cs="Times New Roman"/>
          <w:sz w:val="20"/>
        </w:rPr>
        <w:t>30</w:t>
      </w:r>
      <w:r w:rsidRPr="006D1DB3">
        <w:rPr>
          <w:rFonts w:ascii="Times New Roman" w:hAnsi="Times New Roman" w:cs="Times New Roman"/>
          <w:sz w:val="20"/>
        </w:rPr>
        <w:t xml:space="preserve"> d. Nr. </w:t>
      </w:r>
      <w:r w:rsidR="00897B4A">
        <w:rPr>
          <w:rFonts w:ascii="Times New Roman" w:hAnsi="Times New Roman" w:cs="Times New Roman"/>
          <w:sz w:val="20"/>
        </w:rPr>
        <w:t>T3-153</w:t>
      </w:r>
    </w:p>
    <w:p w:rsidR="006D1DB3" w:rsidRDefault="006D1DB3" w:rsidP="009A1D19">
      <w:pPr>
        <w:spacing w:after="0"/>
        <w:ind w:firstLine="6237"/>
        <w:rPr>
          <w:rFonts w:ascii="Times New Roman" w:hAnsi="Times New Roman" w:cs="Times New Roman"/>
          <w:sz w:val="24"/>
        </w:rPr>
      </w:pPr>
      <w:r>
        <w:rPr>
          <w:rFonts w:ascii="Times New Roman" w:hAnsi="Times New Roman" w:cs="Times New Roman"/>
          <w:sz w:val="24"/>
        </w:rPr>
        <w:tab/>
      </w:r>
    </w:p>
    <w:p w:rsidR="00F01C15" w:rsidRDefault="00F01C15" w:rsidP="009A1D19">
      <w:pPr>
        <w:spacing w:after="0"/>
        <w:jc w:val="center"/>
        <w:rPr>
          <w:rFonts w:ascii="Times New Roman" w:hAnsi="Times New Roman" w:cs="Times New Roman"/>
          <w:b/>
          <w:sz w:val="24"/>
        </w:rPr>
      </w:pPr>
    </w:p>
    <w:p w:rsidR="009A1D19" w:rsidRDefault="009A1D19" w:rsidP="009A1D19">
      <w:pPr>
        <w:spacing w:after="0"/>
        <w:jc w:val="center"/>
        <w:rPr>
          <w:rFonts w:ascii="Times New Roman" w:hAnsi="Times New Roman" w:cs="Times New Roman"/>
          <w:b/>
          <w:sz w:val="24"/>
        </w:rPr>
      </w:pPr>
      <w:bookmarkStart w:id="0" w:name="_GoBack"/>
      <w:bookmarkEnd w:id="0"/>
      <w:r w:rsidRPr="006D1DB3">
        <w:rPr>
          <w:rFonts w:ascii="Times New Roman" w:hAnsi="Times New Roman" w:cs="Times New Roman"/>
          <w:b/>
          <w:sz w:val="24"/>
        </w:rPr>
        <w:t xml:space="preserve">UŽDAROSIOS AKCINĖS BENDROVĖS „PRIENŲ BUTŲ ŪKIS“ </w:t>
      </w:r>
    </w:p>
    <w:p w:rsidR="009A1D19" w:rsidRDefault="009A1D19" w:rsidP="009A1D19">
      <w:pPr>
        <w:spacing w:after="0"/>
        <w:jc w:val="center"/>
        <w:rPr>
          <w:rFonts w:ascii="Times New Roman" w:hAnsi="Times New Roman" w:cs="Times New Roman"/>
          <w:b/>
          <w:sz w:val="24"/>
        </w:rPr>
      </w:pPr>
      <w:r w:rsidRPr="006D1DB3">
        <w:rPr>
          <w:rFonts w:ascii="Times New Roman" w:hAnsi="Times New Roman" w:cs="Times New Roman"/>
          <w:b/>
          <w:sz w:val="24"/>
        </w:rPr>
        <w:t>201</w:t>
      </w:r>
      <w:r>
        <w:rPr>
          <w:rFonts w:ascii="Times New Roman" w:hAnsi="Times New Roman" w:cs="Times New Roman"/>
          <w:b/>
          <w:sz w:val="24"/>
        </w:rPr>
        <w:t>5</w:t>
      </w:r>
      <w:r w:rsidRPr="006D1DB3">
        <w:rPr>
          <w:rFonts w:ascii="Times New Roman" w:hAnsi="Times New Roman" w:cs="Times New Roman"/>
          <w:b/>
          <w:sz w:val="24"/>
        </w:rPr>
        <w:t xml:space="preserve"> M. ATASKAITA</w:t>
      </w:r>
    </w:p>
    <w:p w:rsidR="006A22A4" w:rsidRDefault="006A22A4" w:rsidP="006D1DB3">
      <w:pPr>
        <w:spacing w:after="0"/>
        <w:jc w:val="center"/>
        <w:rPr>
          <w:rFonts w:ascii="Times New Roman" w:hAnsi="Times New Roman" w:cs="Times New Roman"/>
          <w:sz w:val="24"/>
        </w:rPr>
      </w:pPr>
    </w:p>
    <w:p w:rsidR="006A22A4" w:rsidRDefault="006A22A4" w:rsidP="006D1DB3">
      <w:pPr>
        <w:spacing w:after="0"/>
        <w:jc w:val="center"/>
        <w:rPr>
          <w:rFonts w:ascii="Times New Roman" w:hAnsi="Times New Roman" w:cs="Times New Roman"/>
          <w:b/>
          <w:sz w:val="24"/>
        </w:rPr>
      </w:pPr>
      <w:r w:rsidRPr="006A22A4">
        <w:rPr>
          <w:rFonts w:ascii="Times New Roman" w:hAnsi="Times New Roman" w:cs="Times New Roman"/>
          <w:b/>
          <w:sz w:val="24"/>
        </w:rPr>
        <w:t>I. BENDROVĖS VEIKLOS PER 2015 METUS APŽVALGA</w:t>
      </w:r>
    </w:p>
    <w:p w:rsidR="006A22A4" w:rsidRDefault="006A22A4" w:rsidP="006D1DB3">
      <w:pPr>
        <w:spacing w:after="0"/>
        <w:jc w:val="center"/>
        <w:rPr>
          <w:rFonts w:ascii="Times New Roman" w:hAnsi="Times New Roman" w:cs="Times New Roman"/>
          <w:b/>
          <w:sz w:val="24"/>
        </w:rPr>
      </w:pPr>
    </w:p>
    <w:p w:rsidR="002C0568" w:rsidRDefault="002C0568" w:rsidP="006D1DB3">
      <w:pPr>
        <w:spacing w:after="0"/>
        <w:jc w:val="center"/>
        <w:rPr>
          <w:rFonts w:ascii="Times New Roman" w:hAnsi="Times New Roman" w:cs="Times New Roman"/>
          <w:b/>
          <w:sz w:val="24"/>
        </w:rPr>
      </w:pPr>
      <w:r>
        <w:rPr>
          <w:rFonts w:ascii="Times New Roman" w:hAnsi="Times New Roman" w:cs="Times New Roman"/>
          <w:b/>
          <w:sz w:val="24"/>
        </w:rPr>
        <w:t xml:space="preserve">1.1. BENDROJI DALIS </w:t>
      </w:r>
    </w:p>
    <w:p w:rsidR="006A22A4" w:rsidRDefault="006A22A4" w:rsidP="006A22A4">
      <w:pPr>
        <w:spacing w:after="0"/>
        <w:jc w:val="both"/>
        <w:rPr>
          <w:rFonts w:ascii="Times New Roman" w:hAnsi="Times New Roman" w:cs="Times New Roman"/>
          <w:sz w:val="24"/>
        </w:rPr>
      </w:pPr>
    </w:p>
    <w:p w:rsidR="006D1DB3" w:rsidRDefault="006D1DB3" w:rsidP="001236CF">
      <w:pPr>
        <w:spacing w:after="0" w:line="276" w:lineRule="auto"/>
        <w:ind w:firstLine="567"/>
        <w:jc w:val="both"/>
        <w:rPr>
          <w:rFonts w:ascii="Times New Roman" w:hAnsi="Times New Roman" w:cs="Times New Roman"/>
          <w:sz w:val="24"/>
        </w:rPr>
      </w:pPr>
      <w:r>
        <w:rPr>
          <w:rFonts w:ascii="Times New Roman" w:hAnsi="Times New Roman" w:cs="Times New Roman"/>
          <w:sz w:val="24"/>
        </w:rPr>
        <w:t>Uždaroji akcinė bendrovė „Prienų butų ūkis“ įregistruota 1990 m. lapkričio 28 d.</w:t>
      </w:r>
      <w:r w:rsidR="008F3744">
        <w:rPr>
          <w:rFonts w:ascii="Times New Roman" w:hAnsi="Times New Roman" w:cs="Times New Roman"/>
          <w:sz w:val="24"/>
        </w:rPr>
        <w:t>,</w:t>
      </w:r>
      <w:r>
        <w:rPr>
          <w:rFonts w:ascii="Times New Roman" w:hAnsi="Times New Roman" w:cs="Times New Roman"/>
          <w:sz w:val="24"/>
        </w:rPr>
        <w:t xml:space="preserve"> adresu Kęstučio g. 37, </w:t>
      </w:r>
      <w:r w:rsidR="006B6584">
        <w:rPr>
          <w:rFonts w:ascii="Times New Roman" w:hAnsi="Times New Roman" w:cs="Times New Roman"/>
          <w:sz w:val="24"/>
        </w:rPr>
        <w:t xml:space="preserve">LT-59129 </w:t>
      </w:r>
      <w:r>
        <w:rPr>
          <w:rFonts w:ascii="Times New Roman" w:hAnsi="Times New Roman" w:cs="Times New Roman"/>
          <w:sz w:val="24"/>
        </w:rPr>
        <w:t>Prienai. Įmonės kodas 170609076</w:t>
      </w:r>
      <w:r w:rsidR="006B6584">
        <w:rPr>
          <w:rFonts w:ascii="Times New Roman" w:hAnsi="Times New Roman" w:cs="Times New Roman"/>
          <w:sz w:val="24"/>
        </w:rPr>
        <w:t>. Pridėtinės vertės mokesčio mokėtojo kodas LT706090716. Valstybės įmonės Registrų centro</w:t>
      </w:r>
      <w:r w:rsidR="006B6584" w:rsidRPr="006B6584">
        <w:rPr>
          <w:rFonts w:ascii="Times New Roman" w:hAnsi="Times New Roman" w:cs="Times New Roman"/>
          <w:sz w:val="24"/>
        </w:rPr>
        <w:t xml:space="preserve"> Kauno filiale yra kaupiami ir saugomi duomenys apie bendrovę</w:t>
      </w:r>
      <w:r w:rsidR="006B6584">
        <w:rPr>
          <w:rFonts w:ascii="Times New Roman" w:hAnsi="Times New Roman" w:cs="Times New Roman"/>
          <w:sz w:val="24"/>
        </w:rPr>
        <w:t xml:space="preserve">. Bendrovės įstatinis kapitalas yra </w:t>
      </w:r>
      <w:r w:rsidR="006A22A4">
        <w:rPr>
          <w:rFonts w:ascii="Times New Roman" w:hAnsi="Times New Roman" w:cs="Times New Roman"/>
          <w:sz w:val="24"/>
        </w:rPr>
        <w:t>240.599,68 EUR</w:t>
      </w:r>
      <w:r w:rsidR="006B6584">
        <w:rPr>
          <w:rFonts w:ascii="Times New Roman" w:hAnsi="Times New Roman" w:cs="Times New Roman"/>
          <w:sz w:val="24"/>
        </w:rPr>
        <w:t xml:space="preserve"> (</w:t>
      </w:r>
      <w:r w:rsidR="006A22A4">
        <w:rPr>
          <w:rFonts w:ascii="Times New Roman" w:hAnsi="Times New Roman" w:cs="Times New Roman"/>
          <w:sz w:val="24"/>
        </w:rPr>
        <w:t>du šimtai keturiasdešimt tūkstančių penki šimtai devyniasdešimt devyni eurai 68 ct</w:t>
      </w:r>
      <w:r w:rsidR="006B6584">
        <w:rPr>
          <w:rFonts w:ascii="Times New Roman" w:hAnsi="Times New Roman" w:cs="Times New Roman"/>
          <w:sz w:val="24"/>
        </w:rPr>
        <w:t xml:space="preserve">), jį sudaro 8308 paprastųjų akcijų. Akcijų nominalioji vertė – </w:t>
      </w:r>
      <w:r w:rsidR="006A22A4">
        <w:rPr>
          <w:rFonts w:ascii="Times New Roman" w:hAnsi="Times New Roman" w:cs="Times New Roman"/>
          <w:sz w:val="24"/>
        </w:rPr>
        <w:t>28,96 EUR</w:t>
      </w:r>
      <w:r w:rsidR="006B6584">
        <w:rPr>
          <w:rFonts w:ascii="Times New Roman" w:hAnsi="Times New Roman" w:cs="Times New Roman"/>
          <w:sz w:val="24"/>
        </w:rPr>
        <w:t xml:space="preserve">. Visos akcijos priklauso Prienų rajono savivaldybei. Uždaroji akcinė bendrovė „Prienų  butų ūkis“ yra ribotos civilinės atsakomybės privatus juridinis asmuo, kuris savo veikloje vadovaujasi Lietuvos Respublikos civiliniu kodeksu, Lietuvos Respublikos akcinių bendrovių įstatymu, kitais Lietuvos Respublikos teisės aktais, taip pat UAB „Prienų butų ūkis“ įstatais. </w:t>
      </w:r>
      <w:r w:rsidR="00292D5F">
        <w:rPr>
          <w:rFonts w:ascii="Times New Roman" w:hAnsi="Times New Roman" w:cs="Times New Roman"/>
          <w:sz w:val="24"/>
        </w:rPr>
        <w:t>UAB „</w:t>
      </w:r>
      <w:r w:rsidR="005C0559" w:rsidRPr="005C0559">
        <w:rPr>
          <w:rFonts w:ascii="Times New Roman" w:hAnsi="Times New Roman" w:cs="Times New Roman"/>
          <w:sz w:val="24"/>
        </w:rPr>
        <w:t xml:space="preserve">Prienų butų ūkis” </w:t>
      </w:r>
      <w:r w:rsidR="005C0559">
        <w:rPr>
          <w:rFonts w:ascii="Times New Roman" w:hAnsi="Times New Roman" w:cs="Times New Roman"/>
          <w:sz w:val="24"/>
        </w:rPr>
        <w:t>nu</w:t>
      </w:r>
      <w:r w:rsidR="005C0559" w:rsidRPr="005C0559">
        <w:rPr>
          <w:rFonts w:ascii="Times New Roman" w:hAnsi="Times New Roman" w:cs="Times New Roman"/>
          <w:sz w:val="24"/>
        </w:rPr>
        <w:t xml:space="preserve">o 2001 m. yra aktyvus asociacijos </w:t>
      </w:r>
      <w:r w:rsidR="00FF568F">
        <w:rPr>
          <w:rFonts w:ascii="Times New Roman" w:hAnsi="Times New Roman" w:cs="Times New Roman"/>
          <w:sz w:val="24"/>
        </w:rPr>
        <w:t>„</w:t>
      </w:r>
      <w:r w:rsidR="005C0559" w:rsidRPr="005C0559">
        <w:rPr>
          <w:rFonts w:ascii="Times New Roman" w:hAnsi="Times New Roman" w:cs="Times New Roman"/>
          <w:sz w:val="24"/>
        </w:rPr>
        <w:t>Lietuvos butų ūkis</w:t>
      </w:r>
      <w:r w:rsidR="00FF568F">
        <w:rPr>
          <w:rFonts w:ascii="Times New Roman" w:hAnsi="Times New Roman" w:cs="Times New Roman"/>
          <w:sz w:val="24"/>
        </w:rPr>
        <w:t>“</w:t>
      </w:r>
      <w:r w:rsidR="005C0559" w:rsidRPr="005C0559">
        <w:rPr>
          <w:rFonts w:ascii="Times New Roman" w:hAnsi="Times New Roman" w:cs="Times New Roman"/>
          <w:sz w:val="24"/>
        </w:rPr>
        <w:t xml:space="preserve"> narys.</w:t>
      </w:r>
      <w:r w:rsidR="00292D5F">
        <w:rPr>
          <w:rFonts w:ascii="Times New Roman" w:hAnsi="Times New Roman" w:cs="Times New Roman"/>
          <w:sz w:val="24"/>
        </w:rPr>
        <w:t xml:space="preserve"> Bendrovė, kaip socialinis partneris, taip pat aktyviai bendradarbiauja su įvairiomis Prienų rajono įstaigomis ir organizacijomis. </w:t>
      </w:r>
    </w:p>
    <w:p w:rsidR="00D45DFE" w:rsidRDefault="00D45DFE" w:rsidP="001236CF">
      <w:pPr>
        <w:spacing w:after="0" w:line="276" w:lineRule="auto"/>
        <w:ind w:firstLine="567"/>
        <w:jc w:val="both"/>
        <w:rPr>
          <w:rFonts w:ascii="Times New Roman" w:hAnsi="Times New Roman" w:cs="Times New Roman"/>
          <w:sz w:val="24"/>
        </w:rPr>
      </w:pPr>
    </w:p>
    <w:p w:rsidR="00D45DFE" w:rsidRPr="004D7BBE" w:rsidRDefault="002C0568" w:rsidP="001236CF">
      <w:pPr>
        <w:spacing w:after="0" w:line="276" w:lineRule="auto"/>
        <w:ind w:firstLine="567"/>
        <w:jc w:val="center"/>
        <w:rPr>
          <w:rFonts w:ascii="Times New Roman" w:hAnsi="Times New Roman" w:cs="Times New Roman"/>
          <w:b/>
          <w:sz w:val="24"/>
        </w:rPr>
      </w:pPr>
      <w:r>
        <w:rPr>
          <w:rFonts w:ascii="Times New Roman" w:hAnsi="Times New Roman" w:cs="Times New Roman"/>
          <w:b/>
          <w:sz w:val="24"/>
        </w:rPr>
        <w:t>1.2.</w:t>
      </w:r>
      <w:r w:rsidR="00D45DFE" w:rsidRPr="004D7BBE">
        <w:rPr>
          <w:rFonts w:ascii="Times New Roman" w:hAnsi="Times New Roman" w:cs="Times New Roman"/>
          <w:b/>
          <w:sz w:val="24"/>
        </w:rPr>
        <w:t xml:space="preserve"> BENDROVĖS VALDYMAS</w:t>
      </w:r>
    </w:p>
    <w:p w:rsidR="00D45DFE" w:rsidRDefault="00D45DFE" w:rsidP="001236CF">
      <w:pPr>
        <w:spacing w:after="0" w:line="276" w:lineRule="auto"/>
        <w:ind w:firstLine="567"/>
        <w:jc w:val="center"/>
        <w:rPr>
          <w:rFonts w:ascii="Times New Roman" w:hAnsi="Times New Roman" w:cs="Times New Roman"/>
          <w:sz w:val="24"/>
        </w:rPr>
      </w:pPr>
    </w:p>
    <w:p w:rsidR="00FF568F" w:rsidRDefault="00FF568F" w:rsidP="00FF568F">
      <w:pPr>
        <w:spacing w:after="0" w:line="276" w:lineRule="auto"/>
        <w:ind w:firstLine="567"/>
        <w:jc w:val="both"/>
        <w:rPr>
          <w:rFonts w:ascii="Times New Roman" w:hAnsi="Times New Roman" w:cs="Times New Roman"/>
          <w:sz w:val="24"/>
        </w:rPr>
      </w:pPr>
      <w:r>
        <w:rPr>
          <w:rFonts w:ascii="Times New Roman" w:hAnsi="Times New Roman" w:cs="Times New Roman"/>
          <w:sz w:val="24"/>
        </w:rPr>
        <w:t>Bendrovės valdymo organai:</w:t>
      </w:r>
    </w:p>
    <w:p w:rsidR="00FF568F" w:rsidRDefault="00FF568F" w:rsidP="00FF568F">
      <w:pPr>
        <w:pStyle w:val="ListParagraph"/>
        <w:numPr>
          <w:ilvl w:val="0"/>
          <w:numId w:val="1"/>
        </w:numPr>
        <w:spacing w:after="0" w:line="276" w:lineRule="auto"/>
        <w:jc w:val="both"/>
        <w:rPr>
          <w:rFonts w:ascii="Times New Roman" w:hAnsi="Times New Roman" w:cs="Times New Roman"/>
          <w:sz w:val="24"/>
        </w:rPr>
      </w:pPr>
      <w:r>
        <w:rPr>
          <w:rFonts w:ascii="Times New Roman" w:hAnsi="Times New Roman" w:cs="Times New Roman"/>
          <w:sz w:val="24"/>
        </w:rPr>
        <w:t>Visuotinis akcininkų susirinkimas;</w:t>
      </w:r>
    </w:p>
    <w:p w:rsidR="00FF568F" w:rsidRDefault="00FF568F" w:rsidP="00FF568F">
      <w:pPr>
        <w:pStyle w:val="ListParagraph"/>
        <w:numPr>
          <w:ilvl w:val="0"/>
          <w:numId w:val="1"/>
        </w:numPr>
        <w:spacing w:after="0" w:line="276" w:lineRule="auto"/>
        <w:jc w:val="both"/>
        <w:rPr>
          <w:rFonts w:ascii="Times New Roman" w:hAnsi="Times New Roman" w:cs="Times New Roman"/>
          <w:sz w:val="24"/>
        </w:rPr>
      </w:pPr>
      <w:r>
        <w:rPr>
          <w:rFonts w:ascii="Times New Roman" w:hAnsi="Times New Roman" w:cs="Times New Roman"/>
          <w:sz w:val="24"/>
        </w:rPr>
        <w:t>Kolegialus valdymo organas – valdyba;</w:t>
      </w:r>
    </w:p>
    <w:p w:rsidR="00FF568F" w:rsidRDefault="00FF568F" w:rsidP="00FF568F">
      <w:pPr>
        <w:pStyle w:val="ListParagraph"/>
        <w:numPr>
          <w:ilvl w:val="0"/>
          <w:numId w:val="1"/>
        </w:numPr>
        <w:spacing w:after="0" w:line="276" w:lineRule="auto"/>
        <w:jc w:val="both"/>
        <w:rPr>
          <w:rFonts w:ascii="Times New Roman" w:hAnsi="Times New Roman" w:cs="Times New Roman"/>
          <w:sz w:val="24"/>
        </w:rPr>
      </w:pPr>
      <w:r>
        <w:rPr>
          <w:rFonts w:ascii="Times New Roman" w:hAnsi="Times New Roman" w:cs="Times New Roman"/>
          <w:sz w:val="24"/>
        </w:rPr>
        <w:t>Vienasmenis valdymo organas – bendrovės vadovas (bendrovėje vadinamas direktoriumi).</w:t>
      </w:r>
    </w:p>
    <w:p w:rsidR="00FF568F" w:rsidRDefault="00FF568F" w:rsidP="00FF568F">
      <w:pPr>
        <w:spacing w:after="0" w:line="276" w:lineRule="auto"/>
        <w:ind w:firstLine="567"/>
        <w:jc w:val="both"/>
        <w:rPr>
          <w:rFonts w:ascii="Times New Roman" w:hAnsi="Times New Roman" w:cs="Times New Roman"/>
          <w:sz w:val="24"/>
        </w:rPr>
      </w:pPr>
      <w:r>
        <w:rPr>
          <w:rFonts w:ascii="Times New Roman" w:hAnsi="Times New Roman" w:cs="Times New Roman"/>
          <w:sz w:val="24"/>
        </w:rPr>
        <w:t xml:space="preserve">Visuotinio akcininkų susirinkimo teisėmis veikiančio steigiamojo susirinkimo sprendimu bendrovėje stebėtojų taryba nesudaryta. Stebėtojų tarybos funkcijos kitiems bendrovės organams nepriskiriamos. Bendrovės valdymo organai veikia bendrovės ir jos akcininko naudai, laikosi įstatymų bei kitų teisės aktų ir vadovaujasi bendrovės įstatais. </w:t>
      </w:r>
    </w:p>
    <w:p w:rsidR="00FF568F" w:rsidRDefault="00FF568F" w:rsidP="001236CF">
      <w:pPr>
        <w:spacing w:after="0" w:line="276" w:lineRule="auto"/>
        <w:ind w:firstLine="567"/>
        <w:jc w:val="both"/>
        <w:rPr>
          <w:rFonts w:ascii="Times New Roman" w:hAnsi="Times New Roman" w:cs="Times New Roman"/>
          <w:sz w:val="24"/>
        </w:rPr>
      </w:pPr>
    </w:p>
    <w:p w:rsidR="00EE37DD" w:rsidRDefault="00EE37DD" w:rsidP="001236CF">
      <w:pPr>
        <w:spacing w:after="0" w:line="276" w:lineRule="auto"/>
        <w:ind w:firstLine="567"/>
        <w:jc w:val="both"/>
        <w:rPr>
          <w:rFonts w:ascii="Times New Roman" w:hAnsi="Times New Roman" w:cs="Times New Roman"/>
          <w:sz w:val="24"/>
        </w:rPr>
      </w:pPr>
      <w:r>
        <w:rPr>
          <w:rFonts w:ascii="Times New Roman" w:hAnsi="Times New Roman" w:cs="Times New Roman"/>
          <w:sz w:val="24"/>
        </w:rPr>
        <w:t>Bendrovės veiklos valdymo pagrindiniai tikslai:</w:t>
      </w:r>
    </w:p>
    <w:p w:rsidR="00EE37DD" w:rsidRDefault="00EE37DD" w:rsidP="001236CF">
      <w:pPr>
        <w:pStyle w:val="ListParagraph"/>
        <w:numPr>
          <w:ilvl w:val="0"/>
          <w:numId w:val="2"/>
        </w:numPr>
        <w:spacing w:after="0" w:line="276" w:lineRule="auto"/>
        <w:jc w:val="both"/>
        <w:rPr>
          <w:rFonts w:ascii="Times New Roman" w:hAnsi="Times New Roman" w:cs="Times New Roman"/>
          <w:sz w:val="24"/>
        </w:rPr>
      </w:pPr>
      <w:r>
        <w:rPr>
          <w:rFonts w:ascii="Times New Roman" w:hAnsi="Times New Roman" w:cs="Times New Roman"/>
          <w:sz w:val="24"/>
        </w:rPr>
        <w:t xml:space="preserve">Daugiabučių namų </w:t>
      </w:r>
      <w:r w:rsidR="00FF568F">
        <w:rPr>
          <w:rFonts w:ascii="Times New Roman" w:hAnsi="Times New Roman" w:cs="Times New Roman"/>
          <w:sz w:val="24"/>
        </w:rPr>
        <w:t xml:space="preserve">atnaujinimas (modernizavimas), </w:t>
      </w:r>
      <w:r>
        <w:rPr>
          <w:rFonts w:ascii="Times New Roman" w:hAnsi="Times New Roman" w:cs="Times New Roman"/>
          <w:sz w:val="24"/>
        </w:rPr>
        <w:t>administravimas ir priežiūra;</w:t>
      </w:r>
    </w:p>
    <w:p w:rsidR="00EE37DD" w:rsidRDefault="00EE37DD" w:rsidP="001236CF">
      <w:pPr>
        <w:pStyle w:val="ListParagraph"/>
        <w:numPr>
          <w:ilvl w:val="0"/>
          <w:numId w:val="2"/>
        </w:numPr>
        <w:spacing w:after="0" w:line="276" w:lineRule="auto"/>
        <w:jc w:val="both"/>
        <w:rPr>
          <w:rFonts w:ascii="Times New Roman" w:hAnsi="Times New Roman" w:cs="Times New Roman"/>
          <w:sz w:val="24"/>
        </w:rPr>
      </w:pPr>
      <w:r>
        <w:rPr>
          <w:rFonts w:ascii="Times New Roman" w:hAnsi="Times New Roman" w:cs="Times New Roman"/>
          <w:sz w:val="24"/>
        </w:rPr>
        <w:t>Pažangių technologijų taikymas ir panaudojimas praktikoje;</w:t>
      </w:r>
    </w:p>
    <w:p w:rsidR="00EE37DD" w:rsidRDefault="00EE37DD" w:rsidP="001236CF">
      <w:pPr>
        <w:pStyle w:val="ListParagraph"/>
        <w:numPr>
          <w:ilvl w:val="0"/>
          <w:numId w:val="2"/>
        </w:numPr>
        <w:spacing w:after="0" w:line="276" w:lineRule="auto"/>
        <w:jc w:val="both"/>
        <w:rPr>
          <w:rFonts w:ascii="Times New Roman" w:hAnsi="Times New Roman" w:cs="Times New Roman"/>
          <w:sz w:val="24"/>
        </w:rPr>
      </w:pPr>
      <w:r>
        <w:rPr>
          <w:rFonts w:ascii="Times New Roman" w:hAnsi="Times New Roman" w:cs="Times New Roman"/>
          <w:sz w:val="24"/>
        </w:rPr>
        <w:t>Veiklos pajamų ir pelno gavimas;</w:t>
      </w:r>
    </w:p>
    <w:p w:rsidR="00EE37DD" w:rsidRDefault="00EE37DD" w:rsidP="001236CF">
      <w:pPr>
        <w:pStyle w:val="ListParagraph"/>
        <w:numPr>
          <w:ilvl w:val="0"/>
          <w:numId w:val="2"/>
        </w:numPr>
        <w:spacing w:after="0" w:line="276" w:lineRule="auto"/>
        <w:jc w:val="both"/>
        <w:rPr>
          <w:rFonts w:ascii="Times New Roman" w:hAnsi="Times New Roman" w:cs="Times New Roman"/>
          <w:sz w:val="24"/>
        </w:rPr>
      </w:pPr>
      <w:r>
        <w:rPr>
          <w:rFonts w:ascii="Times New Roman" w:hAnsi="Times New Roman" w:cs="Times New Roman"/>
          <w:sz w:val="24"/>
        </w:rPr>
        <w:t>Sąžininga konkurencija;</w:t>
      </w:r>
    </w:p>
    <w:p w:rsidR="00EE37DD" w:rsidRDefault="00EE37DD" w:rsidP="001236CF">
      <w:pPr>
        <w:pStyle w:val="ListParagraph"/>
        <w:numPr>
          <w:ilvl w:val="0"/>
          <w:numId w:val="2"/>
        </w:numPr>
        <w:spacing w:after="0" w:line="276" w:lineRule="auto"/>
        <w:jc w:val="both"/>
        <w:rPr>
          <w:rFonts w:ascii="Times New Roman" w:hAnsi="Times New Roman" w:cs="Times New Roman"/>
          <w:sz w:val="24"/>
        </w:rPr>
      </w:pPr>
      <w:r>
        <w:rPr>
          <w:rFonts w:ascii="Times New Roman" w:hAnsi="Times New Roman" w:cs="Times New Roman"/>
          <w:sz w:val="24"/>
        </w:rPr>
        <w:t>Naujų darbo vietų kūrimas;</w:t>
      </w:r>
    </w:p>
    <w:p w:rsidR="00EE37DD" w:rsidRDefault="00EE37DD" w:rsidP="001236CF">
      <w:pPr>
        <w:pStyle w:val="ListParagraph"/>
        <w:numPr>
          <w:ilvl w:val="0"/>
          <w:numId w:val="2"/>
        </w:numPr>
        <w:spacing w:after="0" w:line="276" w:lineRule="auto"/>
        <w:jc w:val="both"/>
        <w:rPr>
          <w:rFonts w:ascii="Times New Roman" w:hAnsi="Times New Roman" w:cs="Times New Roman"/>
          <w:sz w:val="24"/>
        </w:rPr>
      </w:pPr>
      <w:r>
        <w:rPr>
          <w:rFonts w:ascii="Times New Roman" w:hAnsi="Times New Roman" w:cs="Times New Roman"/>
          <w:sz w:val="24"/>
        </w:rPr>
        <w:t xml:space="preserve">Akcininkų turtinių interesų tenkinimas. </w:t>
      </w:r>
    </w:p>
    <w:p w:rsidR="00EE37DD" w:rsidRDefault="00EE37DD" w:rsidP="001236CF">
      <w:pPr>
        <w:spacing w:after="0" w:line="276" w:lineRule="auto"/>
        <w:ind w:firstLine="567"/>
        <w:jc w:val="both"/>
        <w:rPr>
          <w:rFonts w:ascii="Times New Roman" w:hAnsi="Times New Roman" w:cs="Times New Roman"/>
          <w:sz w:val="24"/>
        </w:rPr>
      </w:pPr>
      <w:r>
        <w:rPr>
          <w:rFonts w:ascii="Times New Roman" w:hAnsi="Times New Roman" w:cs="Times New Roman"/>
          <w:sz w:val="24"/>
        </w:rPr>
        <w:lastRenderedPageBreak/>
        <w:t>Bendrovės veiklos objektai yra paslaugų, darbų teikimas i</w:t>
      </w:r>
      <w:r w:rsidR="00982AEC">
        <w:rPr>
          <w:rFonts w:ascii="Times New Roman" w:hAnsi="Times New Roman" w:cs="Times New Roman"/>
          <w:sz w:val="24"/>
        </w:rPr>
        <w:t xml:space="preserve">r kita veikla. Bendrovės ūkinės </w:t>
      </w:r>
      <w:r>
        <w:rPr>
          <w:rFonts w:ascii="Times New Roman" w:hAnsi="Times New Roman" w:cs="Times New Roman"/>
          <w:sz w:val="24"/>
        </w:rPr>
        <w:t>veiklos rūšys (pagal EVRK 2 RED.) yra šios:</w:t>
      </w:r>
    </w:p>
    <w:p w:rsidR="00EE37DD" w:rsidRDefault="00EE37DD" w:rsidP="001236CF">
      <w:pPr>
        <w:pStyle w:val="ListParagraph"/>
        <w:numPr>
          <w:ilvl w:val="0"/>
          <w:numId w:val="2"/>
        </w:numPr>
        <w:spacing w:after="0" w:line="276" w:lineRule="auto"/>
        <w:jc w:val="both"/>
        <w:rPr>
          <w:rFonts w:ascii="Times New Roman" w:hAnsi="Times New Roman" w:cs="Times New Roman"/>
          <w:sz w:val="24"/>
        </w:rPr>
      </w:pPr>
      <w:r>
        <w:rPr>
          <w:rFonts w:ascii="Times New Roman" w:hAnsi="Times New Roman" w:cs="Times New Roman"/>
          <w:sz w:val="24"/>
        </w:rPr>
        <w:t>33.14 Elektros</w:t>
      </w:r>
      <w:r w:rsidR="00982AEC">
        <w:rPr>
          <w:rFonts w:ascii="Times New Roman" w:hAnsi="Times New Roman" w:cs="Times New Roman"/>
          <w:sz w:val="24"/>
        </w:rPr>
        <w:t xml:space="preserve"> įrangos remontas;</w:t>
      </w:r>
    </w:p>
    <w:p w:rsidR="00982AEC" w:rsidRDefault="00982AEC" w:rsidP="001236CF">
      <w:pPr>
        <w:pStyle w:val="ListParagraph"/>
        <w:numPr>
          <w:ilvl w:val="0"/>
          <w:numId w:val="2"/>
        </w:numPr>
        <w:spacing w:after="0" w:line="276" w:lineRule="auto"/>
        <w:jc w:val="both"/>
        <w:rPr>
          <w:rFonts w:ascii="Times New Roman" w:hAnsi="Times New Roman" w:cs="Times New Roman"/>
          <w:sz w:val="24"/>
        </w:rPr>
      </w:pPr>
      <w:r>
        <w:rPr>
          <w:rFonts w:ascii="Times New Roman" w:hAnsi="Times New Roman" w:cs="Times New Roman"/>
          <w:sz w:val="24"/>
        </w:rPr>
        <w:t>35.13 Elektros paskirstymas;</w:t>
      </w:r>
    </w:p>
    <w:p w:rsidR="00982AEC" w:rsidRDefault="00982AEC" w:rsidP="001236CF">
      <w:pPr>
        <w:pStyle w:val="ListParagraph"/>
        <w:numPr>
          <w:ilvl w:val="0"/>
          <w:numId w:val="2"/>
        </w:numPr>
        <w:spacing w:after="0" w:line="276" w:lineRule="auto"/>
        <w:jc w:val="both"/>
        <w:rPr>
          <w:rFonts w:ascii="Times New Roman" w:hAnsi="Times New Roman" w:cs="Times New Roman"/>
          <w:sz w:val="24"/>
        </w:rPr>
      </w:pPr>
      <w:r>
        <w:rPr>
          <w:rFonts w:ascii="Times New Roman" w:hAnsi="Times New Roman" w:cs="Times New Roman"/>
          <w:sz w:val="24"/>
        </w:rPr>
        <w:t>41.20 Gyvenamųjų ir negyvenamųjų pastatų statyba;</w:t>
      </w:r>
    </w:p>
    <w:p w:rsidR="00982AEC" w:rsidRDefault="00982AEC" w:rsidP="001236CF">
      <w:pPr>
        <w:pStyle w:val="ListParagraph"/>
        <w:numPr>
          <w:ilvl w:val="0"/>
          <w:numId w:val="2"/>
        </w:numPr>
        <w:spacing w:after="0" w:line="276" w:lineRule="auto"/>
        <w:jc w:val="both"/>
        <w:rPr>
          <w:rFonts w:ascii="Times New Roman" w:hAnsi="Times New Roman" w:cs="Times New Roman"/>
          <w:sz w:val="24"/>
        </w:rPr>
      </w:pPr>
      <w:r>
        <w:rPr>
          <w:rFonts w:ascii="Times New Roman" w:hAnsi="Times New Roman" w:cs="Times New Roman"/>
          <w:sz w:val="24"/>
        </w:rPr>
        <w:t>42. Inžinerinių statinių statyba;</w:t>
      </w:r>
    </w:p>
    <w:p w:rsidR="00982AEC" w:rsidRDefault="00982AEC" w:rsidP="001236CF">
      <w:pPr>
        <w:pStyle w:val="ListParagraph"/>
        <w:numPr>
          <w:ilvl w:val="0"/>
          <w:numId w:val="2"/>
        </w:numPr>
        <w:spacing w:after="0" w:line="276" w:lineRule="auto"/>
        <w:jc w:val="both"/>
        <w:rPr>
          <w:rFonts w:ascii="Times New Roman" w:hAnsi="Times New Roman" w:cs="Times New Roman"/>
          <w:sz w:val="24"/>
        </w:rPr>
      </w:pPr>
      <w:r>
        <w:rPr>
          <w:rFonts w:ascii="Times New Roman" w:hAnsi="Times New Roman" w:cs="Times New Roman"/>
          <w:sz w:val="24"/>
        </w:rPr>
        <w:t>43.21 Elektros sistemų įrengimas;</w:t>
      </w:r>
    </w:p>
    <w:p w:rsidR="00982AEC" w:rsidRDefault="00982AEC" w:rsidP="001236CF">
      <w:pPr>
        <w:pStyle w:val="ListParagraph"/>
        <w:numPr>
          <w:ilvl w:val="0"/>
          <w:numId w:val="2"/>
        </w:numPr>
        <w:spacing w:after="0" w:line="276" w:lineRule="auto"/>
        <w:jc w:val="both"/>
        <w:rPr>
          <w:rFonts w:ascii="Times New Roman" w:hAnsi="Times New Roman" w:cs="Times New Roman"/>
          <w:sz w:val="24"/>
        </w:rPr>
      </w:pPr>
      <w:r>
        <w:rPr>
          <w:rFonts w:ascii="Times New Roman" w:hAnsi="Times New Roman" w:cs="Times New Roman"/>
          <w:sz w:val="24"/>
        </w:rPr>
        <w:t>43.22 Vandentiekio, šildymo ir oro kondicionavimo sistemų įrengimas;</w:t>
      </w:r>
    </w:p>
    <w:p w:rsidR="00982AEC" w:rsidRDefault="00982AEC" w:rsidP="001236CF">
      <w:pPr>
        <w:pStyle w:val="ListParagraph"/>
        <w:numPr>
          <w:ilvl w:val="0"/>
          <w:numId w:val="2"/>
        </w:numPr>
        <w:spacing w:after="0" w:line="276" w:lineRule="auto"/>
        <w:jc w:val="both"/>
        <w:rPr>
          <w:rFonts w:ascii="Times New Roman" w:hAnsi="Times New Roman" w:cs="Times New Roman"/>
          <w:sz w:val="24"/>
        </w:rPr>
      </w:pPr>
      <w:r>
        <w:rPr>
          <w:rFonts w:ascii="Times New Roman" w:hAnsi="Times New Roman" w:cs="Times New Roman"/>
          <w:sz w:val="24"/>
        </w:rPr>
        <w:t>43.3 Statybos baigimas ir apdaila;</w:t>
      </w:r>
    </w:p>
    <w:p w:rsidR="00982AEC" w:rsidRDefault="00982AEC" w:rsidP="001236CF">
      <w:pPr>
        <w:pStyle w:val="ListParagraph"/>
        <w:numPr>
          <w:ilvl w:val="0"/>
          <w:numId w:val="2"/>
        </w:numPr>
        <w:spacing w:after="0" w:line="276" w:lineRule="auto"/>
        <w:jc w:val="both"/>
        <w:rPr>
          <w:rFonts w:ascii="Times New Roman" w:hAnsi="Times New Roman" w:cs="Times New Roman"/>
          <w:sz w:val="24"/>
        </w:rPr>
      </w:pPr>
      <w:r>
        <w:rPr>
          <w:rFonts w:ascii="Times New Roman" w:hAnsi="Times New Roman" w:cs="Times New Roman"/>
          <w:sz w:val="24"/>
        </w:rPr>
        <w:t>68.10 Nuosavo nekilnojamo turto pirkimas ir pardavimas;</w:t>
      </w:r>
    </w:p>
    <w:p w:rsidR="00982AEC" w:rsidRDefault="00982AEC" w:rsidP="001236CF">
      <w:pPr>
        <w:pStyle w:val="ListParagraph"/>
        <w:numPr>
          <w:ilvl w:val="0"/>
          <w:numId w:val="2"/>
        </w:numPr>
        <w:spacing w:after="0" w:line="276" w:lineRule="auto"/>
        <w:jc w:val="both"/>
        <w:rPr>
          <w:rFonts w:ascii="Times New Roman" w:hAnsi="Times New Roman" w:cs="Times New Roman"/>
          <w:sz w:val="24"/>
        </w:rPr>
      </w:pPr>
      <w:r>
        <w:rPr>
          <w:rFonts w:ascii="Times New Roman" w:hAnsi="Times New Roman" w:cs="Times New Roman"/>
          <w:sz w:val="24"/>
        </w:rPr>
        <w:t>68.20 Nuosavo arba nuomojamo nekilnojamo turto nuoma ir eksploatavimas;</w:t>
      </w:r>
    </w:p>
    <w:p w:rsidR="00982AEC" w:rsidRDefault="00982AEC" w:rsidP="001236CF">
      <w:pPr>
        <w:pStyle w:val="ListParagraph"/>
        <w:numPr>
          <w:ilvl w:val="0"/>
          <w:numId w:val="2"/>
        </w:numPr>
        <w:spacing w:after="0" w:line="276" w:lineRule="auto"/>
        <w:jc w:val="both"/>
        <w:rPr>
          <w:rFonts w:ascii="Times New Roman" w:hAnsi="Times New Roman" w:cs="Times New Roman"/>
          <w:sz w:val="24"/>
        </w:rPr>
      </w:pPr>
      <w:r>
        <w:rPr>
          <w:rFonts w:ascii="Times New Roman" w:hAnsi="Times New Roman" w:cs="Times New Roman"/>
          <w:sz w:val="24"/>
        </w:rPr>
        <w:t>68.32 Nekilnojamo turto operacijos už atlygį arba pagal sutartį;</w:t>
      </w:r>
    </w:p>
    <w:p w:rsidR="00982AEC" w:rsidRDefault="00982AEC" w:rsidP="001236CF">
      <w:pPr>
        <w:pStyle w:val="ListParagraph"/>
        <w:numPr>
          <w:ilvl w:val="0"/>
          <w:numId w:val="2"/>
        </w:numPr>
        <w:spacing w:after="0" w:line="276" w:lineRule="auto"/>
        <w:jc w:val="both"/>
        <w:rPr>
          <w:rFonts w:ascii="Times New Roman" w:hAnsi="Times New Roman" w:cs="Times New Roman"/>
          <w:sz w:val="24"/>
        </w:rPr>
      </w:pPr>
      <w:r>
        <w:rPr>
          <w:rFonts w:ascii="Times New Roman" w:hAnsi="Times New Roman" w:cs="Times New Roman"/>
          <w:sz w:val="24"/>
        </w:rPr>
        <w:t>81. Pastatų aptarnavimas ir kraštovaizdžio tvarkymas;</w:t>
      </w:r>
    </w:p>
    <w:p w:rsidR="00982AEC" w:rsidRPr="00EE37DD" w:rsidRDefault="00982AEC" w:rsidP="001236CF">
      <w:pPr>
        <w:pStyle w:val="ListParagraph"/>
        <w:numPr>
          <w:ilvl w:val="0"/>
          <w:numId w:val="2"/>
        </w:numPr>
        <w:spacing w:after="0" w:line="276" w:lineRule="auto"/>
        <w:jc w:val="both"/>
        <w:rPr>
          <w:rFonts w:ascii="Times New Roman" w:hAnsi="Times New Roman" w:cs="Times New Roman"/>
          <w:sz w:val="24"/>
        </w:rPr>
      </w:pPr>
      <w:r>
        <w:rPr>
          <w:rFonts w:ascii="Times New Roman" w:hAnsi="Times New Roman" w:cs="Times New Roman"/>
          <w:sz w:val="24"/>
        </w:rPr>
        <w:t xml:space="preserve">96.03 Laidotuvių ir su jomis susijusi veikla. </w:t>
      </w:r>
    </w:p>
    <w:p w:rsidR="00EE37DD" w:rsidRDefault="00982AEC" w:rsidP="001236CF">
      <w:pPr>
        <w:spacing w:after="0" w:line="276" w:lineRule="auto"/>
        <w:ind w:firstLine="567"/>
        <w:jc w:val="both"/>
        <w:rPr>
          <w:rFonts w:ascii="Times New Roman" w:hAnsi="Times New Roman" w:cs="Times New Roman"/>
          <w:sz w:val="24"/>
        </w:rPr>
      </w:pPr>
      <w:r>
        <w:rPr>
          <w:rFonts w:ascii="Times New Roman" w:hAnsi="Times New Roman" w:cs="Times New Roman"/>
          <w:sz w:val="24"/>
        </w:rPr>
        <w:t xml:space="preserve">Vadovaujantis uždarosios akcinės bendrovės „Prienų butų ūkis“ įstatų 8 punktu, bendrovė gali užsiimti bet kokia kita veikla, kuri neprieštarauja Lietuvos Respublikos teisės aktams. </w:t>
      </w:r>
    </w:p>
    <w:p w:rsidR="00FF568F" w:rsidRDefault="00FF568F" w:rsidP="00FF568F">
      <w:pPr>
        <w:spacing w:after="0" w:line="276" w:lineRule="auto"/>
        <w:ind w:firstLine="567"/>
        <w:jc w:val="both"/>
        <w:rPr>
          <w:rFonts w:ascii="Times New Roman" w:hAnsi="Times New Roman" w:cs="Times New Roman"/>
          <w:sz w:val="24"/>
        </w:rPr>
      </w:pPr>
    </w:p>
    <w:p w:rsidR="00FF568F" w:rsidRDefault="00FF568F" w:rsidP="00FF568F">
      <w:pPr>
        <w:spacing w:after="0" w:line="276" w:lineRule="auto"/>
        <w:ind w:firstLine="567"/>
        <w:jc w:val="both"/>
        <w:rPr>
          <w:rFonts w:ascii="Times New Roman" w:hAnsi="Times New Roman" w:cs="Times New Roman"/>
          <w:sz w:val="24"/>
        </w:rPr>
      </w:pPr>
      <w:r>
        <w:rPr>
          <w:rFonts w:ascii="Times New Roman" w:hAnsi="Times New Roman" w:cs="Times New Roman"/>
          <w:sz w:val="24"/>
        </w:rPr>
        <w:t xml:space="preserve">Bendrovėje 2013 gegužės 8 d. įdiegta ir sėkmingai veikia kokybės vadybos sistema pagal ISO 9001:2008 (Lietuvos standarto statuso žymuo  LST EN ISO 9001 : 2008), aplinkos apsaugos vadybos sistema pagal ISO 14001:2004 (Lietuvos standarto statuso žymuo LST EN ISO 14001 : 2005) bei darbuotojų saugos ir sveikatos vadybos sistema pagal BS OHSAS 18001:2007 reikalavimus (Sertifikatas Nr. 14033). </w:t>
      </w:r>
    </w:p>
    <w:p w:rsidR="006C78A8" w:rsidRDefault="006C78A8" w:rsidP="001236CF">
      <w:pPr>
        <w:spacing w:after="0" w:line="276" w:lineRule="auto"/>
        <w:ind w:firstLine="567"/>
        <w:jc w:val="both"/>
        <w:rPr>
          <w:rFonts w:ascii="Times New Roman" w:hAnsi="Times New Roman" w:cs="Times New Roman"/>
          <w:sz w:val="24"/>
        </w:rPr>
      </w:pPr>
      <w:r>
        <w:rPr>
          <w:rFonts w:ascii="Times New Roman" w:hAnsi="Times New Roman" w:cs="Times New Roman"/>
          <w:sz w:val="24"/>
        </w:rPr>
        <w:t>LR Valstybinės Energetikos inspekcijos prie Energetikos ministerijos yra išduotas (pratęstas) atestatas (Nr. E-1144)</w:t>
      </w:r>
      <w:r w:rsidRPr="006C78A8">
        <w:rPr>
          <w:rFonts w:ascii="Times New Roman" w:hAnsi="Times New Roman" w:cs="Times New Roman"/>
          <w:sz w:val="24"/>
        </w:rPr>
        <w:t xml:space="preserve"> </w:t>
      </w:r>
      <w:r>
        <w:rPr>
          <w:rFonts w:ascii="Times New Roman" w:hAnsi="Times New Roman" w:cs="Times New Roman"/>
          <w:sz w:val="24"/>
        </w:rPr>
        <w:t>eksploatuoti elektros įrenginius. Suteikta teisė verstis šiais elektros įrenginių eksploatavimo darbais:</w:t>
      </w:r>
    </w:p>
    <w:p w:rsidR="006C78A8" w:rsidRPr="00B146C7" w:rsidRDefault="00B146C7" w:rsidP="001236CF">
      <w:pPr>
        <w:spacing w:after="0" w:line="276" w:lineRule="auto"/>
        <w:ind w:firstLine="567"/>
        <w:jc w:val="both"/>
        <w:rPr>
          <w:rFonts w:ascii="Times New Roman" w:hAnsi="Times New Roman" w:cs="Times New Roman"/>
          <w:sz w:val="24"/>
        </w:rPr>
      </w:pPr>
      <w:r w:rsidRPr="00B146C7">
        <w:rPr>
          <w:rFonts w:ascii="Times New Roman" w:hAnsi="Times New Roman" w:cs="Times New Roman"/>
          <w:sz w:val="24"/>
        </w:rPr>
        <w:t xml:space="preserve">26. </w:t>
      </w:r>
      <w:r w:rsidR="006C78A8" w:rsidRPr="00B146C7">
        <w:rPr>
          <w:rFonts w:ascii="Times New Roman" w:hAnsi="Times New Roman" w:cs="Times New Roman"/>
          <w:sz w:val="24"/>
        </w:rPr>
        <w:t>Elektros tinklo ir įrenginių iki 1000 V eksploatavimo darbai (išskyrus oro linijas, bandymus ir matavimus);</w:t>
      </w:r>
    </w:p>
    <w:p w:rsidR="006C78A8" w:rsidRPr="00B146C7" w:rsidRDefault="00B146C7" w:rsidP="001236CF">
      <w:pPr>
        <w:spacing w:after="0" w:line="276" w:lineRule="auto"/>
        <w:ind w:firstLine="567"/>
        <w:jc w:val="both"/>
        <w:rPr>
          <w:rFonts w:ascii="Times New Roman" w:hAnsi="Times New Roman" w:cs="Times New Roman"/>
          <w:sz w:val="24"/>
        </w:rPr>
      </w:pPr>
      <w:r w:rsidRPr="00B146C7">
        <w:rPr>
          <w:rFonts w:ascii="Times New Roman" w:hAnsi="Times New Roman" w:cs="Times New Roman"/>
          <w:sz w:val="24"/>
        </w:rPr>
        <w:t xml:space="preserve">29. </w:t>
      </w:r>
      <w:r w:rsidR="006C78A8" w:rsidRPr="00B146C7">
        <w:rPr>
          <w:rFonts w:ascii="Times New Roman" w:hAnsi="Times New Roman" w:cs="Times New Roman"/>
          <w:sz w:val="24"/>
        </w:rPr>
        <w:t xml:space="preserve">Elektros instaliacijos iki 1000 V eksploatavimo darbai (išskyrus bandymus ir matavimus). </w:t>
      </w:r>
    </w:p>
    <w:p w:rsidR="00B146C7" w:rsidRDefault="007C271D" w:rsidP="001236CF">
      <w:pPr>
        <w:spacing w:after="0" w:line="276" w:lineRule="auto"/>
        <w:ind w:firstLine="567"/>
        <w:jc w:val="both"/>
        <w:rPr>
          <w:rFonts w:ascii="Times New Roman" w:hAnsi="Times New Roman" w:cs="Times New Roman"/>
          <w:sz w:val="24"/>
        </w:rPr>
      </w:pPr>
      <w:r>
        <w:rPr>
          <w:rFonts w:ascii="Times New Roman" w:hAnsi="Times New Roman" w:cs="Times New Roman"/>
          <w:sz w:val="24"/>
        </w:rPr>
        <w:t xml:space="preserve">LR Valstybinės Energetikos inspekcijos prie Energetikos ministerijos </w:t>
      </w:r>
      <w:r w:rsidR="00B146C7">
        <w:rPr>
          <w:rFonts w:ascii="Times New Roman" w:hAnsi="Times New Roman" w:cs="Times New Roman"/>
          <w:sz w:val="24"/>
        </w:rPr>
        <w:t xml:space="preserve">2014 m. </w:t>
      </w:r>
      <w:r w:rsidR="006C78A8">
        <w:rPr>
          <w:rFonts w:ascii="Times New Roman" w:hAnsi="Times New Roman" w:cs="Times New Roman"/>
          <w:sz w:val="24"/>
        </w:rPr>
        <w:t>yra naujai</w:t>
      </w:r>
      <w:r>
        <w:rPr>
          <w:rFonts w:ascii="Times New Roman" w:hAnsi="Times New Roman" w:cs="Times New Roman"/>
          <w:sz w:val="24"/>
        </w:rPr>
        <w:t xml:space="preserve"> išduot</w:t>
      </w:r>
      <w:r w:rsidR="006C78A8">
        <w:rPr>
          <w:rFonts w:ascii="Times New Roman" w:hAnsi="Times New Roman" w:cs="Times New Roman"/>
          <w:sz w:val="24"/>
        </w:rPr>
        <w:t>as</w:t>
      </w:r>
      <w:r>
        <w:rPr>
          <w:rFonts w:ascii="Times New Roman" w:hAnsi="Times New Roman" w:cs="Times New Roman"/>
          <w:sz w:val="24"/>
        </w:rPr>
        <w:t xml:space="preserve"> (pratęst</w:t>
      </w:r>
      <w:r w:rsidR="006C78A8">
        <w:rPr>
          <w:rFonts w:ascii="Times New Roman" w:hAnsi="Times New Roman" w:cs="Times New Roman"/>
          <w:sz w:val="24"/>
        </w:rPr>
        <w:t>as</w:t>
      </w:r>
      <w:r>
        <w:rPr>
          <w:rFonts w:ascii="Times New Roman" w:hAnsi="Times New Roman" w:cs="Times New Roman"/>
          <w:sz w:val="24"/>
        </w:rPr>
        <w:t>) atestata</w:t>
      </w:r>
      <w:r w:rsidR="006C78A8">
        <w:rPr>
          <w:rFonts w:ascii="Times New Roman" w:hAnsi="Times New Roman" w:cs="Times New Roman"/>
          <w:sz w:val="24"/>
        </w:rPr>
        <w:t>s</w:t>
      </w:r>
      <w:r>
        <w:rPr>
          <w:rFonts w:ascii="Times New Roman" w:hAnsi="Times New Roman" w:cs="Times New Roman"/>
          <w:sz w:val="24"/>
        </w:rPr>
        <w:t xml:space="preserve"> </w:t>
      </w:r>
      <w:r w:rsidR="00B146C7">
        <w:rPr>
          <w:rFonts w:ascii="Times New Roman" w:hAnsi="Times New Roman" w:cs="Times New Roman"/>
          <w:sz w:val="24"/>
        </w:rPr>
        <w:t xml:space="preserve">Nr. T-0629 eksploatuoti šilumos įrenginius ir turbinas: </w:t>
      </w:r>
    </w:p>
    <w:p w:rsidR="00B146C7" w:rsidRDefault="00B146C7" w:rsidP="001236CF">
      <w:pPr>
        <w:spacing w:after="0" w:line="276" w:lineRule="auto"/>
        <w:ind w:firstLine="567"/>
        <w:jc w:val="both"/>
        <w:rPr>
          <w:rFonts w:ascii="Times New Roman" w:hAnsi="Times New Roman" w:cs="Times New Roman"/>
          <w:sz w:val="24"/>
        </w:rPr>
      </w:pPr>
      <w:r>
        <w:rPr>
          <w:rFonts w:ascii="Times New Roman" w:hAnsi="Times New Roman" w:cs="Times New Roman"/>
          <w:sz w:val="24"/>
        </w:rPr>
        <w:t xml:space="preserve">15. Šilumos punktų iki 1 MW (kartu su pastatų šildymo ir karšto vandens sistemomis) eksploatavimo darbai. </w:t>
      </w:r>
    </w:p>
    <w:p w:rsidR="003615E7" w:rsidRDefault="00FF568F" w:rsidP="00FF568F">
      <w:pPr>
        <w:spacing w:after="0" w:line="276" w:lineRule="auto"/>
        <w:ind w:firstLine="567"/>
        <w:jc w:val="both"/>
        <w:rPr>
          <w:rFonts w:ascii="Times New Roman" w:hAnsi="Times New Roman" w:cs="Times New Roman"/>
          <w:sz w:val="24"/>
        </w:rPr>
      </w:pPr>
      <w:r>
        <w:rPr>
          <w:rFonts w:ascii="Times New Roman" w:hAnsi="Times New Roman" w:cs="Times New Roman"/>
          <w:sz w:val="24"/>
        </w:rPr>
        <w:t>Bendrovė suprasdama savo veiklos sudėtingumą, atsakingumą ir atsakomybę skiria didelį dėmesį bendrovės ir darbuotojų kvalifikacijos kėlimui,</w:t>
      </w:r>
      <w:r w:rsidRPr="00E610E1">
        <w:rPr>
          <w:rFonts w:ascii="Times New Roman" w:hAnsi="Times New Roman" w:cs="Times New Roman"/>
          <w:sz w:val="24"/>
        </w:rPr>
        <w:t xml:space="preserve"> </w:t>
      </w:r>
      <w:r>
        <w:rPr>
          <w:rFonts w:ascii="Times New Roman" w:hAnsi="Times New Roman" w:cs="Times New Roman"/>
          <w:sz w:val="24"/>
        </w:rPr>
        <w:t>darbuotojų sveikatai ir darbų saugai, todėl nėra įvykę nei vieno nelaimingo atsitikimo. Bendrovė savo veiklą yra apdraudusi bendrosios civilinės atsakomybės draudimu. Taip pat visi bendrovės darbuotojai yra apdrausti nuo traumų ir nelaimingų atsitikimų darbe, pakeliui į darbą ir iš darbo.</w:t>
      </w:r>
    </w:p>
    <w:p w:rsidR="00FF568F" w:rsidRDefault="007C3B2F" w:rsidP="00FF568F">
      <w:pPr>
        <w:spacing w:after="0" w:line="276" w:lineRule="auto"/>
        <w:ind w:firstLine="567"/>
        <w:jc w:val="both"/>
        <w:rPr>
          <w:rFonts w:ascii="Times New Roman" w:hAnsi="Times New Roman" w:cs="Times New Roman"/>
          <w:sz w:val="24"/>
        </w:rPr>
      </w:pPr>
      <w:r>
        <w:rPr>
          <w:rFonts w:ascii="Times New Roman" w:hAnsi="Times New Roman" w:cs="Times New Roman"/>
          <w:sz w:val="24"/>
        </w:rPr>
        <w:t>Nuolat</w:t>
      </w:r>
      <w:r w:rsidR="00382F1B">
        <w:rPr>
          <w:rFonts w:ascii="Times New Roman" w:hAnsi="Times New Roman" w:cs="Times New Roman"/>
          <w:sz w:val="24"/>
        </w:rPr>
        <w:t>,</w:t>
      </w:r>
      <w:r w:rsidR="003615E7">
        <w:rPr>
          <w:rFonts w:ascii="Times New Roman" w:hAnsi="Times New Roman" w:cs="Times New Roman"/>
          <w:sz w:val="24"/>
        </w:rPr>
        <w:t xml:space="preserve"> pagal bendrovės direktoriaus įsakymus</w:t>
      </w:r>
      <w:r w:rsidR="00382F1B">
        <w:rPr>
          <w:rFonts w:ascii="Times New Roman" w:hAnsi="Times New Roman" w:cs="Times New Roman"/>
          <w:sz w:val="24"/>
        </w:rPr>
        <w:t>,</w:t>
      </w:r>
      <w:r w:rsidR="003615E7">
        <w:rPr>
          <w:rFonts w:ascii="Times New Roman" w:hAnsi="Times New Roman" w:cs="Times New Roman"/>
          <w:sz w:val="24"/>
        </w:rPr>
        <w:t xml:space="preserve"> vyksta mokymai, darbuotojų a</w:t>
      </w:r>
      <w:r w:rsidR="00382F1B">
        <w:rPr>
          <w:rFonts w:ascii="Times New Roman" w:hAnsi="Times New Roman" w:cs="Times New Roman"/>
          <w:sz w:val="24"/>
        </w:rPr>
        <w:t>testavimai</w:t>
      </w:r>
      <w:r w:rsidR="00FF568F">
        <w:rPr>
          <w:rFonts w:ascii="Times New Roman" w:hAnsi="Times New Roman" w:cs="Times New Roman"/>
          <w:sz w:val="24"/>
        </w:rPr>
        <w:t xml:space="preserve">  </w:t>
      </w:r>
      <w:r w:rsidR="00382F1B">
        <w:rPr>
          <w:rFonts w:ascii="Times New Roman" w:hAnsi="Times New Roman" w:cs="Times New Roman"/>
          <w:sz w:val="24"/>
        </w:rPr>
        <w:t>d</w:t>
      </w:r>
      <w:r w:rsidR="003615E7">
        <w:rPr>
          <w:rFonts w:ascii="Times New Roman" w:hAnsi="Times New Roman" w:cs="Times New Roman"/>
          <w:sz w:val="24"/>
        </w:rPr>
        <w:t xml:space="preserve">arbų ir priešgaisrinės saugos klausimais. </w:t>
      </w:r>
    </w:p>
    <w:p w:rsidR="00DC1C68" w:rsidRDefault="00FF568F" w:rsidP="001236CF">
      <w:pPr>
        <w:spacing w:after="0" w:line="276" w:lineRule="auto"/>
        <w:ind w:firstLine="567"/>
        <w:jc w:val="both"/>
        <w:rPr>
          <w:rFonts w:ascii="Times New Roman" w:hAnsi="Times New Roman" w:cs="Times New Roman"/>
          <w:sz w:val="24"/>
        </w:rPr>
      </w:pPr>
      <w:r w:rsidRPr="00291BF0">
        <w:rPr>
          <w:rFonts w:ascii="Times New Roman" w:hAnsi="Times New Roman" w:cs="Times New Roman"/>
          <w:sz w:val="24"/>
        </w:rPr>
        <w:t>Bendrovėje 2015</w:t>
      </w:r>
      <w:r w:rsidR="00D45DFE" w:rsidRPr="00291BF0">
        <w:rPr>
          <w:rFonts w:ascii="Times New Roman" w:hAnsi="Times New Roman" w:cs="Times New Roman"/>
          <w:sz w:val="24"/>
        </w:rPr>
        <w:t xml:space="preserve"> m. vidutinis darbuotojų skaičius buvo 34 darbuotojai.  </w:t>
      </w:r>
      <w:r w:rsidR="00291BF0" w:rsidRPr="00291BF0">
        <w:rPr>
          <w:rFonts w:ascii="Times New Roman" w:hAnsi="Times New Roman" w:cs="Times New Roman"/>
          <w:sz w:val="24"/>
        </w:rPr>
        <w:t>Bendrovėje dirbo 7</w:t>
      </w:r>
      <w:r w:rsidR="00DC1C68" w:rsidRPr="00291BF0">
        <w:rPr>
          <w:rFonts w:ascii="Times New Roman" w:hAnsi="Times New Roman" w:cs="Times New Roman"/>
          <w:sz w:val="24"/>
        </w:rPr>
        <w:t xml:space="preserve"> administracijos darbuotojai, kas sudaro </w:t>
      </w:r>
      <w:r w:rsidR="00291BF0" w:rsidRPr="00291BF0">
        <w:rPr>
          <w:rFonts w:ascii="Times New Roman" w:hAnsi="Times New Roman" w:cs="Times New Roman"/>
          <w:sz w:val="24"/>
        </w:rPr>
        <w:t>21</w:t>
      </w:r>
      <w:r w:rsidR="00DC1C68" w:rsidRPr="00291BF0">
        <w:rPr>
          <w:rFonts w:ascii="Times New Roman" w:hAnsi="Times New Roman" w:cs="Times New Roman"/>
          <w:sz w:val="24"/>
        </w:rPr>
        <w:t xml:space="preserve"> proc. nuo bendro darbuotojų skaičiaus, daugiabučių namų priežiūros padalinyje dirbo 1</w:t>
      </w:r>
      <w:r w:rsidR="00291BF0" w:rsidRPr="00291BF0">
        <w:rPr>
          <w:rFonts w:ascii="Times New Roman" w:hAnsi="Times New Roman" w:cs="Times New Roman"/>
          <w:sz w:val="24"/>
        </w:rPr>
        <w:t>7</w:t>
      </w:r>
      <w:r w:rsidR="00DC1C68" w:rsidRPr="00291BF0">
        <w:rPr>
          <w:rFonts w:ascii="Times New Roman" w:hAnsi="Times New Roman" w:cs="Times New Roman"/>
          <w:sz w:val="24"/>
        </w:rPr>
        <w:t xml:space="preserve"> darbuotojų, teritorijų tvarkymo padalinyje 10 darbuotojų.</w:t>
      </w:r>
    </w:p>
    <w:p w:rsidR="00382F1B" w:rsidRDefault="00382F1B" w:rsidP="001236CF">
      <w:pPr>
        <w:spacing w:after="0" w:line="276" w:lineRule="auto"/>
        <w:ind w:firstLine="567"/>
        <w:jc w:val="both"/>
        <w:rPr>
          <w:rFonts w:ascii="Times New Roman" w:hAnsi="Times New Roman" w:cs="Times New Roman"/>
          <w:sz w:val="24"/>
        </w:rPr>
      </w:pPr>
      <w:r>
        <w:rPr>
          <w:rFonts w:ascii="Times New Roman" w:hAnsi="Times New Roman" w:cs="Times New Roman"/>
          <w:sz w:val="24"/>
        </w:rPr>
        <w:t>Bendrovės darbuotojų vidutinis atlyginimas per 2015 m. – 626 EUR.</w:t>
      </w:r>
    </w:p>
    <w:p w:rsidR="00292D5F" w:rsidRPr="00291BF0" w:rsidRDefault="00292D5F" w:rsidP="001236CF">
      <w:pPr>
        <w:spacing w:after="0" w:line="276" w:lineRule="auto"/>
        <w:ind w:firstLine="567"/>
        <w:jc w:val="both"/>
        <w:rPr>
          <w:rFonts w:ascii="Times New Roman" w:hAnsi="Times New Roman" w:cs="Times New Roman"/>
          <w:sz w:val="24"/>
        </w:rPr>
      </w:pPr>
    </w:p>
    <w:p w:rsidR="00DC1C68" w:rsidRPr="00FF568F" w:rsidRDefault="00DC1C68" w:rsidP="001236CF">
      <w:pPr>
        <w:spacing w:after="0" w:line="276" w:lineRule="auto"/>
        <w:ind w:firstLine="567"/>
        <w:jc w:val="both"/>
        <w:rPr>
          <w:rFonts w:ascii="Times New Roman" w:hAnsi="Times New Roman" w:cs="Times New Roman"/>
          <w:color w:val="FF0000"/>
          <w:sz w:val="24"/>
        </w:rPr>
      </w:pPr>
    </w:p>
    <w:p w:rsidR="00FF568F" w:rsidRPr="004D7BBE" w:rsidRDefault="00FF568F" w:rsidP="00FF568F">
      <w:pPr>
        <w:spacing w:after="0" w:line="276" w:lineRule="auto"/>
        <w:jc w:val="center"/>
        <w:rPr>
          <w:rFonts w:ascii="Times New Roman" w:hAnsi="Times New Roman" w:cs="Times New Roman"/>
          <w:b/>
          <w:sz w:val="24"/>
        </w:rPr>
      </w:pPr>
      <w:r>
        <w:rPr>
          <w:rFonts w:ascii="Times New Roman" w:hAnsi="Times New Roman" w:cs="Times New Roman"/>
          <w:b/>
          <w:sz w:val="24"/>
        </w:rPr>
        <w:lastRenderedPageBreak/>
        <w:t>1.3</w:t>
      </w:r>
      <w:r w:rsidRPr="004D7BBE">
        <w:rPr>
          <w:rFonts w:ascii="Times New Roman" w:hAnsi="Times New Roman" w:cs="Times New Roman"/>
          <w:b/>
          <w:sz w:val="24"/>
        </w:rPr>
        <w:t>. APSKAITOS POLITIKA</w:t>
      </w:r>
    </w:p>
    <w:p w:rsidR="00FF568F" w:rsidRDefault="00FF568F" w:rsidP="00FF568F">
      <w:pPr>
        <w:spacing w:after="0" w:line="276" w:lineRule="auto"/>
        <w:jc w:val="center"/>
        <w:rPr>
          <w:rFonts w:ascii="Times New Roman" w:hAnsi="Times New Roman" w:cs="Times New Roman"/>
          <w:sz w:val="24"/>
        </w:rPr>
      </w:pPr>
    </w:p>
    <w:p w:rsidR="00FF568F" w:rsidRPr="00291BF0" w:rsidRDefault="00FF568F" w:rsidP="00FF568F">
      <w:pPr>
        <w:spacing w:after="0" w:line="276" w:lineRule="auto"/>
        <w:ind w:firstLine="567"/>
        <w:jc w:val="both"/>
        <w:rPr>
          <w:rFonts w:ascii="Times New Roman" w:hAnsi="Times New Roman" w:cs="Times New Roman"/>
          <w:sz w:val="24"/>
        </w:rPr>
      </w:pPr>
      <w:r w:rsidRPr="00291BF0">
        <w:rPr>
          <w:rFonts w:ascii="Times New Roman" w:hAnsi="Times New Roman" w:cs="Times New Roman"/>
          <w:sz w:val="24"/>
        </w:rPr>
        <w:t xml:space="preserve">Bendrovės apskaitos politika patvirtinta </w:t>
      </w:r>
      <w:r w:rsidR="003329DC">
        <w:rPr>
          <w:rFonts w:ascii="Times New Roman" w:hAnsi="Times New Roman" w:cs="Times New Roman"/>
          <w:sz w:val="24"/>
        </w:rPr>
        <w:t>D</w:t>
      </w:r>
      <w:r w:rsidRPr="00291BF0">
        <w:rPr>
          <w:rFonts w:ascii="Times New Roman" w:hAnsi="Times New Roman" w:cs="Times New Roman"/>
          <w:sz w:val="24"/>
        </w:rPr>
        <w:t xml:space="preserve">irektoriaus įsakymu </w:t>
      </w:r>
      <w:r w:rsidR="00291BF0" w:rsidRPr="00291BF0">
        <w:rPr>
          <w:rFonts w:ascii="Times New Roman" w:hAnsi="Times New Roman" w:cs="Times New Roman"/>
          <w:sz w:val="24"/>
        </w:rPr>
        <w:t>2015-12-31</w:t>
      </w:r>
      <w:r w:rsidRPr="00291BF0">
        <w:rPr>
          <w:rFonts w:ascii="Times New Roman" w:hAnsi="Times New Roman" w:cs="Times New Roman"/>
          <w:sz w:val="24"/>
        </w:rPr>
        <w:t xml:space="preserve"> Nr. </w:t>
      </w:r>
      <w:r w:rsidR="00291BF0" w:rsidRPr="00291BF0">
        <w:rPr>
          <w:rFonts w:ascii="Times New Roman" w:hAnsi="Times New Roman" w:cs="Times New Roman"/>
          <w:sz w:val="24"/>
        </w:rPr>
        <w:t>79</w:t>
      </w:r>
      <w:r w:rsidRPr="00291BF0">
        <w:rPr>
          <w:rFonts w:ascii="Times New Roman" w:hAnsi="Times New Roman" w:cs="Times New Roman"/>
          <w:sz w:val="24"/>
        </w:rPr>
        <w:t xml:space="preserve">. </w:t>
      </w:r>
    </w:p>
    <w:p w:rsidR="00B1480A" w:rsidRDefault="00B1480A" w:rsidP="00FF568F">
      <w:pPr>
        <w:spacing w:after="0" w:line="276" w:lineRule="auto"/>
        <w:ind w:firstLine="567"/>
        <w:jc w:val="both"/>
        <w:rPr>
          <w:rFonts w:ascii="Times New Roman" w:hAnsi="Times New Roman" w:cs="Times New Roman"/>
          <w:sz w:val="24"/>
        </w:rPr>
      </w:pPr>
      <w:r>
        <w:rPr>
          <w:rFonts w:ascii="Times New Roman" w:hAnsi="Times New Roman" w:cs="Times New Roman"/>
          <w:sz w:val="24"/>
        </w:rPr>
        <w:t xml:space="preserve">2015 metų finansinių ataskaitų rinkinys (toliau – finansinės ataskaitos) parengtas vadovaujantis </w:t>
      </w:r>
      <w:r w:rsidR="00FF568F" w:rsidRPr="00291BF0">
        <w:rPr>
          <w:rFonts w:ascii="Times New Roman" w:hAnsi="Times New Roman" w:cs="Times New Roman"/>
          <w:sz w:val="24"/>
        </w:rPr>
        <w:t xml:space="preserve">Lietuvos Respublikos buhalterinės apskaitos ir </w:t>
      </w:r>
      <w:r>
        <w:rPr>
          <w:rFonts w:ascii="Times New Roman" w:hAnsi="Times New Roman" w:cs="Times New Roman"/>
          <w:sz w:val="24"/>
        </w:rPr>
        <w:t xml:space="preserve">Lietuvos Respublikos įmonių finansinės atskaitomybės įstatymais bei verslo apskaitos standartais. </w:t>
      </w:r>
    </w:p>
    <w:p w:rsidR="00FF568F" w:rsidRPr="00291BF0" w:rsidRDefault="00FF568F" w:rsidP="00FF568F">
      <w:pPr>
        <w:spacing w:after="0" w:line="276" w:lineRule="auto"/>
        <w:ind w:firstLine="567"/>
        <w:jc w:val="both"/>
        <w:rPr>
          <w:rFonts w:ascii="Times New Roman" w:hAnsi="Times New Roman" w:cs="Times New Roman"/>
          <w:sz w:val="24"/>
        </w:rPr>
      </w:pPr>
      <w:r w:rsidRPr="00291BF0">
        <w:rPr>
          <w:rFonts w:ascii="Times New Roman" w:hAnsi="Times New Roman" w:cs="Times New Roman"/>
          <w:sz w:val="24"/>
        </w:rPr>
        <w:t>Bendrovės balanse parodytas turtas įkainotas:</w:t>
      </w:r>
    </w:p>
    <w:p w:rsidR="00FF568F" w:rsidRPr="00291BF0" w:rsidRDefault="00FF568F" w:rsidP="00FF568F">
      <w:pPr>
        <w:pStyle w:val="ListParagraph"/>
        <w:numPr>
          <w:ilvl w:val="0"/>
          <w:numId w:val="1"/>
        </w:numPr>
        <w:spacing w:after="0" w:line="276" w:lineRule="auto"/>
        <w:jc w:val="both"/>
        <w:rPr>
          <w:rFonts w:ascii="Times New Roman" w:hAnsi="Times New Roman" w:cs="Times New Roman"/>
          <w:sz w:val="24"/>
        </w:rPr>
      </w:pPr>
      <w:r w:rsidRPr="00291BF0">
        <w:rPr>
          <w:rFonts w:ascii="Times New Roman" w:hAnsi="Times New Roman" w:cs="Times New Roman"/>
          <w:sz w:val="24"/>
        </w:rPr>
        <w:t>Nematerialusis turtas – įsigijimo savikaina atėmus sukauptą amortizaciją</w:t>
      </w:r>
      <w:r w:rsidR="00B1480A">
        <w:rPr>
          <w:rFonts w:ascii="Times New Roman" w:hAnsi="Times New Roman" w:cs="Times New Roman"/>
          <w:sz w:val="24"/>
        </w:rPr>
        <w:t xml:space="preserve"> bei vertės sumažėjimą</w:t>
      </w:r>
      <w:r w:rsidRPr="00291BF0">
        <w:rPr>
          <w:rFonts w:ascii="Times New Roman" w:hAnsi="Times New Roman" w:cs="Times New Roman"/>
          <w:sz w:val="24"/>
        </w:rPr>
        <w:t>.</w:t>
      </w:r>
    </w:p>
    <w:p w:rsidR="00FF568F" w:rsidRPr="00291BF0" w:rsidRDefault="00FF568F" w:rsidP="00FF568F">
      <w:pPr>
        <w:pStyle w:val="ListParagraph"/>
        <w:numPr>
          <w:ilvl w:val="0"/>
          <w:numId w:val="1"/>
        </w:numPr>
        <w:spacing w:after="0" w:line="276" w:lineRule="auto"/>
        <w:jc w:val="both"/>
        <w:rPr>
          <w:rFonts w:ascii="Times New Roman" w:hAnsi="Times New Roman" w:cs="Times New Roman"/>
          <w:sz w:val="24"/>
        </w:rPr>
      </w:pPr>
      <w:r w:rsidRPr="00291BF0">
        <w:rPr>
          <w:rFonts w:ascii="Times New Roman" w:hAnsi="Times New Roman" w:cs="Times New Roman"/>
          <w:sz w:val="24"/>
        </w:rPr>
        <w:t xml:space="preserve">Ilgalaikis </w:t>
      </w:r>
      <w:r w:rsidR="00291BF0" w:rsidRPr="00291BF0">
        <w:rPr>
          <w:rFonts w:ascii="Times New Roman" w:hAnsi="Times New Roman" w:cs="Times New Roman"/>
          <w:sz w:val="24"/>
        </w:rPr>
        <w:t xml:space="preserve">materialus </w:t>
      </w:r>
      <w:r w:rsidRPr="00291BF0">
        <w:rPr>
          <w:rFonts w:ascii="Times New Roman" w:hAnsi="Times New Roman" w:cs="Times New Roman"/>
          <w:sz w:val="24"/>
        </w:rPr>
        <w:t>turtas – įsigijimo savikaina atėmus sukauptą nusidėvėjimą</w:t>
      </w:r>
      <w:r w:rsidR="00B1480A">
        <w:rPr>
          <w:rFonts w:ascii="Times New Roman" w:hAnsi="Times New Roman" w:cs="Times New Roman"/>
          <w:sz w:val="24"/>
        </w:rPr>
        <w:t xml:space="preserve"> bei vertės sumažėjimą</w:t>
      </w:r>
      <w:r w:rsidRPr="00291BF0">
        <w:rPr>
          <w:rFonts w:ascii="Times New Roman" w:hAnsi="Times New Roman" w:cs="Times New Roman"/>
          <w:sz w:val="24"/>
        </w:rPr>
        <w:t>.</w:t>
      </w:r>
    </w:p>
    <w:p w:rsidR="00FF568F" w:rsidRPr="00291BF0" w:rsidRDefault="00FF568F" w:rsidP="00FF568F">
      <w:pPr>
        <w:pStyle w:val="ListParagraph"/>
        <w:numPr>
          <w:ilvl w:val="0"/>
          <w:numId w:val="1"/>
        </w:numPr>
        <w:spacing w:after="0" w:line="276" w:lineRule="auto"/>
        <w:jc w:val="both"/>
        <w:rPr>
          <w:rFonts w:ascii="Times New Roman" w:hAnsi="Times New Roman" w:cs="Times New Roman"/>
          <w:sz w:val="24"/>
        </w:rPr>
      </w:pPr>
      <w:r w:rsidRPr="00291BF0">
        <w:rPr>
          <w:rFonts w:ascii="Times New Roman" w:hAnsi="Times New Roman" w:cs="Times New Roman"/>
          <w:sz w:val="24"/>
        </w:rPr>
        <w:t>Atsargos – įsigijimo savikaina</w:t>
      </w:r>
      <w:r w:rsidR="00B1480A">
        <w:rPr>
          <w:rFonts w:ascii="Times New Roman" w:hAnsi="Times New Roman" w:cs="Times New Roman"/>
          <w:sz w:val="24"/>
        </w:rPr>
        <w:t xml:space="preserve"> arba galimo realizavimo vertė, atsižvelgiant į tai, kuri jų yra mažesnė</w:t>
      </w:r>
      <w:r w:rsidRPr="00291BF0">
        <w:rPr>
          <w:rFonts w:ascii="Times New Roman" w:hAnsi="Times New Roman" w:cs="Times New Roman"/>
          <w:sz w:val="24"/>
        </w:rPr>
        <w:t>.</w:t>
      </w:r>
    </w:p>
    <w:p w:rsidR="00FF568F" w:rsidRPr="00291BF0" w:rsidRDefault="00FF568F" w:rsidP="00FF568F">
      <w:pPr>
        <w:spacing w:after="0" w:line="276" w:lineRule="auto"/>
        <w:ind w:firstLine="567"/>
        <w:jc w:val="both"/>
        <w:rPr>
          <w:rFonts w:ascii="Times New Roman" w:hAnsi="Times New Roman" w:cs="Times New Roman"/>
          <w:sz w:val="24"/>
        </w:rPr>
      </w:pPr>
      <w:r w:rsidRPr="00291BF0">
        <w:rPr>
          <w:rFonts w:ascii="Times New Roman" w:hAnsi="Times New Roman" w:cs="Times New Roman"/>
          <w:sz w:val="24"/>
        </w:rPr>
        <w:t>Ilgalaikiu materialiuoju turtu laikomas turtas, kurį įmonė valdo ir kontroliuoja, iš kurio tikisi gauti ekonominės naudos būsimais laikotarpiais, kuris bus naudojamas ilgiau nei vienerius metus, kurio įsigijimo (pasigaminimo) savikainą galima patikimai nustatyti ir kurio vertė didesnė už nustatytą minimalią tos grupės turto vertę.</w:t>
      </w:r>
    </w:p>
    <w:p w:rsidR="00FF568F" w:rsidRPr="00291BF0" w:rsidRDefault="00FF568F" w:rsidP="00FF568F">
      <w:pPr>
        <w:spacing w:after="0" w:line="276" w:lineRule="auto"/>
        <w:ind w:firstLine="567"/>
        <w:jc w:val="both"/>
        <w:rPr>
          <w:rFonts w:ascii="Times New Roman" w:hAnsi="Times New Roman" w:cs="Times New Roman"/>
          <w:sz w:val="24"/>
        </w:rPr>
      </w:pPr>
      <w:r w:rsidRPr="00291BF0">
        <w:rPr>
          <w:rFonts w:ascii="Times New Roman" w:hAnsi="Times New Roman" w:cs="Times New Roman"/>
          <w:sz w:val="24"/>
        </w:rPr>
        <w:t>Pardavimo pajamos pripažįstamos kaupimo principu. Pajamomis laikomos tik įmonės ekonominės naudos padidėjimas. Trečiųjų asmenų vardu surinktos sumos bei pridėtinės vertės mokestis pajamomis nepripažįstamas.</w:t>
      </w:r>
    </w:p>
    <w:p w:rsidR="00FF568F" w:rsidRPr="00291BF0" w:rsidRDefault="00FF568F" w:rsidP="00FF568F">
      <w:pPr>
        <w:spacing w:after="0" w:line="276" w:lineRule="auto"/>
        <w:ind w:firstLine="567"/>
        <w:jc w:val="both"/>
        <w:rPr>
          <w:rFonts w:ascii="Times New Roman" w:hAnsi="Times New Roman" w:cs="Times New Roman"/>
          <w:sz w:val="24"/>
        </w:rPr>
      </w:pPr>
      <w:r w:rsidRPr="00291BF0">
        <w:rPr>
          <w:rFonts w:ascii="Times New Roman" w:hAnsi="Times New Roman" w:cs="Times New Roman"/>
          <w:sz w:val="24"/>
        </w:rPr>
        <w:t>Pajamų dydis nustatomas įmonės ir kliento susitarimu, vadovaujantis savivaldybės bei bendrovės valdybos sprendimais.</w:t>
      </w:r>
    </w:p>
    <w:p w:rsidR="00FF568F" w:rsidRPr="00291BF0" w:rsidRDefault="00FF568F" w:rsidP="00FF568F">
      <w:pPr>
        <w:spacing w:after="0" w:line="276" w:lineRule="auto"/>
        <w:ind w:firstLine="567"/>
        <w:jc w:val="both"/>
        <w:rPr>
          <w:rFonts w:ascii="Times New Roman" w:hAnsi="Times New Roman" w:cs="Times New Roman"/>
          <w:sz w:val="24"/>
        </w:rPr>
      </w:pPr>
      <w:r w:rsidRPr="00291BF0">
        <w:rPr>
          <w:rFonts w:ascii="Times New Roman" w:hAnsi="Times New Roman" w:cs="Times New Roman"/>
          <w:sz w:val="24"/>
        </w:rPr>
        <w:t>Sąnaudos pripažįstamos vadovaujantis kaupimo ir palyginimo principais tuo ataskaitiniu laikotarpiu, kai uždirbamos su jomis susijusios pajamos, neatsižvelgiant į pinigų išleidimo laiką.</w:t>
      </w:r>
    </w:p>
    <w:p w:rsidR="00FF568F" w:rsidRPr="00291BF0" w:rsidRDefault="00FF568F" w:rsidP="00FF568F">
      <w:pPr>
        <w:spacing w:after="0" w:line="276" w:lineRule="auto"/>
        <w:jc w:val="both"/>
        <w:rPr>
          <w:rFonts w:ascii="Times New Roman" w:hAnsi="Times New Roman" w:cs="Times New Roman"/>
          <w:sz w:val="24"/>
        </w:rPr>
      </w:pPr>
      <w:r w:rsidRPr="00291BF0">
        <w:rPr>
          <w:rFonts w:ascii="Times New Roman" w:hAnsi="Times New Roman" w:cs="Times New Roman"/>
          <w:sz w:val="24"/>
        </w:rPr>
        <w:t>Pardavimo sąnaudos pripažįstamos tą ataskaitinį laikotarpį, kai jos buvo patirtos.</w:t>
      </w:r>
    </w:p>
    <w:p w:rsidR="00FF568F" w:rsidRPr="00291BF0" w:rsidRDefault="00FF568F" w:rsidP="00FF568F">
      <w:pPr>
        <w:spacing w:after="0" w:line="276" w:lineRule="auto"/>
        <w:ind w:firstLine="567"/>
        <w:jc w:val="both"/>
        <w:rPr>
          <w:rFonts w:ascii="Times New Roman" w:hAnsi="Times New Roman" w:cs="Times New Roman"/>
          <w:sz w:val="24"/>
        </w:rPr>
      </w:pPr>
      <w:r w:rsidRPr="00291BF0">
        <w:rPr>
          <w:rFonts w:ascii="Times New Roman" w:hAnsi="Times New Roman" w:cs="Times New Roman"/>
          <w:sz w:val="24"/>
        </w:rPr>
        <w:t>Kitai veiklai, išskyrus finansinę ir investicinę veiklą, priskiriamas naudoto ilgalaikio turto materialinio ir nematerialiojo turto perleidimo rezultatas, negyvenamų patalpų nuoma bei kitos tipinei veiklai nepriskiriamos pajamos ir sąnaudos.</w:t>
      </w:r>
    </w:p>
    <w:p w:rsidR="00FF568F" w:rsidRPr="00291BF0" w:rsidRDefault="00FF568F" w:rsidP="00FF568F">
      <w:pPr>
        <w:spacing w:after="0" w:line="276" w:lineRule="auto"/>
        <w:ind w:firstLine="567"/>
        <w:jc w:val="both"/>
        <w:rPr>
          <w:rFonts w:ascii="Times New Roman" w:hAnsi="Times New Roman" w:cs="Times New Roman"/>
          <w:sz w:val="24"/>
        </w:rPr>
      </w:pPr>
      <w:r w:rsidRPr="00291BF0">
        <w:rPr>
          <w:rFonts w:ascii="Times New Roman" w:hAnsi="Times New Roman" w:cs="Times New Roman"/>
          <w:sz w:val="24"/>
        </w:rPr>
        <w:t>Finansinei ir investicinei veiklai priskiriama: palūkanos, baudos, delspinigiai, finansinio turto perleidimo rezultatas, gautos draudimų sumos.</w:t>
      </w:r>
    </w:p>
    <w:p w:rsidR="00FF568F" w:rsidRPr="00291BF0" w:rsidRDefault="00FF568F" w:rsidP="00FF568F">
      <w:pPr>
        <w:spacing w:after="0" w:line="276" w:lineRule="auto"/>
        <w:ind w:firstLine="567"/>
        <w:jc w:val="both"/>
        <w:rPr>
          <w:rFonts w:ascii="Times New Roman" w:hAnsi="Times New Roman" w:cs="Times New Roman"/>
          <w:sz w:val="24"/>
        </w:rPr>
      </w:pPr>
      <w:r w:rsidRPr="00291BF0">
        <w:rPr>
          <w:rFonts w:ascii="Times New Roman" w:hAnsi="Times New Roman" w:cs="Times New Roman"/>
          <w:sz w:val="24"/>
        </w:rPr>
        <w:t>Baudos ir delspinigiai pripažįstami pajamomis (sąnaudomis) tada, kai jie sumokami.</w:t>
      </w:r>
    </w:p>
    <w:p w:rsidR="00FF568F" w:rsidRPr="00291BF0" w:rsidRDefault="00FF568F" w:rsidP="00FF568F">
      <w:pPr>
        <w:spacing w:after="0" w:line="276" w:lineRule="auto"/>
        <w:ind w:firstLine="567"/>
        <w:jc w:val="both"/>
        <w:rPr>
          <w:rFonts w:ascii="Times New Roman" w:hAnsi="Times New Roman" w:cs="Times New Roman"/>
          <w:sz w:val="24"/>
        </w:rPr>
      </w:pPr>
      <w:r w:rsidRPr="00291BF0">
        <w:rPr>
          <w:rFonts w:ascii="Times New Roman" w:hAnsi="Times New Roman" w:cs="Times New Roman"/>
          <w:sz w:val="24"/>
        </w:rPr>
        <w:t>Palūkanos už gautas paskolas, už lizingo (finansinės nuomos) būdu įsigytą turtą ir kitos su skolinimusi susijusios išlaidos pripažįstamos sąnaudomis tais laikotarpiais, kuriais jos susidaro.</w:t>
      </w:r>
    </w:p>
    <w:p w:rsidR="00FF568F" w:rsidRPr="00291BF0" w:rsidRDefault="00FF568F" w:rsidP="00FF568F">
      <w:pPr>
        <w:spacing w:after="0" w:line="276" w:lineRule="auto"/>
        <w:ind w:firstLine="567"/>
        <w:jc w:val="both"/>
        <w:rPr>
          <w:rFonts w:ascii="Times New Roman" w:hAnsi="Times New Roman" w:cs="Times New Roman"/>
          <w:sz w:val="24"/>
        </w:rPr>
      </w:pPr>
      <w:r w:rsidRPr="00291BF0">
        <w:rPr>
          <w:rFonts w:ascii="Times New Roman" w:hAnsi="Times New Roman" w:cs="Times New Roman"/>
          <w:sz w:val="24"/>
        </w:rPr>
        <w:t xml:space="preserve">Ilgalaikis turtas apskaitomas įsigijimo verte (įsigijimo vertė didesnė nei </w:t>
      </w:r>
      <w:r w:rsidR="00291BF0">
        <w:rPr>
          <w:rFonts w:ascii="Times New Roman" w:hAnsi="Times New Roman" w:cs="Times New Roman"/>
          <w:sz w:val="24"/>
        </w:rPr>
        <w:t>200 eurų</w:t>
      </w:r>
      <w:r w:rsidRPr="00291BF0">
        <w:rPr>
          <w:rFonts w:ascii="Times New Roman" w:hAnsi="Times New Roman" w:cs="Times New Roman"/>
          <w:sz w:val="24"/>
        </w:rPr>
        <w:t xml:space="preserve"> ir tarnavimo laikas ilgesnis nei vieneri metai pagal </w:t>
      </w:r>
      <w:r w:rsidR="00291BF0">
        <w:rPr>
          <w:rFonts w:ascii="Times New Roman" w:hAnsi="Times New Roman" w:cs="Times New Roman"/>
          <w:sz w:val="24"/>
        </w:rPr>
        <w:t>2015-02-27</w:t>
      </w:r>
      <w:r w:rsidRPr="00291BF0">
        <w:rPr>
          <w:rFonts w:ascii="Times New Roman" w:hAnsi="Times New Roman" w:cs="Times New Roman"/>
          <w:sz w:val="24"/>
        </w:rPr>
        <w:t xml:space="preserve"> įsakymą Nr. </w:t>
      </w:r>
      <w:r w:rsidR="00291BF0">
        <w:rPr>
          <w:rFonts w:ascii="Times New Roman" w:hAnsi="Times New Roman" w:cs="Times New Roman"/>
          <w:sz w:val="24"/>
        </w:rPr>
        <w:t>6</w:t>
      </w:r>
      <w:r w:rsidRPr="00291BF0">
        <w:rPr>
          <w:rFonts w:ascii="Times New Roman" w:hAnsi="Times New Roman" w:cs="Times New Roman"/>
          <w:sz w:val="24"/>
        </w:rPr>
        <w:t>). Nusidėvėjimas yra skaičiuojamas remiantis 2001-12-20 Lietuvos Respublikos pelno mokesčio įstatymu Nr. IX-675 tiesiniu nusidėvėjimo skaičiavimo metodu ir priskiriamas to laikotarpio sąnaudomis (2001-12-28 direktoriaus įsakymas Nr. 143 ir 2010-01-12 direktoriaus įsakymu Nr. 3).</w:t>
      </w:r>
    </w:p>
    <w:p w:rsidR="00FF568F" w:rsidRDefault="00FF568F" w:rsidP="001236CF">
      <w:pPr>
        <w:spacing w:after="0" w:line="276" w:lineRule="auto"/>
        <w:ind w:firstLine="567"/>
        <w:jc w:val="both"/>
        <w:rPr>
          <w:rFonts w:ascii="Times New Roman" w:hAnsi="Times New Roman" w:cs="Times New Roman"/>
          <w:sz w:val="24"/>
        </w:rPr>
      </w:pPr>
    </w:p>
    <w:p w:rsidR="00FF568F" w:rsidRDefault="00233521" w:rsidP="00233521">
      <w:pPr>
        <w:spacing w:after="0" w:line="276" w:lineRule="auto"/>
        <w:ind w:firstLine="567"/>
        <w:jc w:val="center"/>
        <w:rPr>
          <w:rFonts w:ascii="Times New Roman" w:hAnsi="Times New Roman" w:cs="Times New Roman"/>
          <w:b/>
          <w:sz w:val="24"/>
        </w:rPr>
      </w:pPr>
      <w:r w:rsidRPr="00233521">
        <w:rPr>
          <w:rFonts w:ascii="Times New Roman" w:hAnsi="Times New Roman" w:cs="Times New Roman"/>
          <w:b/>
          <w:sz w:val="24"/>
        </w:rPr>
        <w:t>II. BENDROVĖS DUKTERINĖS BENDROVĖS</w:t>
      </w:r>
    </w:p>
    <w:p w:rsidR="00233521" w:rsidRDefault="00233521" w:rsidP="00233521">
      <w:pPr>
        <w:spacing w:after="0" w:line="276" w:lineRule="auto"/>
        <w:ind w:firstLine="567"/>
        <w:jc w:val="center"/>
        <w:rPr>
          <w:rFonts w:ascii="Times New Roman" w:hAnsi="Times New Roman" w:cs="Times New Roman"/>
          <w:b/>
          <w:sz w:val="24"/>
        </w:rPr>
      </w:pPr>
    </w:p>
    <w:p w:rsidR="00FF568F" w:rsidRDefault="00233521" w:rsidP="001236CF">
      <w:pPr>
        <w:spacing w:after="0" w:line="276" w:lineRule="auto"/>
        <w:ind w:firstLine="567"/>
        <w:jc w:val="both"/>
        <w:rPr>
          <w:rFonts w:ascii="Times New Roman" w:hAnsi="Times New Roman" w:cs="Times New Roman"/>
          <w:sz w:val="24"/>
        </w:rPr>
      </w:pPr>
      <w:r>
        <w:rPr>
          <w:rFonts w:ascii="Times New Roman" w:hAnsi="Times New Roman" w:cs="Times New Roman"/>
          <w:sz w:val="24"/>
        </w:rPr>
        <w:t xml:space="preserve">UAB „Prienų butų ūkis“ dukterinių bendrovių neturi. </w:t>
      </w:r>
    </w:p>
    <w:p w:rsidR="00292D5F" w:rsidRDefault="00292D5F" w:rsidP="001236CF">
      <w:pPr>
        <w:spacing w:after="0" w:line="276" w:lineRule="auto"/>
        <w:ind w:firstLine="567"/>
        <w:jc w:val="both"/>
        <w:rPr>
          <w:rFonts w:ascii="Times New Roman" w:hAnsi="Times New Roman" w:cs="Times New Roman"/>
          <w:sz w:val="24"/>
        </w:rPr>
      </w:pPr>
    </w:p>
    <w:p w:rsidR="00292D5F" w:rsidRDefault="00292D5F" w:rsidP="001236CF">
      <w:pPr>
        <w:spacing w:after="0" w:line="276" w:lineRule="auto"/>
        <w:ind w:firstLine="567"/>
        <w:jc w:val="both"/>
        <w:rPr>
          <w:rFonts w:ascii="Times New Roman" w:hAnsi="Times New Roman" w:cs="Times New Roman"/>
          <w:sz w:val="24"/>
        </w:rPr>
      </w:pPr>
    </w:p>
    <w:p w:rsidR="00291BF0" w:rsidRDefault="00291BF0" w:rsidP="001236CF">
      <w:pPr>
        <w:spacing w:after="0" w:line="276" w:lineRule="auto"/>
        <w:ind w:firstLine="567"/>
        <w:jc w:val="both"/>
        <w:rPr>
          <w:rFonts w:ascii="Times New Roman" w:hAnsi="Times New Roman" w:cs="Times New Roman"/>
          <w:sz w:val="24"/>
        </w:rPr>
      </w:pPr>
    </w:p>
    <w:p w:rsidR="00233521" w:rsidRDefault="00233521" w:rsidP="00233521">
      <w:pPr>
        <w:spacing w:after="0" w:line="276" w:lineRule="auto"/>
        <w:ind w:firstLine="567"/>
        <w:jc w:val="center"/>
        <w:rPr>
          <w:rFonts w:ascii="Times New Roman" w:hAnsi="Times New Roman" w:cs="Times New Roman"/>
          <w:b/>
          <w:sz w:val="24"/>
        </w:rPr>
      </w:pPr>
      <w:r w:rsidRPr="00233521">
        <w:rPr>
          <w:rFonts w:ascii="Times New Roman" w:hAnsi="Times New Roman" w:cs="Times New Roman"/>
          <w:b/>
          <w:sz w:val="24"/>
        </w:rPr>
        <w:lastRenderedPageBreak/>
        <w:t xml:space="preserve">III. PER </w:t>
      </w:r>
      <w:r w:rsidR="00D71B48">
        <w:rPr>
          <w:rFonts w:ascii="Times New Roman" w:hAnsi="Times New Roman" w:cs="Times New Roman"/>
          <w:b/>
          <w:sz w:val="24"/>
        </w:rPr>
        <w:t>ATASKAITINIUS FI</w:t>
      </w:r>
      <w:r w:rsidR="00900320">
        <w:rPr>
          <w:rFonts w:ascii="Times New Roman" w:hAnsi="Times New Roman" w:cs="Times New Roman"/>
          <w:b/>
          <w:sz w:val="24"/>
        </w:rPr>
        <w:t>N</w:t>
      </w:r>
      <w:r w:rsidR="00D71B48">
        <w:rPr>
          <w:rFonts w:ascii="Times New Roman" w:hAnsi="Times New Roman" w:cs="Times New Roman"/>
          <w:b/>
          <w:sz w:val="24"/>
        </w:rPr>
        <w:t>ANSINIUS METUS</w:t>
      </w:r>
      <w:r w:rsidRPr="00233521">
        <w:rPr>
          <w:rFonts w:ascii="Times New Roman" w:hAnsi="Times New Roman" w:cs="Times New Roman"/>
          <w:b/>
          <w:sz w:val="24"/>
        </w:rPr>
        <w:t xml:space="preserve"> ĮGYTOS AR PERLEISTOS BENDROVĖS AKCIJOS</w:t>
      </w:r>
    </w:p>
    <w:p w:rsidR="00233521" w:rsidRDefault="00233521" w:rsidP="00233521">
      <w:pPr>
        <w:spacing w:after="0" w:line="276" w:lineRule="auto"/>
        <w:ind w:firstLine="567"/>
        <w:jc w:val="center"/>
        <w:rPr>
          <w:rFonts w:ascii="Times New Roman" w:hAnsi="Times New Roman" w:cs="Times New Roman"/>
          <w:b/>
          <w:sz w:val="24"/>
        </w:rPr>
      </w:pPr>
    </w:p>
    <w:p w:rsidR="00233521" w:rsidRDefault="00233521" w:rsidP="00233521">
      <w:pPr>
        <w:spacing w:after="0" w:line="276" w:lineRule="auto"/>
        <w:ind w:firstLine="567"/>
        <w:jc w:val="both"/>
        <w:rPr>
          <w:rFonts w:ascii="Times New Roman" w:hAnsi="Times New Roman" w:cs="Times New Roman"/>
          <w:sz w:val="24"/>
        </w:rPr>
      </w:pPr>
      <w:r>
        <w:rPr>
          <w:rFonts w:ascii="Times New Roman" w:hAnsi="Times New Roman" w:cs="Times New Roman"/>
          <w:sz w:val="24"/>
        </w:rPr>
        <w:t xml:space="preserve">Per ataskaitinį laikotarpį įgytų ar perleistų bendrovės savų akcijų nebuvo. </w:t>
      </w:r>
    </w:p>
    <w:p w:rsidR="00233521" w:rsidRDefault="00233521" w:rsidP="00233521">
      <w:pPr>
        <w:spacing w:after="0" w:line="276" w:lineRule="auto"/>
        <w:ind w:firstLine="567"/>
        <w:jc w:val="both"/>
        <w:rPr>
          <w:rFonts w:ascii="Times New Roman" w:hAnsi="Times New Roman" w:cs="Times New Roman"/>
          <w:sz w:val="24"/>
        </w:rPr>
      </w:pPr>
    </w:p>
    <w:p w:rsidR="003615E7" w:rsidRDefault="003615E7" w:rsidP="00233521">
      <w:pPr>
        <w:spacing w:after="0" w:line="276" w:lineRule="auto"/>
        <w:ind w:firstLine="567"/>
        <w:jc w:val="both"/>
        <w:rPr>
          <w:rFonts w:ascii="Times New Roman" w:hAnsi="Times New Roman" w:cs="Times New Roman"/>
          <w:sz w:val="24"/>
        </w:rPr>
      </w:pPr>
    </w:p>
    <w:p w:rsidR="00233521" w:rsidRDefault="00233521" w:rsidP="00233521">
      <w:pPr>
        <w:spacing w:after="0" w:line="276" w:lineRule="auto"/>
        <w:ind w:firstLine="567"/>
        <w:jc w:val="center"/>
        <w:rPr>
          <w:rFonts w:ascii="Times New Roman" w:hAnsi="Times New Roman" w:cs="Times New Roman"/>
          <w:b/>
          <w:sz w:val="24"/>
        </w:rPr>
      </w:pPr>
      <w:r w:rsidRPr="00233521">
        <w:rPr>
          <w:rFonts w:ascii="Times New Roman" w:hAnsi="Times New Roman" w:cs="Times New Roman"/>
          <w:b/>
          <w:sz w:val="24"/>
        </w:rPr>
        <w:t>IV. KITŲ BENDROVIŲ AKCIJOS</w:t>
      </w:r>
    </w:p>
    <w:p w:rsidR="00233521" w:rsidRDefault="00233521" w:rsidP="00233521">
      <w:pPr>
        <w:spacing w:after="0" w:line="276" w:lineRule="auto"/>
        <w:ind w:firstLine="567"/>
        <w:jc w:val="center"/>
        <w:rPr>
          <w:rFonts w:ascii="Times New Roman" w:hAnsi="Times New Roman" w:cs="Times New Roman"/>
          <w:b/>
          <w:sz w:val="24"/>
        </w:rPr>
      </w:pPr>
    </w:p>
    <w:p w:rsidR="00233521" w:rsidRDefault="00233521" w:rsidP="00233521">
      <w:pPr>
        <w:spacing w:after="0" w:line="276" w:lineRule="auto"/>
        <w:ind w:firstLine="567"/>
        <w:jc w:val="both"/>
        <w:rPr>
          <w:rFonts w:ascii="Times New Roman" w:hAnsi="Times New Roman" w:cs="Times New Roman"/>
          <w:sz w:val="24"/>
        </w:rPr>
      </w:pPr>
      <w:r>
        <w:rPr>
          <w:rFonts w:ascii="Times New Roman" w:hAnsi="Times New Roman" w:cs="Times New Roman"/>
          <w:sz w:val="24"/>
        </w:rPr>
        <w:t>Bendrovė p</w:t>
      </w:r>
      <w:r w:rsidR="00D71B48">
        <w:rPr>
          <w:rFonts w:ascii="Times New Roman" w:hAnsi="Times New Roman" w:cs="Times New Roman"/>
          <w:sz w:val="24"/>
        </w:rPr>
        <w:t>er</w:t>
      </w:r>
      <w:r>
        <w:rPr>
          <w:rFonts w:ascii="Times New Roman" w:hAnsi="Times New Roman" w:cs="Times New Roman"/>
          <w:sz w:val="24"/>
        </w:rPr>
        <w:t xml:space="preserve"> </w:t>
      </w:r>
      <w:r w:rsidR="00D71B48">
        <w:rPr>
          <w:rFonts w:ascii="Times New Roman" w:hAnsi="Times New Roman" w:cs="Times New Roman"/>
          <w:sz w:val="24"/>
        </w:rPr>
        <w:t xml:space="preserve">2015 </w:t>
      </w:r>
      <w:r>
        <w:rPr>
          <w:rFonts w:ascii="Times New Roman" w:hAnsi="Times New Roman" w:cs="Times New Roman"/>
          <w:sz w:val="24"/>
        </w:rPr>
        <w:t xml:space="preserve">ataskaitinius finansinius metus kitų bendrovių akcijų neįsigijo. </w:t>
      </w:r>
    </w:p>
    <w:p w:rsidR="00233521" w:rsidRDefault="00233521" w:rsidP="00233521">
      <w:pPr>
        <w:spacing w:after="0" w:line="276" w:lineRule="auto"/>
        <w:ind w:firstLine="567"/>
        <w:jc w:val="both"/>
        <w:rPr>
          <w:rFonts w:ascii="Times New Roman" w:hAnsi="Times New Roman" w:cs="Times New Roman"/>
          <w:sz w:val="24"/>
        </w:rPr>
      </w:pPr>
    </w:p>
    <w:p w:rsidR="00233521" w:rsidRDefault="00233521" w:rsidP="00233521">
      <w:pPr>
        <w:spacing w:after="0" w:line="276" w:lineRule="auto"/>
        <w:ind w:firstLine="567"/>
        <w:jc w:val="center"/>
        <w:rPr>
          <w:rFonts w:ascii="Times New Roman" w:hAnsi="Times New Roman" w:cs="Times New Roman"/>
          <w:b/>
          <w:sz w:val="24"/>
        </w:rPr>
      </w:pPr>
      <w:r w:rsidRPr="00233521">
        <w:rPr>
          <w:rFonts w:ascii="Times New Roman" w:hAnsi="Times New Roman" w:cs="Times New Roman"/>
          <w:b/>
          <w:sz w:val="24"/>
        </w:rPr>
        <w:t>V. BENDROVĖS FILIALAI IR ATSTOVYBĖS</w:t>
      </w:r>
    </w:p>
    <w:p w:rsidR="00233521" w:rsidRDefault="00233521" w:rsidP="00233521">
      <w:pPr>
        <w:spacing w:after="0" w:line="276" w:lineRule="auto"/>
        <w:ind w:firstLine="567"/>
        <w:jc w:val="center"/>
        <w:rPr>
          <w:rFonts w:ascii="Times New Roman" w:hAnsi="Times New Roman" w:cs="Times New Roman"/>
          <w:b/>
          <w:sz w:val="24"/>
        </w:rPr>
      </w:pPr>
    </w:p>
    <w:p w:rsidR="00233521" w:rsidRDefault="00233521" w:rsidP="00233521">
      <w:pPr>
        <w:spacing w:after="0" w:line="276" w:lineRule="auto"/>
        <w:ind w:firstLine="567"/>
        <w:jc w:val="both"/>
        <w:rPr>
          <w:rFonts w:ascii="Times New Roman" w:hAnsi="Times New Roman" w:cs="Times New Roman"/>
          <w:sz w:val="24"/>
        </w:rPr>
      </w:pPr>
      <w:r>
        <w:rPr>
          <w:rFonts w:ascii="Times New Roman" w:hAnsi="Times New Roman" w:cs="Times New Roman"/>
          <w:sz w:val="24"/>
        </w:rPr>
        <w:t xml:space="preserve">Bendrovė filialų ir atstovybių neturi. </w:t>
      </w:r>
    </w:p>
    <w:p w:rsidR="00233521" w:rsidRDefault="00233521" w:rsidP="00233521">
      <w:pPr>
        <w:spacing w:after="0" w:line="276" w:lineRule="auto"/>
        <w:ind w:firstLine="567"/>
        <w:jc w:val="both"/>
        <w:rPr>
          <w:rFonts w:ascii="Times New Roman" w:hAnsi="Times New Roman" w:cs="Times New Roman"/>
          <w:sz w:val="24"/>
        </w:rPr>
      </w:pPr>
    </w:p>
    <w:p w:rsidR="00233521" w:rsidRDefault="00233521" w:rsidP="00233521">
      <w:pPr>
        <w:spacing w:after="0" w:line="276" w:lineRule="auto"/>
        <w:ind w:firstLine="567"/>
        <w:jc w:val="center"/>
        <w:rPr>
          <w:rFonts w:ascii="Times New Roman" w:hAnsi="Times New Roman" w:cs="Times New Roman"/>
          <w:b/>
          <w:sz w:val="24"/>
        </w:rPr>
      </w:pPr>
      <w:r w:rsidRPr="00233521">
        <w:rPr>
          <w:rFonts w:ascii="Times New Roman" w:hAnsi="Times New Roman" w:cs="Times New Roman"/>
          <w:b/>
          <w:sz w:val="24"/>
        </w:rPr>
        <w:t>VI. SVARBIAUSI ĮVYKIAI BENDROVĖJE</w:t>
      </w:r>
    </w:p>
    <w:p w:rsidR="00233521" w:rsidRDefault="00233521" w:rsidP="00233521">
      <w:pPr>
        <w:spacing w:after="0" w:line="276" w:lineRule="auto"/>
        <w:ind w:firstLine="567"/>
        <w:jc w:val="center"/>
        <w:rPr>
          <w:rFonts w:ascii="Times New Roman" w:hAnsi="Times New Roman" w:cs="Times New Roman"/>
          <w:b/>
          <w:sz w:val="24"/>
        </w:rPr>
      </w:pPr>
    </w:p>
    <w:p w:rsidR="00D71B48" w:rsidRPr="004D7BBE" w:rsidRDefault="00233521" w:rsidP="00D71B48">
      <w:pPr>
        <w:spacing w:after="0" w:line="276" w:lineRule="auto"/>
        <w:ind w:firstLine="567"/>
        <w:jc w:val="center"/>
        <w:rPr>
          <w:rFonts w:ascii="Times New Roman" w:hAnsi="Times New Roman" w:cs="Times New Roman"/>
          <w:b/>
          <w:sz w:val="24"/>
        </w:rPr>
      </w:pPr>
      <w:r>
        <w:rPr>
          <w:rFonts w:ascii="Times New Roman" w:hAnsi="Times New Roman" w:cs="Times New Roman"/>
          <w:b/>
          <w:sz w:val="24"/>
        </w:rPr>
        <w:t xml:space="preserve">6.1. </w:t>
      </w:r>
      <w:r w:rsidR="00D71B48" w:rsidRPr="004D7BBE">
        <w:rPr>
          <w:rFonts w:ascii="Times New Roman" w:hAnsi="Times New Roman" w:cs="Times New Roman"/>
          <w:b/>
          <w:sz w:val="24"/>
        </w:rPr>
        <w:t>EKONOMINĖS VEIKLOS ANALIZĖ</w:t>
      </w:r>
    </w:p>
    <w:p w:rsidR="00D71B48" w:rsidRDefault="00D71B48" w:rsidP="00D71B48">
      <w:pPr>
        <w:spacing w:after="0" w:line="276" w:lineRule="auto"/>
        <w:ind w:firstLine="567"/>
        <w:jc w:val="center"/>
        <w:rPr>
          <w:rFonts w:ascii="Times New Roman" w:hAnsi="Times New Roman" w:cs="Times New Roman"/>
          <w:sz w:val="24"/>
        </w:rPr>
      </w:pPr>
    </w:p>
    <w:p w:rsidR="00F66D43" w:rsidRDefault="00F66D43" w:rsidP="00F66D43">
      <w:pPr>
        <w:spacing w:after="0"/>
        <w:ind w:firstLine="567"/>
        <w:jc w:val="both"/>
        <w:rPr>
          <w:rFonts w:ascii="Times New Roman" w:hAnsi="Times New Roman" w:cs="Times New Roman"/>
          <w:sz w:val="24"/>
        </w:rPr>
      </w:pPr>
      <w:r>
        <w:rPr>
          <w:rFonts w:ascii="Times New Roman" w:hAnsi="Times New Roman" w:cs="Times New Roman"/>
          <w:sz w:val="24"/>
        </w:rPr>
        <w:t xml:space="preserve">Bendrovė didelį dėmesį skiria efektyviam atliekamų paslaugų valdymui, nuolat analizuoja ir tobulina savo veiklą, pilnai atsiskaito su valstybinėmis institucijomis, neturi teisinių ginčių su kreditoriais. Taip pat bendrovė  2015 m. dalyvavo „Verslo žinių“ projekte smulkiam ir vidutiniam verslui ir buvo pripažinta viena iš sėkmingiausiai dirbančių ir sparčiausiai besivystančių Lietuvos bendrovių. </w:t>
      </w:r>
    </w:p>
    <w:p w:rsidR="00F66D43" w:rsidRDefault="00F66D43" w:rsidP="00F66D43">
      <w:pPr>
        <w:spacing w:after="0"/>
        <w:ind w:firstLine="567"/>
        <w:jc w:val="both"/>
        <w:rPr>
          <w:rFonts w:ascii="Times New Roman" w:hAnsi="Times New Roman" w:cs="Times New Roman"/>
          <w:sz w:val="24"/>
        </w:rPr>
      </w:pPr>
      <w:r>
        <w:rPr>
          <w:rFonts w:ascii="Times New Roman" w:hAnsi="Times New Roman" w:cs="Times New Roman"/>
          <w:sz w:val="24"/>
        </w:rPr>
        <w:t xml:space="preserve">Bendrovės darbuotojai nuolat tobulina savo žinias, apmokomi dirbti su pažangiomis technologijomis, </w:t>
      </w:r>
      <w:r w:rsidR="00DD3B5C">
        <w:rPr>
          <w:rFonts w:ascii="Times New Roman" w:hAnsi="Times New Roman" w:cs="Times New Roman"/>
          <w:sz w:val="24"/>
        </w:rPr>
        <w:t xml:space="preserve">dalyvauja įvairiuose konkursuose dėl įvairių darbų atlikimo. </w:t>
      </w:r>
    </w:p>
    <w:p w:rsidR="00DD3B5C" w:rsidRDefault="00DD3B5C" w:rsidP="00B06297">
      <w:pPr>
        <w:spacing w:after="0" w:line="276" w:lineRule="auto"/>
        <w:ind w:firstLine="567"/>
        <w:jc w:val="both"/>
        <w:rPr>
          <w:rFonts w:ascii="Times New Roman" w:hAnsi="Times New Roman" w:cs="Times New Roman"/>
          <w:sz w:val="24"/>
        </w:rPr>
      </w:pPr>
    </w:p>
    <w:p w:rsidR="00D71B48" w:rsidRDefault="00900320" w:rsidP="00B06297">
      <w:pPr>
        <w:spacing w:after="0" w:line="276" w:lineRule="auto"/>
        <w:ind w:firstLine="567"/>
        <w:jc w:val="both"/>
        <w:rPr>
          <w:rFonts w:ascii="Times New Roman" w:hAnsi="Times New Roman" w:cs="Times New Roman"/>
          <w:sz w:val="24"/>
        </w:rPr>
      </w:pPr>
      <w:r>
        <w:rPr>
          <w:rFonts w:ascii="Times New Roman" w:hAnsi="Times New Roman" w:cs="Times New Roman"/>
          <w:sz w:val="24"/>
        </w:rPr>
        <w:t>Per 2015 metus bendrovė vykdydama ekonominę ūkinę</w:t>
      </w:r>
      <w:r w:rsidR="00D71B48">
        <w:rPr>
          <w:rFonts w:ascii="Times New Roman" w:hAnsi="Times New Roman" w:cs="Times New Roman"/>
          <w:sz w:val="24"/>
        </w:rPr>
        <w:t xml:space="preserve"> veiklą gavo </w:t>
      </w:r>
      <w:r>
        <w:rPr>
          <w:rFonts w:ascii="Times New Roman" w:hAnsi="Times New Roman" w:cs="Times New Roman"/>
          <w:sz w:val="24"/>
        </w:rPr>
        <w:t>555.859 EUR</w:t>
      </w:r>
      <w:r w:rsidR="00D71B48">
        <w:rPr>
          <w:rFonts w:ascii="Times New Roman" w:hAnsi="Times New Roman" w:cs="Times New Roman"/>
          <w:sz w:val="24"/>
        </w:rPr>
        <w:t xml:space="preserve"> pajamų. </w:t>
      </w:r>
    </w:p>
    <w:p w:rsidR="00D71B48" w:rsidRDefault="00D71B48" w:rsidP="00D71B48">
      <w:pPr>
        <w:spacing w:after="0" w:line="276" w:lineRule="auto"/>
        <w:ind w:firstLine="567"/>
        <w:jc w:val="both"/>
        <w:rPr>
          <w:rFonts w:ascii="Times New Roman" w:hAnsi="Times New Roman" w:cs="Times New Roman"/>
          <w:sz w:val="24"/>
        </w:rPr>
      </w:pPr>
      <w:r>
        <w:rPr>
          <w:rFonts w:ascii="Times New Roman" w:hAnsi="Times New Roman" w:cs="Times New Roman"/>
          <w:sz w:val="24"/>
        </w:rPr>
        <w:t>Iš jų:</w:t>
      </w:r>
    </w:p>
    <w:p w:rsidR="00D71B48" w:rsidRDefault="00D71B48" w:rsidP="00D71B48">
      <w:pPr>
        <w:pStyle w:val="ListParagraph"/>
        <w:numPr>
          <w:ilvl w:val="0"/>
          <w:numId w:val="1"/>
        </w:numPr>
        <w:spacing w:after="0" w:line="276" w:lineRule="auto"/>
        <w:jc w:val="both"/>
        <w:rPr>
          <w:rFonts w:ascii="Times New Roman" w:hAnsi="Times New Roman" w:cs="Times New Roman"/>
          <w:sz w:val="24"/>
        </w:rPr>
      </w:pPr>
      <w:r>
        <w:rPr>
          <w:rFonts w:ascii="Times New Roman" w:hAnsi="Times New Roman" w:cs="Times New Roman"/>
          <w:sz w:val="24"/>
        </w:rPr>
        <w:t>Daugiabučių namų administravimas</w:t>
      </w:r>
      <w:r>
        <w:rPr>
          <w:rFonts w:ascii="Times New Roman" w:hAnsi="Times New Roman" w:cs="Times New Roman"/>
          <w:sz w:val="24"/>
        </w:rPr>
        <w:tab/>
      </w:r>
      <w:r>
        <w:rPr>
          <w:rFonts w:ascii="Times New Roman" w:hAnsi="Times New Roman" w:cs="Times New Roman"/>
          <w:sz w:val="24"/>
        </w:rPr>
        <w:tab/>
      </w:r>
      <w:r w:rsidR="00B06297">
        <w:rPr>
          <w:rFonts w:ascii="Times New Roman" w:hAnsi="Times New Roman" w:cs="Times New Roman"/>
          <w:sz w:val="24"/>
        </w:rPr>
        <w:t xml:space="preserve">  83.059</w:t>
      </w:r>
      <w:r w:rsidR="00900320">
        <w:rPr>
          <w:rFonts w:ascii="Times New Roman" w:hAnsi="Times New Roman" w:cs="Times New Roman"/>
          <w:sz w:val="24"/>
        </w:rPr>
        <w:t xml:space="preserve"> EUR</w:t>
      </w:r>
      <w:r>
        <w:rPr>
          <w:rFonts w:ascii="Times New Roman" w:hAnsi="Times New Roman" w:cs="Times New Roman"/>
          <w:sz w:val="24"/>
        </w:rPr>
        <w:t>;</w:t>
      </w:r>
    </w:p>
    <w:p w:rsidR="00900320" w:rsidRDefault="00900320" w:rsidP="00D71B48">
      <w:pPr>
        <w:pStyle w:val="ListParagraph"/>
        <w:numPr>
          <w:ilvl w:val="0"/>
          <w:numId w:val="1"/>
        </w:numPr>
        <w:spacing w:after="0" w:line="276" w:lineRule="auto"/>
        <w:jc w:val="both"/>
        <w:rPr>
          <w:rFonts w:ascii="Times New Roman" w:hAnsi="Times New Roman" w:cs="Times New Roman"/>
          <w:sz w:val="24"/>
        </w:rPr>
      </w:pPr>
      <w:r>
        <w:rPr>
          <w:rFonts w:ascii="Times New Roman" w:hAnsi="Times New Roman" w:cs="Times New Roman"/>
          <w:sz w:val="24"/>
        </w:rPr>
        <w:t xml:space="preserve">Daugiabučių namų atnaujinimo </w:t>
      </w:r>
      <w:r>
        <w:rPr>
          <w:rFonts w:ascii="Times New Roman" w:hAnsi="Times New Roman" w:cs="Times New Roman"/>
          <w:sz w:val="24"/>
        </w:rPr>
        <w:tab/>
      </w:r>
      <w:r>
        <w:rPr>
          <w:rFonts w:ascii="Times New Roman" w:hAnsi="Times New Roman" w:cs="Times New Roman"/>
          <w:sz w:val="24"/>
        </w:rPr>
        <w:tab/>
      </w:r>
      <w:r w:rsidR="00B06297">
        <w:rPr>
          <w:rFonts w:ascii="Times New Roman" w:hAnsi="Times New Roman" w:cs="Times New Roman"/>
          <w:sz w:val="24"/>
        </w:rPr>
        <w:t xml:space="preserve">  22.091 EUR;</w:t>
      </w:r>
    </w:p>
    <w:p w:rsidR="00900320" w:rsidRDefault="00900320" w:rsidP="00900320">
      <w:pPr>
        <w:pStyle w:val="ListParagraph"/>
        <w:spacing w:after="0" w:line="276" w:lineRule="auto"/>
        <w:ind w:left="927"/>
        <w:jc w:val="both"/>
        <w:rPr>
          <w:rFonts w:ascii="Times New Roman" w:hAnsi="Times New Roman" w:cs="Times New Roman"/>
          <w:sz w:val="24"/>
        </w:rPr>
      </w:pPr>
      <w:r>
        <w:rPr>
          <w:rFonts w:ascii="Times New Roman" w:hAnsi="Times New Roman" w:cs="Times New Roman"/>
          <w:sz w:val="24"/>
        </w:rPr>
        <w:t>(modernizavimo) projektų administravimas</w:t>
      </w:r>
    </w:p>
    <w:p w:rsidR="00D71B48" w:rsidRDefault="00D71B48" w:rsidP="00D71B48">
      <w:pPr>
        <w:pStyle w:val="ListParagraph"/>
        <w:numPr>
          <w:ilvl w:val="0"/>
          <w:numId w:val="1"/>
        </w:numPr>
        <w:spacing w:after="0" w:line="276" w:lineRule="auto"/>
        <w:jc w:val="both"/>
        <w:rPr>
          <w:rFonts w:ascii="Times New Roman" w:hAnsi="Times New Roman" w:cs="Times New Roman"/>
          <w:sz w:val="24"/>
        </w:rPr>
      </w:pPr>
      <w:r>
        <w:rPr>
          <w:rFonts w:ascii="Times New Roman" w:hAnsi="Times New Roman" w:cs="Times New Roman"/>
          <w:sz w:val="24"/>
        </w:rPr>
        <w:t>Daugiabučių na</w:t>
      </w:r>
      <w:r w:rsidR="00900320">
        <w:rPr>
          <w:rFonts w:ascii="Times New Roman" w:hAnsi="Times New Roman" w:cs="Times New Roman"/>
          <w:sz w:val="24"/>
        </w:rPr>
        <w:t>mų eksploatavimas</w:t>
      </w:r>
      <w:r w:rsidR="00900320">
        <w:rPr>
          <w:rFonts w:ascii="Times New Roman" w:hAnsi="Times New Roman" w:cs="Times New Roman"/>
          <w:sz w:val="24"/>
        </w:rPr>
        <w:tab/>
      </w:r>
      <w:r w:rsidR="00900320">
        <w:rPr>
          <w:rFonts w:ascii="Times New Roman" w:hAnsi="Times New Roman" w:cs="Times New Roman"/>
          <w:sz w:val="24"/>
        </w:rPr>
        <w:tab/>
        <w:t>211.636 EUR</w:t>
      </w:r>
      <w:r>
        <w:rPr>
          <w:rFonts w:ascii="Times New Roman" w:hAnsi="Times New Roman" w:cs="Times New Roman"/>
          <w:sz w:val="24"/>
        </w:rPr>
        <w:t>;</w:t>
      </w:r>
      <w:r>
        <w:rPr>
          <w:rFonts w:ascii="Times New Roman" w:hAnsi="Times New Roman" w:cs="Times New Roman"/>
          <w:sz w:val="24"/>
        </w:rPr>
        <w:tab/>
      </w:r>
    </w:p>
    <w:p w:rsidR="00D71B48" w:rsidRPr="004D7BBE" w:rsidRDefault="00D71B48" w:rsidP="00D71B48">
      <w:pPr>
        <w:pStyle w:val="ListParagraph"/>
        <w:numPr>
          <w:ilvl w:val="0"/>
          <w:numId w:val="1"/>
        </w:numPr>
        <w:spacing w:after="0" w:line="276" w:lineRule="auto"/>
        <w:jc w:val="both"/>
        <w:rPr>
          <w:rFonts w:ascii="Times New Roman" w:hAnsi="Times New Roman" w:cs="Times New Roman"/>
          <w:sz w:val="24"/>
        </w:rPr>
      </w:pPr>
      <w:r>
        <w:rPr>
          <w:rFonts w:ascii="Times New Roman" w:hAnsi="Times New Roman" w:cs="Times New Roman"/>
          <w:sz w:val="24"/>
        </w:rPr>
        <w:t>Kapinių priežiūra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900320">
        <w:rPr>
          <w:rFonts w:ascii="Times New Roman" w:hAnsi="Times New Roman" w:cs="Times New Roman"/>
          <w:sz w:val="24"/>
        </w:rPr>
        <w:t>16.648 EUR</w:t>
      </w:r>
      <w:r>
        <w:rPr>
          <w:rFonts w:ascii="Times New Roman" w:hAnsi="Times New Roman" w:cs="Times New Roman"/>
          <w:sz w:val="24"/>
        </w:rPr>
        <w:t>;</w:t>
      </w:r>
    </w:p>
    <w:p w:rsidR="00D71B48" w:rsidRDefault="00D71B48" w:rsidP="00D71B48">
      <w:pPr>
        <w:pStyle w:val="ListParagraph"/>
        <w:numPr>
          <w:ilvl w:val="0"/>
          <w:numId w:val="1"/>
        </w:numPr>
        <w:spacing w:after="0" w:line="276" w:lineRule="auto"/>
        <w:jc w:val="both"/>
        <w:rPr>
          <w:rFonts w:ascii="Times New Roman" w:hAnsi="Times New Roman" w:cs="Times New Roman"/>
          <w:sz w:val="24"/>
        </w:rPr>
      </w:pPr>
      <w:r>
        <w:rPr>
          <w:rFonts w:ascii="Times New Roman" w:hAnsi="Times New Roman" w:cs="Times New Roman"/>
          <w:sz w:val="24"/>
        </w:rPr>
        <w:t>Papildomi darbai</w:t>
      </w:r>
      <w:r>
        <w:rPr>
          <w:rFonts w:ascii="Times New Roman" w:hAnsi="Times New Roman" w:cs="Times New Roman"/>
          <w:sz w:val="24"/>
        </w:rPr>
        <w:tab/>
        <w:t xml:space="preserve"> (sta</w:t>
      </w:r>
      <w:r w:rsidR="00900320">
        <w:rPr>
          <w:rFonts w:ascii="Times New Roman" w:hAnsi="Times New Roman" w:cs="Times New Roman"/>
          <w:sz w:val="24"/>
        </w:rPr>
        <w:t>tybos, priežiūra)</w:t>
      </w:r>
      <w:r w:rsidR="00900320">
        <w:rPr>
          <w:rFonts w:ascii="Times New Roman" w:hAnsi="Times New Roman" w:cs="Times New Roman"/>
          <w:sz w:val="24"/>
        </w:rPr>
        <w:tab/>
      </w:r>
      <w:r w:rsidR="00900320">
        <w:rPr>
          <w:rFonts w:ascii="Times New Roman" w:hAnsi="Times New Roman" w:cs="Times New Roman"/>
          <w:sz w:val="24"/>
        </w:rPr>
        <w:tab/>
        <w:t>124.429 EUR</w:t>
      </w:r>
      <w:r>
        <w:rPr>
          <w:rFonts w:ascii="Times New Roman" w:hAnsi="Times New Roman" w:cs="Times New Roman"/>
          <w:sz w:val="24"/>
        </w:rPr>
        <w:t>;</w:t>
      </w:r>
    </w:p>
    <w:p w:rsidR="00D71B48" w:rsidRDefault="00D71B48" w:rsidP="00D71B48">
      <w:pPr>
        <w:pStyle w:val="ListParagraph"/>
        <w:numPr>
          <w:ilvl w:val="0"/>
          <w:numId w:val="1"/>
        </w:numPr>
        <w:spacing w:after="0" w:line="276" w:lineRule="auto"/>
        <w:jc w:val="both"/>
        <w:rPr>
          <w:rFonts w:ascii="Times New Roman" w:hAnsi="Times New Roman" w:cs="Times New Roman"/>
          <w:sz w:val="24"/>
        </w:rPr>
      </w:pPr>
      <w:r>
        <w:rPr>
          <w:rFonts w:ascii="Times New Roman" w:hAnsi="Times New Roman" w:cs="Times New Roman"/>
          <w:sz w:val="24"/>
        </w:rPr>
        <w:t xml:space="preserve">Sanitarija ir </w:t>
      </w:r>
      <w:r w:rsidR="00900320">
        <w:rPr>
          <w:rFonts w:ascii="Times New Roman" w:hAnsi="Times New Roman" w:cs="Times New Roman"/>
          <w:sz w:val="24"/>
        </w:rPr>
        <w:t>komunalinis ūkis</w:t>
      </w:r>
      <w:r w:rsidR="00900320">
        <w:rPr>
          <w:rFonts w:ascii="Times New Roman" w:hAnsi="Times New Roman" w:cs="Times New Roman"/>
          <w:sz w:val="24"/>
        </w:rPr>
        <w:tab/>
      </w:r>
      <w:r w:rsidR="00900320">
        <w:rPr>
          <w:rFonts w:ascii="Times New Roman" w:hAnsi="Times New Roman" w:cs="Times New Roman"/>
          <w:sz w:val="24"/>
        </w:rPr>
        <w:tab/>
      </w:r>
      <w:r w:rsidR="00900320">
        <w:rPr>
          <w:rFonts w:ascii="Times New Roman" w:hAnsi="Times New Roman" w:cs="Times New Roman"/>
          <w:sz w:val="24"/>
        </w:rPr>
        <w:tab/>
        <w:t xml:space="preserve">  94.542 EUR</w:t>
      </w:r>
      <w:r>
        <w:rPr>
          <w:rFonts w:ascii="Times New Roman" w:hAnsi="Times New Roman" w:cs="Times New Roman"/>
          <w:sz w:val="24"/>
        </w:rPr>
        <w:t>;</w:t>
      </w:r>
    </w:p>
    <w:p w:rsidR="00D71B48" w:rsidRDefault="00D71B48" w:rsidP="00D71B48">
      <w:pPr>
        <w:pStyle w:val="ListParagraph"/>
        <w:numPr>
          <w:ilvl w:val="0"/>
          <w:numId w:val="1"/>
        </w:numPr>
        <w:spacing w:after="0" w:line="276" w:lineRule="auto"/>
        <w:jc w:val="both"/>
        <w:rPr>
          <w:rFonts w:ascii="Times New Roman" w:hAnsi="Times New Roman" w:cs="Times New Roman"/>
          <w:sz w:val="24"/>
        </w:rPr>
      </w:pPr>
      <w:r>
        <w:rPr>
          <w:rFonts w:ascii="Times New Roman" w:hAnsi="Times New Roman" w:cs="Times New Roman"/>
          <w:sz w:val="24"/>
        </w:rPr>
        <w:t>Kitos pajamos (nuoma, delspinigiai)</w:t>
      </w:r>
      <w:r>
        <w:rPr>
          <w:rFonts w:ascii="Times New Roman" w:hAnsi="Times New Roman" w:cs="Times New Roman"/>
          <w:sz w:val="24"/>
        </w:rPr>
        <w:tab/>
      </w:r>
      <w:r>
        <w:rPr>
          <w:rFonts w:ascii="Times New Roman" w:hAnsi="Times New Roman" w:cs="Times New Roman"/>
          <w:sz w:val="24"/>
        </w:rPr>
        <w:tab/>
      </w:r>
      <w:r w:rsidR="00900320">
        <w:rPr>
          <w:rFonts w:ascii="Times New Roman" w:hAnsi="Times New Roman" w:cs="Times New Roman"/>
          <w:sz w:val="24"/>
        </w:rPr>
        <w:t xml:space="preserve">  </w:t>
      </w:r>
      <w:r>
        <w:rPr>
          <w:rFonts w:ascii="Times New Roman" w:hAnsi="Times New Roman" w:cs="Times New Roman"/>
          <w:sz w:val="24"/>
        </w:rPr>
        <w:t xml:space="preserve">  </w:t>
      </w:r>
      <w:r w:rsidR="00900320">
        <w:rPr>
          <w:rFonts w:ascii="Times New Roman" w:hAnsi="Times New Roman" w:cs="Times New Roman"/>
          <w:sz w:val="24"/>
        </w:rPr>
        <w:t>3.454 EUR</w:t>
      </w:r>
      <w:r>
        <w:rPr>
          <w:rFonts w:ascii="Times New Roman" w:hAnsi="Times New Roman" w:cs="Times New Roman"/>
          <w:sz w:val="24"/>
        </w:rPr>
        <w:t>;</w:t>
      </w:r>
    </w:p>
    <w:p w:rsidR="00D71B48" w:rsidRDefault="00D71B48" w:rsidP="00D71B48">
      <w:pPr>
        <w:spacing w:after="0" w:line="276" w:lineRule="auto"/>
        <w:ind w:firstLine="567"/>
        <w:jc w:val="both"/>
        <w:rPr>
          <w:noProof/>
          <w:lang w:eastAsia="lt-LT"/>
        </w:rPr>
      </w:pPr>
    </w:p>
    <w:p w:rsidR="00F66D43" w:rsidRDefault="00F66D43" w:rsidP="00F66D43">
      <w:pPr>
        <w:spacing w:after="0" w:line="276" w:lineRule="auto"/>
        <w:jc w:val="both"/>
        <w:rPr>
          <w:rFonts w:ascii="Times New Roman" w:hAnsi="Times New Roman" w:cs="Times New Roman"/>
          <w:sz w:val="24"/>
        </w:rPr>
      </w:pPr>
      <w:r>
        <w:rPr>
          <w:noProof/>
          <w:lang w:eastAsia="lt-LT"/>
        </w:rPr>
        <w:lastRenderedPageBreak/>
        <w:drawing>
          <wp:inline distT="0" distB="0" distL="0" distR="0">
            <wp:extent cx="6000750" cy="5029200"/>
            <wp:effectExtent l="0" t="0" r="0" b="0"/>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71B48" w:rsidRDefault="00D71B48" w:rsidP="00D71B48">
      <w:pPr>
        <w:spacing w:after="0" w:line="276" w:lineRule="auto"/>
        <w:jc w:val="both"/>
        <w:rPr>
          <w:rFonts w:ascii="Times New Roman" w:hAnsi="Times New Roman" w:cs="Times New Roman"/>
          <w:sz w:val="24"/>
        </w:rPr>
      </w:pPr>
    </w:p>
    <w:p w:rsidR="00D71B48" w:rsidRDefault="00D71B48" w:rsidP="00D71B48">
      <w:pPr>
        <w:spacing w:after="0" w:line="276" w:lineRule="auto"/>
        <w:ind w:firstLine="567"/>
        <w:jc w:val="both"/>
        <w:rPr>
          <w:rFonts w:ascii="Times New Roman" w:hAnsi="Times New Roman" w:cs="Times New Roman"/>
          <w:sz w:val="24"/>
        </w:rPr>
      </w:pPr>
      <w:r>
        <w:rPr>
          <w:rFonts w:ascii="Times New Roman" w:hAnsi="Times New Roman" w:cs="Times New Roman"/>
          <w:sz w:val="24"/>
        </w:rPr>
        <w:t>Per 201</w:t>
      </w:r>
      <w:r w:rsidR="00900320">
        <w:rPr>
          <w:rFonts w:ascii="Times New Roman" w:hAnsi="Times New Roman" w:cs="Times New Roman"/>
          <w:sz w:val="24"/>
        </w:rPr>
        <w:t>5</w:t>
      </w:r>
      <w:r>
        <w:rPr>
          <w:rFonts w:ascii="Times New Roman" w:hAnsi="Times New Roman" w:cs="Times New Roman"/>
          <w:sz w:val="24"/>
        </w:rPr>
        <w:t xml:space="preserve"> m. bendrovė</w:t>
      </w:r>
      <w:r w:rsidR="00900320">
        <w:rPr>
          <w:rFonts w:ascii="Times New Roman" w:hAnsi="Times New Roman" w:cs="Times New Roman"/>
          <w:sz w:val="24"/>
        </w:rPr>
        <w:t xml:space="preserve">s </w:t>
      </w:r>
      <w:r w:rsidR="00B06297">
        <w:rPr>
          <w:rFonts w:ascii="Times New Roman" w:hAnsi="Times New Roman" w:cs="Times New Roman"/>
          <w:sz w:val="24"/>
        </w:rPr>
        <w:t xml:space="preserve">finansinės </w:t>
      </w:r>
      <w:r w:rsidR="00DD3B5C">
        <w:rPr>
          <w:rFonts w:ascii="Times New Roman" w:hAnsi="Times New Roman" w:cs="Times New Roman"/>
          <w:sz w:val="24"/>
        </w:rPr>
        <w:t>sąnaudos</w:t>
      </w:r>
      <w:r w:rsidR="00900320">
        <w:rPr>
          <w:rFonts w:ascii="Times New Roman" w:hAnsi="Times New Roman" w:cs="Times New Roman"/>
          <w:sz w:val="24"/>
        </w:rPr>
        <w:t xml:space="preserve"> sudarė</w:t>
      </w:r>
      <w:r>
        <w:rPr>
          <w:rFonts w:ascii="Times New Roman" w:hAnsi="Times New Roman" w:cs="Times New Roman"/>
          <w:sz w:val="24"/>
        </w:rPr>
        <w:t xml:space="preserve"> </w:t>
      </w:r>
      <w:r w:rsidR="00900320">
        <w:rPr>
          <w:rFonts w:ascii="Times New Roman" w:hAnsi="Times New Roman" w:cs="Times New Roman"/>
          <w:sz w:val="24"/>
        </w:rPr>
        <w:t>555.388 EUR</w:t>
      </w:r>
      <w:r>
        <w:rPr>
          <w:rFonts w:ascii="Times New Roman" w:hAnsi="Times New Roman" w:cs="Times New Roman"/>
          <w:sz w:val="24"/>
        </w:rPr>
        <w:t xml:space="preserve">. </w:t>
      </w:r>
    </w:p>
    <w:p w:rsidR="00D71B48" w:rsidRDefault="00D71B48" w:rsidP="00D71B48">
      <w:pPr>
        <w:spacing w:after="0" w:line="276" w:lineRule="auto"/>
        <w:ind w:firstLine="567"/>
        <w:jc w:val="both"/>
        <w:rPr>
          <w:rFonts w:ascii="Times New Roman" w:hAnsi="Times New Roman" w:cs="Times New Roman"/>
          <w:sz w:val="24"/>
        </w:rPr>
      </w:pPr>
      <w:r>
        <w:rPr>
          <w:rFonts w:ascii="Times New Roman" w:hAnsi="Times New Roman" w:cs="Times New Roman"/>
          <w:sz w:val="24"/>
        </w:rPr>
        <w:t>Iš jų:</w:t>
      </w:r>
    </w:p>
    <w:p w:rsidR="00D71B48" w:rsidRDefault="00382F1B" w:rsidP="00D71B48">
      <w:pPr>
        <w:pStyle w:val="ListParagraph"/>
        <w:numPr>
          <w:ilvl w:val="0"/>
          <w:numId w:val="1"/>
        </w:numPr>
        <w:spacing w:after="0" w:line="276" w:lineRule="auto"/>
        <w:jc w:val="both"/>
        <w:rPr>
          <w:rFonts w:ascii="Times New Roman" w:hAnsi="Times New Roman" w:cs="Times New Roman"/>
          <w:sz w:val="24"/>
        </w:rPr>
      </w:pPr>
      <w:r>
        <w:rPr>
          <w:rFonts w:ascii="Times New Roman" w:hAnsi="Times New Roman" w:cs="Times New Roman"/>
          <w:sz w:val="24"/>
        </w:rPr>
        <w:t>Išlaidos g</w:t>
      </w:r>
      <w:r w:rsidR="00D71B48">
        <w:rPr>
          <w:rFonts w:ascii="Times New Roman" w:hAnsi="Times New Roman" w:cs="Times New Roman"/>
          <w:sz w:val="24"/>
        </w:rPr>
        <w:t>yvenamųjų namų priežiūra</w:t>
      </w:r>
      <w:r>
        <w:rPr>
          <w:rFonts w:ascii="Times New Roman" w:hAnsi="Times New Roman" w:cs="Times New Roman"/>
          <w:sz w:val="24"/>
        </w:rPr>
        <w:t>i</w:t>
      </w:r>
      <w:r w:rsidR="00D71B48">
        <w:rPr>
          <w:rFonts w:ascii="Times New Roman" w:hAnsi="Times New Roman" w:cs="Times New Roman"/>
          <w:sz w:val="24"/>
        </w:rPr>
        <w:t>, papildomi</w:t>
      </w:r>
      <w:r>
        <w:rPr>
          <w:rFonts w:ascii="Times New Roman" w:hAnsi="Times New Roman" w:cs="Times New Roman"/>
          <w:sz w:val="24"/>
        </w:rPr>
        <w:t>ems</w:t>
      </w:r>
      <w:r w:rsidR="00D71B48">
        <w:rPr>
          <w:rFonts w:ascii="Times New Roman" w:hAnsi="Times New Roman" w:cs="Times New Roman"/>
          <w:sz w:val="24"/>
        </w:rPr>
        <w:t xml:space="preserve"> remonta</w:t>
      </w:r>
      <w:r>
        <w:rPr>
          <w:rFonts w:ascii="Times New Roman" w:hAnsi="Times New Roman" w:cs="Times New Roman"/>
          <w:sz w:val="24"/>
        </w:rPr>
        <w:t>ms atlikti</w:t>
      </w:r>
      <w:r>
        <w:rPr>
          <w:rFonts w:ascii="Times New Roman" w:hAnsi="Times New Roman" w:cs="Times New Roman"/>
          <w:sz w:val="24"/>
        </w:rPr>
        <w:tab/>
      </w:r>
      <w:r w:rsidR="00B06297">
        <w:rPr>
          <w:rFonts w:ascii="Times New Roman" w:hAnsi="Times New Roman" w:cs="Times New Roman"/>
          <w:sz w:val="24"/>
        </w:rPr>
        <w:t>223.268 EUR</w:t>
      </w:r>
      <w:r w:rsidR="00D71B48">
        <w:rPr>
          <w:rFonts w:ascii="Times New Roman" w:hAnsi="Times New Roman" w:cs="Times New Roman"/>
          <w:sz w:val="24"/>
        </w:rPr>
        <w:t>;</w:t>
      </w:r>
    </w:p>
    <w:p w:rsidR="00D71B48" w:rsidRDefault="00382F1B" w:rsidP="00D71B48">
      <w:pPr>
        <w:pStyle w:val="ListParagraph"/>
        <w:numPr>
          <w:ilvl w:val="0"/>
          <w:numId w:val="1"/>
        </w:numPr>
        <w:spacing w:after="0" w:line="276" w:lineRule="auto"/>
        <w:jc w:val="both"/>
        <w:rPr>
          <w:rFonts w:ascii="Times New Roman" w:hAnsi="Times New Roman" w:cs="Times New Roman"/>
          <w:sz w:val="24"/>
        </w:rPr>
      </w:pPr>
      <w:r>
        <w:rPr>
          <w:rFonts w:ascii="Times New Roman" w:hAnsi="Times New Roman" w:cs="Times New Roman"/>
          <w:sz w:val="24"/>
        </w:rPr>
        <w:t>Išlaidos sanitarijos</w:t>
      </w:r>
      <w:r w:rsidR="00D71B48">
        <w:rPr>
          <w:rFonts w:ascii="Times New Roman" w:hAnsi="Times New Roman" w:cs="Times New Roman"/>
          <w:sz w:val="24"/>
        </w:rPr>
        <w:t>, komunalini</w:t>
      </w:r>
      <w:r>
        <w:rPr>
          <w:rFonts w:ascii="Times New Roman" w:hAnsi="Times New Roman" w:cs="Times New Roman"/>
          <w:sz w:val="24"/>
        </w:rPr>
        <w:t>o ūkio paslaugoms atlikti</w:t>
      </w:r>
      <w:r w:rsidR="00D71B48">
        <w:rPr>
          <w:rFonts w:ascii="Times New Roman" w:hAnsi="Times New Roman" w:cs="Times New Roman"/>
          <w:sz w:val="24"/>
        </w:rPr>
        <w:tab/>
      </w:r>
      <w:r w:rsidR="00D71B48">
        <w:rPr>
          <w:rFonts w:ascii="Times New Roman" w:hAnsi="Times New Roman" w:cs="Times New Roman"/>
          <w:sz w:val="24"/>
        </w:rPr>
        <w:tab/>
      </w:r>
      <w:r w:rsidR="00B06297">
        <w:rPr>
          <w:rFonts w:ascii="Times New Roman" w:hAnsi="Times New Roman" w:cs="Times New Roman"/>
          <w:sz w:val="24"/>
        </w:rPr>
        <w:t xml:space="preserve">  81.182 EUR</w:t>
      </w:r>
      <w:r w:rsidR="00D71B48">
        <w:rPr>
          <w:rFonts w:ascii="Times New Roman" w:hAnsi="Times New Roman" w:cs="Times New Roman"/>
          <w:sz w:val="24"/>
        </w:rPr>
        <w:t>;</w:t>
      </w:r>
    </w:p>
    <w:p w:rsidR="00D71B48" w:rsidRDefault="00D71B48" w:rsidP="00D71B48">
      <w:pPr>
        <w:pStyle w:val="ListParagraph"/>
        <w:numPr>
          <w:ilvl w:val="0"/>
          <w:numId w:val="1"/>
        </w:numPr>
        <w:spacing w:after="0" w:line="276" w:lineRule="auto"/>
        <w:jc w:val="both"/>
        <w:rPr>
          <w:rFonts w:ascii="Times New Roman" w:hAnsi="Times New Roman" w:cs="Times New Roman"/>
          <w:sz w:val="24"/>
        </w:rPr>
      </w:pPr>
      <w:r>
        <w:rPr>
          <w:rFonts w:ascii="Times New Roman" w:hAnsi="Times New Roman" w:cs="Times New Roman"/>
          <w:sz w:val="24"/>
        </w:rPr>
        <w:t>Valdymo ir finansinės sąnaudos</w:t>
      </w:r>
      <w:r>
        <w:rPr>
          <w:rFonts w:ascii="Times New Roman" w:hAnsi="Times New Roman" w:cs="Times New Roman"/>
          <w:sz w:val="24"/>
        </w:rPr>
        <w:tab/>
      </w:r>
      <w:r>
        <w:rPr>
          <w:rFonts w:ascii="Times New Roman" w:hAnsi="Times New Roman" w:cs="Times New Roman"/>
          <w:sz w:val="24"/>
        </w:rPr>
        <w:tab/>
      </w:r>
      <w:r w:rsidR="00382F1B">
        <w:rPr>
          <w:rFonts w:ascii="Times New Roman" w:hAnsi="Times New Roman" w:cs="Times New Roman"/>
          <w:sz w:val="24"/>
        </w:rPr>
        <w:tab/>
      </w:r>
      <w:r w:rsidR="00B06297">
        <w:rPr>
          <w:rFonts w:ascii="Times New Roman" w:hAnsi="Times New Roman" w:cs="Times New Roman"/>
          <w:sz w:val="24"/>
        </w:rPr>
        <w:t>245.706 EUR</w:t>
      </w:r>
      <w:r>
        <w:rPr>
          <w:rFonts w:ascii="Times New Roman" w:hAnsi="Times New Roman" w:cs="Times New Roman"/>
          <w:sz w:val="24"/>
        </w:rPr>
        <w:t>;</w:t>
      </w:r>
    </w:p>
    <w:p w:rsidR="00D71B48" w:rsidRPr="00115241" w:rsidRDefault="00D71B48" w:rsidP="00D71B48">
      <w:pPr>
        <w:pStyle w:val="ListParagraph"/>
        <w:numPr>
          <w:ilvl w:val="0"/>
          <w:numId w:val="1"/>
        </w:numPr>
        <w:spacing w:after="0" w:line="276" w:lineRule="auto"/>
        <w:jc w:val="both"/>
        <w:rPr>
          <w:rFonts w:ascii="Times New Roman" w:hAnsi="Times New Roman" w:cs="Times New Roman"/>
          <w:sz w:val="24"/>
        </w:rPr>
      </w:pPr>
      <w:r>
        <w:rPr>
          <w:rFonts w:ascii="Times New Roman" w:hAnsi="Times New Roman" w:cs="Times New Roman"/>
          <w:sz w:val="24"/>
        </w:rPr>
        <w:t>Mokesčių sąnaudos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382F1B">
        <w:rPr>
          <w:rFonts w:ascii="Times New Roman" w:hAnsi="Times New Roman" w:cs="Times New Roman"/>
          <w:sz w:val="24"/>
        </w:rPr>
        <w:tab/>
      </w:r>
      <w:r w:rsidR="00B06297">
        <w:rPr>
          <w:rFonts w:ascii="Times New Roman" w:hAnsi="Times New Roman" w:cs="Times New Roman"/>
          <w:sz w:val="24"/>
        </w:rPr>
        <w:t xml:space="preserve">    5.232 EUR</w:t>
      </w:r>
      <w:r>
        <w:rPr>
          <w:rFonts w:ascii="Times New Roman" w:hAnsi="Times New Roman" w:cs="Times New Roman"/>
          <w:sz w:val="24"/>
        </w:rPr>
        <w:t>.</w:t>
      </w:r>
    </w:p>
    <w:p w:rsidR="00D71B48" w:rsidRDefault="00D71B48" w:rsidP="00D71B48">
      <w:pPr>
        <w:spacing w:after="0" w:line="276" w:lineRule="auto"/>
        <w:jc w:val="both"/>
        <w:rPr>
          <w:rFonts w:ascii="Times New Roman" w:hAnsi="Times New Roman" w:cs="Times New Roman"/>
          <w:sz w:val="24"/>
        </w:rPr>
      </w:pPr>
    </w:p>
    <w:p w:rsidR="00D71B48" w:rsidRDefault="00B06297" w:rsidP="00D71B48">
      <w:pPr>
        <w:spacing w:after="0" w:line="276" w:lineRule="auto"/>
        <w:jc w:val="both"/>
        <w:rPr>
          <w:rFonts w:ascii="Times New Roman" w:hAnsi="Times New Roman" w:cs="Times New Roman"/>
          <w:sz w:val="24"/>
        </w:rPr>
      </w:pPr>
      <w:r>
        <w:rPr>
          <w:noProof/>
          <w:lang w:eastAsia="lt-LT"/>
        </w:rPr>
        <w:lastRenderedPageBreak/>
        <w:drawing>
          <wp:inline distT="0" distB="0" distL="0" distR="0">
            <wp:extent cx="5734051" cy="3805239"/>
            <wp:effectExtent l="0" t="0" r="0" b="508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71B48" w:rsidRDefault="00D71B48" w:rsidP="00D71B48">
      <w:pPr>
        <w:rPr>
          <w:rFonts w:ascii="Times New Roman" w:hAnsi="Times New Roman" w:cs="Times New Roman"/>
          <w:sz w:val="24"/>
        </w:rPr>
      </w:pPr>
    </w:p>
    <w:p w:rsidR="00D71B48" w:rsidRDefault="00D71B48" w:rsidP="00DD3B5C">
      <w:pPr>
        <w:spacing w:after="0"/>
        <w:ind w:firstLine="567"/>
        <w:rPr>
          <w:rFonts w:ascii="Times New Roman" w:hAnsi="Times New Roman" w:cs="Times New Roman"/>
          <w:sz w:val="24"/>
        </w:rPr>
      </w:pPr>
      <w:r>
        <w:rPr>
          <w:rFonts w:ascii="Times New Roman" w:hAnsi="Times New Roman" w:cs="Times New Roman"/>
          <w:sz w:val="24"/>
        </w:rPr>
        <w:t>Daugiabučių namų priežiūros padalinyje, papildomų remontų sąnaudos susideda iš šių dalių:</w:t>
      </w:r>
    </w:p>
    <w:p w:rsidR="00D71B48" w:rsidRDefault="00D71B48" w:rsidP="00D71B48">
      <w:pPr>
        <w:pStyle w:val="ListParagraph"/>
        <w:numPr>
          <w:ilvl w:val="0"/>
          <w:numId w:val="1"/>
        </w:numPr>
        <w:rPr>
          <w:rFonts w:ascii="Times New Roman" w:hAnsi="Times New Roman" w:cs="Times New Roman"/>
          <w:sz w:val="24"/>
        </w:rPr>
      </w:pPr>
      <w:r>
        <w:rPr>
          <w:rFonts w:ascii="Times New Roman" w:hAnsi="Times New Roman" w:cs="Times New Roman"/>
          <w:sz w:val="24"/>
        </w:rPr>
        <w:t>Atlyginimai ir socialinis draudimas</w:t>
      </w:r>
      <w:r>
        <w:rPr>
          <w:rFonts w:ascii="Times New Roman" w:hAnsi="Times New Roman" w:cs="Times New Roman"/>
          <w:sz w:val="24"/>
        </w:rPr>
        <w:tab/>
      </w:r>
      <w:r>
        <w:rPr>
          <w:rFonts w:ascii="Times New Roman" w:hAnsi="Times New Roman" w:cs="Times New Roman"/>
          <w:sz w:val="24"/>
        </w:rPr>
        <w:tab/>
        <w:t xml:space="preserve">  </w:t>
      </w:r>
      <w:r w:rsidR="00B06297">
        <w:rPr>
          <w:rFonts w:ascii="Times New Roman" w:hAnsi="Times New Roman" w:cs="Times New Roman"/>
          <w:sz w:val="24"/>
        </w:rPr>
        <w:t>139.925 EUR;</w:t>
      </w:r>
    </w:p>
    <w:p w:rsidR="00D71B48" w:rsidRDefault="00D71B48" w:rsidP="00D71B48">
      <w:pPr>
        <w:pStyle w:val="ListParagraph"/>
        <w:numPr>
          <w:ilvl w:val="0"/>
          <w:numId w:val="1"/>
        </w:numPr>
        <w:rPr>
          <w:rFonts w:ascii="Times New Roman" w:hAnsi="Times New Roman" w:cs="Times New Roman"/>
          <w:sz w:val="24"/>
        </w:rPr>
      </w:pPr>
      <w:r>
        <w:rPr>
          <w:rFonts w:ascii="Times New Roman" w:hAnsi="Times New Roman" w:cs="Times New Roman"/>
          <w:sz w:val="24"/>
        </w:rPr>
        <w:t>Rangovų darbai</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B06297">
        <w:rPr>
          <w:rFonts w:ascii="Times New Roman" w:hAnsi="Times New Roman" w:cs="Times New Roman"/>
          <w:sz w:val="24"/>
        </w:rPr>
        <w:t xml:space="preserve">     286 EUR</w:t>
      </w:r>
      <w:r>
        <w:rPr>
          <w:rFonts w:ascii="Times New Roman" w:hAnsi="Times New Roman" w:cs="Times New Roman"/>
          <w:sz w:val="24"/>
        </w:rPr>
        <w:t>;</w:t>
      </w:r>
    </w:p>
    <w:p w:rsidR="00D71B48" w:rsidRDefault="00D71B48" w:rsidP="00D71B48">
      <w:pPr>
        <w:pStyle w:val="ListParagraph"/>
        <w:numPr>
          <w:ilvl w:val="0"/>
          <w:numId w:val="1"/>
        </w:numPr>
        <w:rPr>
          <w:rFonts w:ascii="Times New Roman" w:hAnsi="Times New Roman" w:cs="Times New Roman"/>
          <w:sz w:val="24"/>
        </w:rPr>
      </w:pPr>
      <w:r>
        <w:rPr>
          <w:rFonts w:ascii="Times New Roman" w:hAnsi="Times New Roman" w:cs="Times New Roman"/>
          <w:sz w:val="24"/>
        </w:rPr>
        <w:t>Medžiagos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B06297">
        <w:rPr>
          <w:rFonts w:ascii="Times New Roman" w:hAnsi="Times New Roman" w:cs="Times New Roman"/>
          <w:sz w:val="24"/>
        </w:rPr>
        <w:t xml:space="preserve">    83.057 EUR</w:t>
      </w:r>
      <w:r>
        <w:rPr>
          <w:rFonts w:ascii="Times New Roman" w:hAnsi="Times New Roman" w:cs="Times New Roman"/>
          <w:sz w:val="24"/>
        </w:rPr>
        <w:t>;</w:t>
      </w:r>
    </w:p>
    <w:p w:rsidR="00D71B48" w:rsidRDefault="00D71B48" w:rsidP="00DD3B5C">
      <w:pPr>
        <w:spacing w:after="0"/>
        <w:ind w:firstLine="567"/>
        <w:rPr>
          <w:rFonts w:ascii="Times New Roman" w:hAnsi="Times New Roman" w:cs="Times New Roman"/>
          <w:sz w:val="24"/>
        </w:rPr>
      </w:pPr>
      <w:r>
        <w:rPr>
          <w:rFonts w:ascii="Times New Roman" w:hAnsi="Times New Roman" w:cs="Times New Roman"/>
          <w:sz w:val="24"/>
        </w:rPr>
        <w:t>Teritorijų priežiūros padalinyje vykdomų sanitarijos ir komunalinio ūkio paslaugų srityje sąnaudos susideda iš šių dalių:</w:t>
      </w:r>
    </w:p>
    <w:p w:rsidR="00D71B48" w:rsidRDefault="00D71B48" w:rsidP="00D71B48">
      <w:pPr>
        <w:pStyle w:val="ListParagraph"/>
        <w:numPr>
          <w:ilvl w:val="0"/>
          <w:numId w:val="1"/>
        </w:numPr>
        <w:rPr>
          <w:rFonts w:ascii="Times New Roman" w:hAnsi="Times New Roman" w:cs="Times New Roman"/>
          <w:sz w:val="24"/>
        </w:rPr>
      </w:pPr>
      <w:r>
        <w:rPr>
          <w:rFonts w:ascii="Times New Roman" w:hAnsi="Times New Roman" w:cs="Times New Roman"/>
          <w:sz w:val="24"/>
        </w:rPr>
        <w:t>Atlyginimai ir socialinis draudimas</w:t>
      </w:r>
      <w:r>
        <w:rPr>
          <w:rFonts w:ascii="Times New Roman" w:hAnsi="Times New Roman" w:cs="Times New Roman"/>
          <w:sz w:val="24"/>
        </w:rPr>
        <w:tab/>
      </w:r>
      <w:r>
        <w:rPr>
          <w:rFonts w:ascii="Times New Roman" w:hAnsi="Times New Roman" w:cs="Times New Roman"/>
          <w:sz w:val="24"/>
        </w:rPr>
        <w:tab/>
      </w:r>
      <w:r w:rsidR="00B06297">
        <w:rPr>
          <w:rFonts w:ascii="Times New Roman" w:hAnsi="Times New Roman" w:cs="Times New Roman"/>
          <w:sz w:val="24"/>
        </w:rPr>
        <w:t xml:space="preserve">    69.250 EUR</w:t>
      </w:r>
      <w:r>
        <w:rPr>
          <w:rFonts w:ascii="Times New Roman" w:hAnsi="Times New Roman" w:cs="Times New Roman"/>
          <w:sz w:val="24"/>
        </w:rPr>
        <w:t>;</w:t>
      </w:r>
    </w:p>
    <w:p w:rsidR="00D71B48" w:rsidRDefault="00D71B48" w:rsidP="00D71B48">
      <w:pPr>
        <w:pStyle w:val="ListParagraph"/>
        <w:numPr>
          <w:ilvl w:val="0"/>
          <w:numId w:val="1"/>
        </w:numPr>
        <w:rPr>
          <w:rFonts w:ascii="Times New Roman" w:hAnsi="Times New Roman" w:cs="Times New Roman"/>
          <w:sz w:val="24"/>
        </w:rPr>
      </w:pPr>
      <w:r>
        <w:rPr>
          <w:rFonts w:ascii="Times New Roman" w:hAnsi="Times New Roman" w:cs="Times New Roman"/>
          <w:sz w:val="24"/>
        </w:rPr>
        <w:t>Rangovų darbai</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B06297">
        <w:rPr>
          <w:rFonts w:ascii="Times New Roman" w:hAnsi="Times New Roman" w:cs="Times New Roman"/>
          <w:sz w:val="24"/>
        </w:rPr>
        <w:t xml:space="preserve">    </w:t>
      </w:r>
      <w:r>
        <w:rPr>
          <w:rFonts w:ascii="Times New Roman" w:hAnsi="Times New Roman" w:cs="Times New Roman"/>
          <w:sz w:val="24"/>
        </w:rPr>
        <w:t xml:space="preserve"> </w:t>
      </w:r>
      <w:r w:rsidR="00B06297">
        <w:rPr>
          <w:rFonts w:ascii="Times New Roman" w:hAnsi="Times New Roman" w:cs="Times New Roman"/>
          <w:sz w:val="24"/>
        </w:rPr>
        <w:t>2.699 EUR</w:t>
      </w:r>
      <w:r>
        <w:rPr>
          <w:rFonts w:ascii="Times New Roman" w:hAnsi="Times New Roman" w:cs="Times New Roman"/>
          <w:sz w:val="24"/>
        </w:rPr>
        <w:t>;</w:t>
      </w:r>
    </w:p>
    <w:p w:rsidR="00D71B48" w:rsidRDefault="00D71B48" w:rsidP="00D71B48">
      <w:pPr>
        <w:pStyle w:val="ListParagraph"/>
        <w:numPr>
          <w:ilvl w:val="0"/>
          <w:numId w:val="1"/>
        </w:numPr>
        <w:rPr>
          <w:rFonts w:ascii="Times New Roman" w:hAnsi="Times New Roman" w:cs="Times New Roman"/>
          <w:sz w:val="24"/>
        </w:rPr>
      </w:pPr>
      <w:r>
        <w:rPr>
          <w:rFonts w:ascii="Times New Roman" w:hAnsi="Times New Roman" w:cs="Times New Roman"/>
          <w:sz w:val="24"/>
        </w:rPr>
        <w:t>Medžiagos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B06297">
        <w:rPr>
          <w:rFonts w:ascii="Times New Roman" w:hAnsi="Times New Roman" w:cs="Times New Roman"/>
          <w:sz w:val="24"/>
        </w:rPr>
        <w:t xml:space="preserve">    </w:t>
      </w:r>
      <w:r>
        <w:rPr>
          <w:rFonts w:ascii="Times New Roman" w:hAnsi="Times New Roman" w:cs="Times New Roman"/>
          <w:sz w:val="24"/>
        </w:rPr>
        <w:t xml:space="preserve"> </w:t>
      </w:r>
      <w:r w:rsidR="00B06297" w:rsidRPr="00B06297">
        <w:rPr>
          <w:rFonts w:ascii="Times New Roman" w:hAnsi="Times New Roman" w:cs="Times New Roman"/>
          <w:sz w:val="24"/>
        </w:rPr>
        <w:t>9.233</w:t>
      </w:r>
      <w:r w:rsidR="00B06297">
        <w:rPr>
          <w:rFonts w:ascii="Times New Roman" w:hAnsi="Times New Roman" w:cs="Times New Roman"/>
          <w:sz w:val="24"/>
        </w:rPr>
        <w:t xml:space="preserve"> EUR</w:t>
      </w:r>
      <w:r>
        <w:rPr>
          <w:rFonts w:ascii="Times New Roman" w:hAnsi="Times New Roman" w:cs="Times New Roman"/>
          <w:sz w:val="24"/>
        </w:rPr>
        <w:t>;</w:t>
      </w:r>
      <w:r>
        <w:rPr>
          <w:rFonts w:ascii="Times New Roman" w:hAnsi="Times New Roman" w:cs="Times New Roman"/>
          <w:sz w:val="24"/>
        </w:rPr>
        <w:tab/>
      </w:r>
    </w:p>
    <w:p w:rsidR="00D71B48" w:rsidRDefault="00D71B48" w:rsidP="00D71B48">
      <w:pPr>
        <w:ind w:firstLine="567"/>
        <w:rPr>
          <w:rFonts w:ascii="Times New Roman" w:hAnsi="Times New Roman" w:cs="Times New Roman"/>
          <w:sz w:val="24"/>
        </w:rPr>
      </w:pPr>
      <w:r>
        <w:rPr>
          <w:rFonts w:ascii="Times New Roman" w:hAnsi="Times New Roman" w:cs="Times New Roman"/>
          <w:sz w:val="24"/>
        </w:rPr>
        <w:t>Valdymo ir finansinės sąnaudos susideda iš šių dalių:</w:t>
      </w:r>
    </w:p>
    <w:tbl>
      <w:tblPr>
        <w:tblStyle w:val="TableGrid"/>
        <w:tblW w:w="0" w:type="auto"/>
        <w:tblLook w:val="04A0"/>
      </w:tblPr>
      <w:tblGrid>
        <w:gridCol w:w="988"/>
        <w:gridCol w:w="5953"/>
        <w:gridCol w:w="1580"/>
      </w:tblGrid>
      <w:tr w:rsidR="00D71B48" w:rsidRPr="00110FC6" w:rsidTr="00A641B5">
        <w:trPr>
          <w:trHeight w:val="400"/>
        </w:trPr>
        <w:tc>
          <w:tcPr>
            <w:tcW w:w="988" w:type="dxa"/>
          </w:tcPr>
          <w:p w:rsidR="00D71B48" w:rsidRPr="00110FC6" w:rsidRDefault="00D71B48" w:rsidP="00A641B5">
            <w:pPr>
              <w:jc w:val="center"/>
              <w:rPr>
                <w:rFonts w:ascii="Times New Roman" w:hAnsi="Times New Roman" w:cs="Times New Roman"/>
                <w:b/>
                <w:sz w:val="24"/>
              </w:rPr>
            </w:pPr>
            <w:r w:rsidRPr="00110FC6">
              <w:rPr>
                <w:rFonts w:ascii="Times New Roman" w:hAnsi="Times New Roman" w:cs="Times New Roman"/>
                <w:b/>
                <w:sz w:val="24"/>
              </w:rPr>
              <w:t>Eil. Nr.</w:t>
            </w:r>
          </w:p>
        </w:tc>
        <w:tc>
          <w:tcPr>
            <w:tcW w:w="5953" w:type="dxa"/>
          </w:tcPr>
          <w:p w:rsidR="00D71B48" w:rsidRPr="00110FC6" w:rsidRDefault="00D71B48" w:rsidP="00A641B5">
            <w:pPr>
              <w:jc w:val="center"/>
              <w:rPr>
                <w:rFonts w:ascii="Times New Roman" w:hAnsi="Times New Roman" w:cs="Times New Roman"/>
                <w:b/>
                <w:sz w:val="24"/>
              </w:rPr>
            </w:pPr>
            <w:r w:rsidRPr="00110FC6">
              <w:rPr>
                <w:rFonts w:ascii="Times New Roman" w:hAnsi="Times New Roman" w:cs="Times New Roman"/>
                <w:b/>
                <w:sz w:val="24"/>
              </w:rPr>
              <w:t>Paslaugos pavadinimas</w:t>
            </w:r>
          </w:p>
        </w:tc>
        <w:tc>
          <w:tcPr>
            <w:tcW w:w="1580" w:type="dxa"/>
          </w:tcPr>
          <w:p w:rsidR="00D71B48" w:rsidRPr="00110FC6" w:rsidRDefault="00D71B48" w:rsidP="00A641B5">
            <w:pPr>
              <w:jc w:val="center"/>
              <w:rPr>
                <w:rFonts w:ascii="Times New Roman" w:hAnsi="Times New Roman" w:cs="Times New Roman"/>
                <w:b/>
                <w:sz w:val="24"/>
              </w:rPr>
            </w:pPr>
            <w:r w:rsidRPr="00110FC6">
              <w:rPr>
                <w:rFonts w:ascii="Times New Roman" w:hAnsi="Times New Roman" w:cs="Times New Roman"/>
                <w:b/>
                <w:sz w:val="24"/>
              </w:rPr>
              <w:t>Suma</w:t>
            </w:r>
            <w:r w:rsidR="00B06297">
              <w:rPr>
                <w:rFonts w:ascii="Times New Roman" w:hAnsi="Times New Roman" w:cs="Times New Roman"/>
                <w:b/>
                <w:sz w:val="24"/>
              </w:rPr>
              <w:t>, EUR</w:t>
            </w:r>
          </w:p>
        </w:tc>
      </w:tr>
      <w:tr w:rsidR="00D71B48" w:rsidTr="00A641B5">
        <w:tc>
          <w:tcPr>
            <w:tcW w:w="988" w:type="dxa"/>
          </w:tcPr>
          <w:p w:rsidR="00D71B48" w:rsidRDefault="00D71B48" w:rsidP="00A641B5">
            <w:pPr>
              <w:jc w:val="center"/>
              <w:rPr>
                <w:rFonts w:ascii="Times New Roman" w:hAnsi="Times New Roman" w:cs="Times New Roman"/>
                <w:sz w:val="24"/>
              </w:rPr>
            </w:pPr>
            <w:r>
              <w:rPr>
                <w:rFonts w:ascii="Times New Roman" w:hAnsi="Times New Roman" w:cs="Times New Roman"/>
                <w:sz w:val="24"/>
              </w:rPr>
              <w:t>1.</w:t>
            </w:r>
          </w:p>
        </w:tc>
        <w:tc>
          <w:tcPr>
            <w:tcW w:w="5953" w:type="dxa"/>
          </w:tcPr>
          <w:p w:rsidR="00D71B48" w:rsidRDefault="00D71B48" w:rsidP="00A641B5">
            <w:pPr>
              <w:rPr>
                <w:rFonts w:ascii="Times New Roman" w:hAnsi="Times New Roman" w:cs="Times New Roman"/>
                <w:sz w:val="24"/>
              </w:rPr>
            </w:pPr>
            <w:r>
              <w:rPr>
                <w:rFonts w:ascii="Times New Roman" w:hAnsi="Times New Roman" w:cs="Times New Roman"/>
                <w:sz w:val="24"/>
              </w:rPr>
              <w:t>Atlyginimai ir socialinis draudimas</w:t>
            </w:r>
          </w:p>
        </w:tc>
        <w:tc>
          <w:tcPr>
            <w:tcW w:w="1580" w:type="dxa"/>
          </w:tcPr>
          <w:p w:rsidR="00D71B48" w:rsidRDefault="00B06297" w:rsidP="00A641B5">
            <w:pPr>
              <w:jc w:val="right"/>
              <w:rPr>
                <w:rFonts w:ascii="Times New Roman" w:hAnsi="Times New Roman" w:cs="Times New Roman"/>
                <w:sz w:val="24"/>
              </w:rPr>
            </w:pPr>
            <w:r>
              <w:rPr>
                <w:rFonts w:ascii="Times New Roman" w:hAnsi="Times New Roman" w:cs="Times New Roman"/>
                <w:sz w:val="24"/>
              </w:rPr>
              <w:t>132.164,00</w:t>
            </w:r>
          </w:p>
        </w:tc>
      </w:tr>
      <w:tr w:rsidR="00D71B48" w:rsidTr="00A641B5">
        <w:tc>
          <w:tcPr>
            <w:tcW w:w="988" w:type="dxa"/>
          </w:tcPr>
          <w:p w:rsidR="00D71B48" w:rsidRDefault="00D71B48" w:rsidP="00A641B5">
            <w:pPr>
              <w:jc w:val="center"/>
              <w:rPr>
                <w:rFonts w:ascii="Times New Roman" w:hAnsi="Times New Roman" w:cs="Times New Roman"/>
                <w:sz w:val="24"/>
              </w:rPr>
            </w:pPr>
            <w:r>
              <w:rPr>
                <w:rFonts w:ascii="Times New Roman" w:hAnsi="Times New Roman" w:cs="Times New Roman"/>
                <w:sz w:val="24"/>
              </w:rPr>
              <w:t>2.</w:t>
            </w:r>
          </w:p>
        </w:tc>
        <w:tc>
          <w:tcPr>
            <w:tcW w:w="5953" w:type="dxa"/>
          </w:tcPr>
          <w:p w:rsidR="00D71B48" w:rsidRDefault="00D71B48" w:rsidP="00A641B5">
            <w:pPr>
              <w:rPr>
                <w:rFonts w:ascii="Times New Roman" w:hAnsi="Times New Roman" w:cs="Times New Roman"/>
                <w:sz w:val="24"/>
              </w:rPr>
            </w:pPr>
            <w:r>
              <w:rPr>
                <w:rFonts w:ascii="Times New Roman" w:hAnsi="Times New Roman" w:cs="Times New Roman"/>
                <w:sz w:val="24"/>
              </w:rPr>
              <w:t>Komunalinės paslaugos</w:t>
            </w:r>
          </w:p>
        </w:tc>
        <w:tc>
          <w:tcPr>
            <w:tcW w:w="1580" w:type="dxa"/>
          </w:tcPr>
          <w:p w:rsidR="00D71B48" w:rsidRDefault="00B06297" w:rsidP="00A641B5">
            <w:pPr>
              <w:jc w:val="right"/>
              <w:rPr>
                <w:rFonts w:ascii="Times New Roman" w:hAnsi="Times New Roman" w:cs="Times New Roman"/>
                <w:sz w:val="24"/>
              </w:rPr>
            </w:pPr>
            <w:r>
              <w:rPr>
                <w:rFonts w:ascii="Times New Roman" w:hAnsi="Times New Roman" w:cs="Times New Roman"/>
                <w:sz w:val="24"/>
              </w:rPr>
              <w:t>3.477,00</w:t>
            </w:r>
          </w:p>
        </w:tc>
      </w:tr>
      <w:tr w:rsidR="00D71B48" w:rsidTr="00A641B5">
        <w:tc>
          <w:tcPr>
            <w:tcW w:w="988" w:type="dxa"/>
          </w:tcPr>
          <w:p w:rsidR="00D71B48" w:rsidRDefault="00D71B48" w:rsidP="00A641B5">
            <w:pPr>
              <w:jc w:val="center"/>
              <w:rPr>
                <w:rFonts w:ascii="Times New Roman" w:hAnsi="Times New Roman" w:cs="Times New Roman"/>
                <w:sz w:val="24"/>
              </w:rPr>
            </w:pPr>
            <w:r>
              <w:rPr>
                <w:rFonts w:ascii="Times New Roman" w:hAnsi="Times New Roman" w:cs="Times New Roman"/>
                <w:sz w:val="24"/>
              </w:rPr>
              <w:t>3.</w:t>
            </w:r>
          </w:p>
        </w:tc>
        <w:tc>
          <w:tcPr>
            <w:tcW w:w="5953" w:type="dxa"/>
          </w:tcPr>
          <w:p w:rsidR="00D71B48" w:rsidRDefault="00D71B48" w:rsidP="00A641B5">
            <w:pPr>
              <w:rPr>
                <w:rFonts w:ascii="Times New Roman" w:hAnsi="Times New Roman" w:cs="Times New Roman"/>
                <w:sz w:val="24"/>
              </w:rPr>
            </w:pPr>
            <w:r>
              <w:rPr>
                <w:rFonts w:ascii="Times New Roman" w:hAnsi="Times New Roman" w:cs="Times New Roman"/>
                <w:sz w:val="24"/>
              </w:rPr>
              <w:t>Ryšio priemonės</w:t>
            </w:r>
          </w:p>
        </w:tc>
        <w:tc>
          <w:tcPr>
            <w:tcW w:w="1580" w:type="dxa"/>
          </w:tcPr>
          <w:p w:rsidR="00D71B48" w:rsidRDefault="00B06297" w:rsidP="00A641B5">
            <w:pPr>
              <w:jc w:val="right"/>
              <w:rPr>
                <w:rFonts w:ascii="Times New Roman" w:hAnsi="Times New Roman" w:cs="Times New Roman"/>
                <w:sz w:val="24"/>
              </w:rPr>
            </w:pPr>
            <w:r>
              <w:rPr>
                <w:rFonts w:ascii="Times New Roman" w:hAnsi="Times New Roman" w:cs="Times New Roman"/>
                <w:sz w:val="24"/>
              </w:rPr>
              <w:t>4.974,00</w:t>
            </w:r>
          </w:p>
        </w:tc>
      </w:tr>
      <w:tr w:rsidR="00D71B48" w:rsidTr="00A641B5">
        <w:tc>
          <w:tcPr>
            <w:tcW w:w="988" w:type="dxa"/>
          </w:tcPr>
          <w:p w:rsidR="00D71B48" w:rsidRDefault="00D71B48" w:rsidP="00A641B5">
            <w:pPr>
              <w:jc w:val="center"/>
              <w:rPr>
                <w:rFonts w:ascii="Times New Roman" w:hAnsi="Times New Roman" w:cs="Times New Roman"/>
                <w:sz w:val="24"/>
              </w:rPr>
            </w:pPr>
            <w:r>
              <w:rPr>
                <w:rFonts w:ascii="Times New Roman" w:hAnsi="Times New Roman" w:cs="Times New Roman"/>
                <w:sz w:val="24"/>
              </w:rPr>
              <w:t>4.</w:t>
            </w:r>
          </w:p>
        </w:tc>
        <w:tc>
          <w:tcPr>
            <w:tcW w:w="5953" w:type="dxa"/>
          </w:tcPr>
          <w:p w:rsidR="00D71B48" w:rsidRDefault="00D71B48" w:rsidP="00A641B5">
            <w:pPr>
              <w:rPr>
                <w:rFonts w:ascii="Times New Roman" w:hAnsi="Times New Roman" w:cs="Times New Roman"/>
                <w:sz w:val="24"/>
              </w:rPr>
            </w:pPr>
            <w:r>
              <w:rPr>
                <w:rFonts w:ascii="Times New Roman" w:hAnsi="Times New Roman" w:cs="Times New Roman"/>
                <w:sz w:val="24"/>
              </w:rPr>
              <w:t xml:space="preserve">Medžiagos </w:t>
            </w:r>
          </w:p>
        </w:tc>
        <w:tc>
          <w:tcPr>
            <w:tcW w:w="1580" w:type="dxa"/>
          </w:tcPr>
          <w:p w:rsidR="00D71B48" w:rsidRDefault="00B06297" w:rsidP="00A641B5">
            <w:pPr>
              <w:jc w:val="right"/>
              <w:rPr>
                <w:rFonts w:ascii="Times New Roman" w:hAnsi="Times New Roman" w:cs="Times New Roman"/>
                <w:sz w:val="24"/>
              </w:rPr>
            </w:pPr>
            <w:r>
              <w:rPr>
                <w:rFonts w:ascii="Times New Roman" w:hAnsi="Times New Roman" w:cs="Times New Roman"/>
                <w:sz w:val="24"/>
              </w:rPr>
              <w:t>48.128,00</w:t>
            </w:r>
          </w:p>
        </w:tc>
      </w:tr>
      <w:tr w:rsidR="00D71B48" w:rsidTr="00A641B5">
        <w:tc>
          <w:tcPr>
            <w:tcW w:w="988" w:type="dxa"/>
          </w:tcPr>
          <w:p w:rsidR="00D71B48" w:rsidRDefault="00D71B48" w:rsidP="00A641B5">
            <w:pPr>
              <w:jc w:val="center"/>
              <w:rPr>
                <w:rFonts w:ascii="Times New Roman" w:hAnsi="Times New Roman" w:cs="Times New Roman"/>
                <w:sz w:val="24"/>
              </w:rPr>
            </w:pPr>
            <w:r>
              <w:rPr>
                <w:rFonts w:ascii="Times New Roman" w:hAnsi="Times New Roman" w:cs="Times New Roman"/>
                <w:sz w:val="24"/>
              </w:rPr>
              <w:t>5.</w:t>
            </w:r>
          </w:p>
        </w:tc>
        <w:tc>
          <w:tcPr>
            <w:tcW w:w="5953" w:type="dxa"/>
          </w:tcPr>
          <w:p w:rsidR="00D71B48" w:rsidRDefault="00D71B48" w:rsidP="00A641B5">
            <w:pPr>
              <w:rPr>
                <w:rFonts w:ascii="Times New Roman" w:hAnsi="Times New Roman" w:cs="Times New Roman"/>
                <w:sz w:val="24"/>
              </w:rPr>
            </w:pPr>
            <w:r>
              <w:rPr>
                <w:rFonts w:ascii="Times New Roman" w:hAnsi="Times New Roman" w:cs="Times New Roman"/>
                <w:sz w:val="24"/>
              </w:rPr>
              <w:t>Banko paslaugos, mokesčių surinkimas</w:t>
            </w:r>
          </w:p>
        </w:tc>
        <w:tc>
          <w:tcPr>
            <w:tcW w:w="1580" w:type="dxa"/>
          </w:tcPr>
          <w:p w:rsidR="00D71B48" w:rsidRDefault="00B06297" w:rsidP="00A641B5">
            <w:pPr>
              <w:jc w:val="right"/>
              <w:rPr>
                <w:rFonts w:ascii="Times New Roman" w:hAnsi="Times New Roman" w:cs="Times New Roman"/>
                <w:sz w:val="24"/>
              </w:rPr>
            </w:pPr>
            <w:r>
              <w:rPr>
                <w:rFonts w:ascii="Times New Roman" w:hAnsi="Times New Roman" w:cs="Times New Roman"/>
                <w:sz w:val="24"/>
              </w:rPr>
              <w:t>8.142,00</w:t>
            </w:r>
          </w:p>
        </w:tc>
      </w:tr>
      <w:tr w:rsidR="00D71B48" w:rsidTr="00A641B5">
        <w:tc>
          <w:tcPr>
            <w:tcW w:w="988" w:type="dxa"/>
          </w:tcPr>
          <w:p w:rsidR="00D71B48" w:rsidRDefault="00D71B48" w:rsidP="00A641B5">
            <w:pPr>
              <w:jc w:val="center"/>
              <w:rPr>
                <w:rFonts w:ascii="Times New Roman" w:hAnsi="Times New Roman" w:cs="Times New Roman"/>
                <w:sz w:val="24"/>
              </w:rPr>
            </w:pPr>
            <w:r>
              <w:rPr>
                <w:rFonts w:ascii="Times New Roman" w:hAnsi="Times New Roman" w:cs="Times New Roman"/>
                <w:sz w:val="24"/>
              </w:rPr>
              <w:t>6.</w:t>
            </w:r>
          </w:p>
        </w:tc>
        <w:tc>
          <w:tcPr>
            <w:tcW w:w="5953" w:type="dxa"/>
          </w:tcPr>
          <w:p w:rsidR="00D71B48" w:rsidRDefault="00D71B48" w:rsidP="00A641B5">
            <w:pPr>
              <w:rPr>
                <w:rFonts w:ascii="Times New Roman" w:hAnsi="Times New Roman" w:cs="Times New Roman"/>
                <w:sz w:val="24"/>
              </w:rPr>
            </w:pPr>
            <w:r>
              <w:rPr>
                <w:rFonts w:ascii="Times New Roman" w:hAnsi="Times New Roman" w:cs="Times New Roman"/>
                <w:sz w:val="24"/>
              </w:rPr>
              <w:t>Kanceliarinės ir biuro išlaidos, spauda</w:t>
            </w:r>
          </w:p>
        </w:tc>
        <w:tc>
          <w:tcPr>
            <w:tcW w:w="1580" w:type="dxa"/>
          </w:tcPr>
          <w:p w:rsidR="00D71B48" w:rsidRDefault="00B06297" w:rsidP="00A641B5">
            <w:pPr>
              <w:jc w:val="right"/>
              <w:rPr>
                <w:rFonts w:ascii="Times New Roman" w:hAnsi="Times New Roman" w:cs="Times New Roman"/>
                <w:sz w:val="24"/>
              </w:rPr>
            </w:pPr>
            <w:r>
              <w:rPr>
                <w:rFonts w:ascii="Times New Roman" w:hAnsi="Times New Roman" w:cs="Times New Roman"/>
                <w:sz w:val="24"/>
              </w:rPr>
              <w:t>5.523,00</w:t>
            </w:r>
          </w:p>
        </w:tc>
      </w:tr>
      <w:tr w:rsidR="00D71B48" w:rsidTr="00A641B5">
        <w:tc>
          <w:tcPr>
            <w:tcW w:w="988" w:type="dxa"/>
          </w:tcPr>
          <w:p w:rsidR="00D71B48" w:rsidRDefault="00D71B48" w:rsidP="00A641B5">
            <w:pPr>
              <w:jc w:val="center"/>
              <w:rPr>
                <w:rFonts w:ascii="Times New Roman" w:hAnsi="Times New Roman" w:cs="Times New Roman"/>
                <w:sz w:val="24"/>
              </w:rPr>
            </w:pPr>
            <w:r>
              <w:rPr>
                <w:rFonts w:ascii="Times New Roman" w:hAnsi="Times New Roman" w:cs="Times New Roman"/>
                <w:sz w:val="24"/>
              </w:rPr>
              <w:t>7.</w:t>
            </w:r>
          </w:p>
        </w:tc>
        <w:tc>
          <w:tcPr>
            <w:tcW w:w="5953" w:type="dxa"/>
          </w:tcPr>
          <w:p w:rsidR="00D71B48" w:rsidRDefault="00D71B48" w:rsidP="00A641B5">
            <w:pPr>
              <w:rPr>
                <w:rFonts w:ascii="Times New Roman" w:hAnsi="Times New Roman" w:cs="Times New Roman"/>
                <w:sz w:val="24"/>
              </w:rPr>
            </w:pPr>
            <w:r>
              <w:rPr>
                <w:rFonts w:ascii="Times New Roman" w:hAnsi="Times New Roman" w:cs="Times New Roman"/>
                <w:sz w:val="24"/>
              </w:rPr>
              <w:t>Amortizacija</w:t>
            </w:r>
          </w:p>
        </w:tc>
        <w:tc>
          <w:tcPr>
            <w:tcW w:w="1580" w:type="dxa"/>
          </w:tcPr>
          <w:p w:rsidR="00D71B48" w:rsidRDefault="00B06297" w:rsidP="00A641B5">
            <w:pPr>
              <w:jc w:val="right"/>
              <w:rPr>
                <w:rFonts w:ascii="Times New Roman" w:hAnsi="Times New Roman" w:cs="Times New Roman"/>
                <w:sz w:val="24"/>
              </w:rPr>
            </w:pPr>
            <w:r>
              <w:rPr>
                <w:rFonts w:ascii="Times New Roman" w:hAnsi="Times New Roman" w:cs="Times New Roman"/>
                <w:sz w:val="24"/>
              </w:rPr>
              <w:t>19.154,00</w:t>
            </w:r>
          </w:p>
        </w:tc>
      </w:tr>
      <w:tr w:rsidR="00D71B48" w:rsidTr="00A641B5">
        <w:tc>
          <w:tcPr>
            <w:tcW w:w="988" w:type="dxa"/>
          </w:tcPr>
          <w:p w:rsidR="00D71B48" w:rsidRDefault="00D71B48" w:rsidP="00A641B5">
            <w:pPr>
              <w:jc w:val="center"/>
              <w:rPr>
                <w:rFonts w:ascii="Times New Roman" w:hAnsi="Times New Roman" w:cs="Times New Roman"/>
                <w:sz w:val="24"/>
              </w:rPr>
            </w:pPr>
            <w:r>
              <w:rPr>
                <w:rFonts w:ascii="Times New Roman" w:hAnsi="Times New Roman" w:cs="Times New Roman"/>
                <w:sz w:val="24"/>
              </w:rPr>
              <w:t>8.</w:t>
            </w:r>
          </w:p>
        </w:tc>
        <w:tc>
          <w:tcPr>
            <w:tcW w:w="5953" w:type="dxa"/>
          </w:tcPr>
          <w:p w:rsidR="00D71B48" w:rsidRDefault="00D71B48" w:rsidP="00A641B5">
            <w:pPr>
              <w:rPr>
                <w:rFonts w:ascii="Times New Roman" w:hAnsi="Times New Roman" w:cs="Times New Roman"/>
                <w:sz w:val="24"/>
              </w:rPr>
            </w:pPr>
            <w:r>
              <w:rPr>
                <w:rFonts w:ascii="Times New Roman" w:hAnsi="Times New Roman" w:cs="Times New Roman"/>
                <w:sz w:val="24"/>
              </w:rPr>
              <w:t>Komandiruotės, seminarai</w:t>
            </w:r>
          </w:p>
        </w:tc>
        <w:tc>
          <w:tcPr>
            <w:tcW w:w="1580" w:type="dxa"/>
          </w:tcPr>
          <w:p w:rsidR="00D71B48" w:rsidRDefault="00B06297" w:rsidP="00A641B5">
            <w:pPr>
              <w:jc w:val="right"/>
              <w:rPr>
                <w:rFonts w:ascii="Times New Roman" w:hAnsi="Times New Roman" w:cs="Times New Roman"/>
                <w:sz w:val="24"/>
              </w:rPr>
            </w:pPr>
            <w:r>
              <w:rPr>
                <w:rFonts w:ascii="Times New Roman" w:hAnsi="Times New Roman" w:cs="Times New Roman"/>
                <w:sz w:val="24"/>
              </w:rPr>
              <w:t>1.305,00</w:t>
            </w:r>
          </w:p>
        </w:tc>
      </w:tr>
      <w:tr w:rsidR="00D71B48" w:rsidTr="00A641B5">
        <w:tc>
          <w:tcPr>
            <w:tcW w:w="988" w:type="dxa"/>
          </w:tcPr>
          <w:p w:rsidR="00D71B48" w:rsidRDefault="00D71B48" w:rsidP="00A641B5">
            <w:pPr>
              <w:jc w:val="center"/>
              <w:rPr>
                <w:rFonts w:ascii="Times New Roman" w:hAnsi="Times New Roman" w:cs="Times New Roman"/>
                <w:sz w:val="24"/>
              </w:rPr>
            </w:pPr>
            <w:r>
              <w:rPr>
                <w:rFonts w:ascii="Times New Roman" w:hAnsi="Times New Roman" w:cs="Times New Roman"/>
                <w:sz w:val="24"/>
              </w:rPr>
              <w:t>9.</w:t>
            </w:r>
          </w:p>
        </w:tc>
        <w:tc>
          <w:tcPr>
            <w:tcW w:w="5953" w:type="dxa"/>
          </w:tcPr>
          <w:p w:rsidR="00D71B48" w:rsidRDefault="00D71B48" w:rsidP="00A641B5">
            <w:pPr>
              <w:rPr>
                <w:rFonts w:ascii="Times New Roman" w:hAnsi="Times New Roman" w:cs="Times New Roman"/>
                <w:sz w:val="24"/>
              </w:rPr>
            </w:pPr>
            <w:r>
              <w:rPr>
                <w:rFonts w:ascii="Times New Roman" w:hAnsi="Times New Roman" w:cs="Times New Roman"/>
                <w:sz w:val="24"/>
              </w:rPr>
              <w:t>Draudimo išlaidos</w:t>
            </w:r>
          </w:p>
        </w:tc>
        <w:tc>
          <w:tcPr>
            <w:tcW w:w="1580" w:type="dxa"/>
          </w:tcPr>
          <w:p w:rsidR="00D71B48" w:rsidRDefault="00B06297" w:rsidP="00A641B5">
            <w:pPr>
              <w:jc w:val="right"/>
              <w:rPr>
                <w:rFonts w:ascii="Times New Roman" w:hAnsi="Times New Roman" w:cs="Times New Roman"/>
                <w:sz w:val="24"/>
              </w:rPr>
            </w:pPr>
            <w:r>
              <w:rPr>
                <w:rFonts w:ascii="Times New Roman" w:hAnsi="Times New Roman" w:cs="Times New Roman"/>
                <w:sz w:val="24"/>
              </w:rPr>
              <w:t>2.268,00</w:t>
            </w:r>
          </w:p>
        </w:tc>
      </w:tr>
      <w:tr w:rsidR="00D71B48" w:rsidTr="00A641B5">
        <w:tc>
          <w:tcPr>
            <w:tcW w:w="988" w:type="dxa"/>
          </w:tcPr>
          <w:p w:rsidR="00D71B48" w:rsidRDefault="00D71B48" w:rsidP="00A641B5">
            <w:pPr>
              <w:jc w:val="center"/>
              <w:rPr>
                <w:rFonts w:ascii="Times New Roman" w:hAnsi="Times New Roman" w:cs="Times New Roman"/>
                <w:sz w:val="24"/>
              </w:rPr>
            </w:pPr>
            <w:r>
              <w:rPr>
                <w:rFonts w:ascii="Times New Roman" w:hAnsi="Times New Roman" w:cs="Times New Roman"/>
                <w:sz w:val="24"/>
              </w:rPr>
              <w:t>10.</w:t>
            </w:r>
          </w:p>
        </w:tc>
        <w:tc>
          <w:tcPr>
            <w:tcW w:w="5953" w:type="dxa"/>
          </w:tcPr>
          <w:p w:rsidR="00D71B48" w:rsidRDefault="00D71B48" w:rsidP="00A641B5">
            <w:pPr>
              <w:rPr>
                <w:rFonts w:ascii="Times New Roman" w:hAnsi="Times New Roman" w:cs="Times New Roman"/>
                <w:sz w:val="24"/>
              </w:rPr>
            </w:pPr>
            <w:r>
              <w:rPr>
                <w:rFonts w:ascii="Times New Roman" w:hAnsi="Times New Roman" w:cs="Times New Roman"/>
                <w:sz w:val="24"/>
              </w:rPr>
              <w:t>Teisinės paslaugos</w:t>
            </w:r>
          </w:p>
        </w:tc>
        <w:tc>
          <w:tcPr>
            <w:tcW w:w="1580" w:type="dxa"/>
          </w:tcPr>
          <w:p w:rsidR="00D71B48" w:rsidRDefault="00B06297" w:rsidP="00A641B5">
            <w:pPr>
              <w:jc w:val="right"/>
              <w:rPr>
                <w:rFonts w:ascii="Times New Roman" w:hAnsi="Times New Roman" w:cs="Times New Roman"/>
                <w:sz w:val="24"/>
              </w:rPr>
            </w:pPr>
            <w:r>
              <w:rPr>
                <w:rFonts w:ascii="Times New Roman" w:hAnsi="Times New Roman" w:cs="Times New Roman"/>
                <w:sz w:val="24"/>
              </w:rPr>
              <w:t>3.475,00</w:t>
            </w:r>
          </w:p>
        </w:tc>
      </w:tr>
      <w:tr w:rsidR="00D71B48" w:rsidTr="00A641B5">
        <w:tc>
          <w:tcPr>
            <w:tcW w:w="988" w:type="dxa"/>
          </w:tcPr>
          <w:p w:rsidR="00D71B48" w:rsidRDefault="00D71B48" w:rsidP="00A641B5">
            <w:pPr>
              <w:jc w:val="center"/>
              <w:rPr>
                <w:rFonts w:ascii="Times New Roman" w:hAnsi="Times New Roman" w:cs="Times New Roman"/>
                <w:sz w:val="24"/>
              </w:rPr>
            </w:pPr>
            <w:r>
              <w:rPr>
                <w:rFonts w:ascii="Times New Roman" w:hAnsi="Times New Roman" w:cs="Times New Roman"/>
                <w:sz w:val="24"/>
              </w:rPr>
              <w:t>11.</w:t>
            </w:r>
          </w:p>
        </w:tc>
        <w:tc>
          <w:tcPr>
            <w:tcW w:w="5953" w:type="dxa"/>
          </w:tcPr>
          <w:p w:rsidR="00D71B48" w:rsidRDefault="00D71B48" w:rsidP="00A641B5">
            <w:pPr>
              <w:rPr>
                <w:rFonts w:ascii="Times New Roman" w:hAnsi="Times New Roman" w:cs="Times New Roman"/>
                <w:sz w:val="24"/>
              </w:rPr>
            </w:pPr>
            <w:r>
              <w:rPr>
                <w:rFonts w:ascii="Times New Roman" w:hAnsi="Times New Roman" w:cs="Times New Roman"/>
                <w:sz w:val="24"/>
              </w:rPr>
              <w:t>Labdara, parama</w:t>
            </w:r>
          </w:p>
        </w:tc>
        <w:tc>
          <w:tcPr>
            <w:tcW w:w="1580" w:type="dxa"/>
          </w:tcPr>
          <w:p w:rsidR="00D71B48" w:rsidRDefault="00B06297" w:rsidP="00A641B5">
            <w:pPr>
              <w:jc w:val="right"/>
              <w:rPr>
                <w:rFonts w:ascii="Times New Roman" w:hAnsi="Times New Roman" w:cs="Times New Roman"/>
                <w:sz w:val="24"/>
              </w:rPr>
            </w:pPr>
            <w:r>
              <w:rPr>
                <w:rFonts w:ascii="Times New Roman" w:hAnsi="Times New Roman" w:cs="Times New Roman"/>
                <w:sz w:val="24"/>
              </w:rPr>
              <w:t>3.000,00</w:t>
            </w:r>
          </w:p>
        </w:tc>
      </w:tr>
      <w:tr w:rsidR="00D71B48" w:rsidTr="00A641B5">
        <w:tc>
          <w:tcPr>
            <w:tcW w:w="988" w:type="dxa"/>
          </w:tcPr>
          <w:p w:rsidR="00D71B48" w:rsidRDefault="00D71B48" w:rsidP="00A641B5">
            <w:pPr>
              <w:jc w:val="center"/>
              <w:rPr>
                <w:rFonts w:ascii="Times New Roman" w:hAnsi="Times New Roman" w:cs="Times New Roman"/>
                <w:sz w:val="24"/>
              </w:rPr>
            </w:pPr>
            <w:r>
              <w:rPr>
                <w:rFonts w:ascii="Times New Roman" w:hAnsi="Times New Roman" w:cs="Times New Roman"/>
                <w:sz w:val="24"/>
              </w:rPr>
              <w:t>12.</w:t>
            </w:r>
          </w:p>
        </w:tc>
        <w:tc>
          <w:tcPr>
            <w:tcW w:w="5953" w:type="dxa"/>
          </w:tcPr>
          <w:p w:rsidR="00D71B48" w:rsidRDefault="00D71B48" w:rsidP="00A641B5">
            <w:pPr>
              <w:rPr>
                <w:rFonts w:ascii="Times New Roman" w:hAnsi="Times New Roman" w:cs="Times New Roman"/>
                <w:sz w:val="24"/>
              </w:rPr>
            </w:pPr>
            <w:r>
              <w:rPr>
                <w:rFonts w:ascii="Times New Roman" w:hAnsi="Times New Roman" w:cs="Times New Roman"/>
                <w:sz w:val="24"/>
              </w:rPr>
              <w:t>Abejotinos skolos</w:t>
            </w:r>
          </w:p>
        </w:tc>
        <w:tc>
          <w:tcPr>
            <w:tcW w:w="1580" w:type="dxa"/>
          </w:tcPr>
          <w:p w:rsidR="00D71B48" w:rsidRDefault="00B06297" w:rsidP="00A641B5">
            <w:pPr>
              <w:jc w:val="right"/>
              <w:rPr>
                <w:rFonts w:ascii="Times New Roman" w:hAnsi="Times New Roman" w:cs="Times New Roman"/>
                <w:sz w:val="24"/>
              </w:rPr>
            </w:pPr>
            <w:r>
              <w:rPr>
                <w:rFonts w:ascii="Times New Roman" w:hAnsi="Times New Roman" w:cs="Times New Roman"/>
                <w:sz w:val="24"/>
              </w:rPr>
              <w:t>4.099,00</w:t>
            </w:r>
          </w:p>
        </w:tc>
      </w:tr>
      <w:tr w:rsidR="00D71B48" w:rsidTr="00A641B5">
        <w:tc>
          <w:tcPr>
            <w:tcW w:w="988" w:type="dxa"/>
          </w:tcPr>
          <w:p w:rsidR="00D71B48" w:rsidRDefault="00D71B48" w:rsidP="00A641B5">
            <w:pPr>
              <w:jc w:val="center"/>
              <w:rPr>
                <w:rFonts w:ascii="Times New Roman" w:hAnsi="Times New Roman" w:cs="Times New Roman"/>
                <w:sz w:val="24"/>
              </w:rPr>
            </w:pPr>
            <w:r>
              <w:rPr>
                <w:rFonts w:ascii="Times New Roman" w:hAnsi="Times New Roman" w:cs="Times New Roman"/>
                <w:sz w:val="24"/>
              </w:rPr>
              <w:t>13.</w:t>
            </w:r>
          </w:p>
        </w:tc>
        <w:tc>
          <w:tcPr>
            <w:tcW w:w="5953" w:type="dxa"/>
          </w:tcPr>
          <w:p w:rsidR="00D71B48" w:rsidRDefault="00D71B48" w:rsidP="00A641B5">
            <w:pPr>
              <w:rPr>
                <w:rFonts w:ascii="Times New Roman" w:hAnsi="Times New Roman" w:cs="Times New Roman"/>
                <w:sz w:val="24"/>
              </w:rPr>
            </w:pPr>
            <w:r>
              <w:rPr>
                <w:rFonts w:ascii="Times New Roman" w:hAnsi="Times New Roman" w:cs="Times New Roman"/>
                <w:sz w:val="24"/>
              </w:rPr>
              <w:t>Finansinės sąnaudos</w:t>
            </w:r>
          </w:p>
        </w:tc>
        <w:tc>
          <w:tcPr>
            <w:tcW w:w="1580" w:type="dxa"/>
          </w:tcPr>
          <w:p w:rsidR="00D71B48" w:rsidRDefault="00B06297" w:rsidP="00A641B5">
            <w:pPr>
              <w:jc w:val="right"/>
              <w:rPr>
                <w:rFonts w:ascii="Times New Roman" w:hAnsi="Times New Roman" w:cs="Times New Roman"/>
                <w:sz w:val="24"/>
              </w:rPr>
            </w:pPr>
            <w:r>
              <w:rPr>
                <w:rFonts w:ascii="Times New Roman" w:hAnsi="Times New Roman" w:cs="Times New Roman"/>
                <w:sz w:val="24"/>
              </w:rPr>
              <w:t>166,00</w:t>
            </w:r>
          </w:p>
        </w:tc>
      </w:tr>
      <w:tr w:rsidR="00D71B48" w:rsidTr="00A641B5">
        <w:tc>
          <w:tcPr>
            <w:tcW w:w="988" w:type="dxa"/>
          </w:tcPr>
          <w:p w:rsidR="00D71B48" w:rsidRDefault="00D71B48" w:rsidP="00A641B5">
            <w:pPr>
              <w:jc w:val="center"/>
              <w:rPr>
                <w:rFonts w:ascii="Times New Roman" w:hAnsi="Times New Roman" w:cs="Times New Roman"/>
                <w:sz w:val="24"/>
              </w:rPr>
            </w:pPr>
            <w:r>
              <w:rPr>
                <w:rFonts w:ascii="Times New Roman" w:hAnsi="Times New Roman" w:cs="Times New Roman"/>
                <w:sz w:val="24"/>
              </w:rPr>
              <w:lastRenderedPageBreak/>
              <w:t>14.</w:t>
            </w:r>
          </w:p>
        </w:tc>
        <w:tc>
          <w:tcPr>
            <w:tcW w:w="5953" w:type="dxa"/>
          </w:tcPr>
          <w:p w:rsidR="00D71B48" w:rsidRDefault="00D71B48" w:rsidP="00A641B5">
            <w:pPr>
              <w:rPr>
                <w:rFonts w:ascii="Times New Roman" w:hAnsi="Times New Roman" w:cs="Times New Roman"/>
                <w:sz w:val="24"/>
              </w:rPr>
            </w:pPr>
            <w:r>
              <w:rPr>
                <w:rFonts w:ascii="Times New Roman" w:hAnsi="Times New Roman" w:cs="Times New Roman"/>
                <w:sz w:val="24"/>
              </w:rPr>
              <w:t>Kitos išlaidos</w:t>
            </w:r>
          </w:p>
        </w:tc>
        <w:tc>
          <w:tcPr>
            <w:tcW w:w="1580" w:type="dxa"/>
          </w:tcPr>
          <w:p w:rsidR="00D71B48" w:rsidRDefault="00B06297" w:rsidP="00A641B5">
            <w:pPr>
              <w:jc w:val="right"/>
              <w:rPr>
                <w:rFonts w:ascii="Times New Roman" w:hAnsi="Times New Roman" w:cs="Times New Roman"/>
                <w:sz w:val="24"/>
              </w:rPr>
            </w:pPr>
            <w:r>
              <w:rPr>
                <w:rFonts w:ascii="Times New Roman" w:hAnsi="Times New Roman" w:cs="Times New Roman"/>
                <w:sz w:val="24"/>
              </w:rPr>
              <w:t>9.831,00</w:t>
            </w:r>
          </w:p>
        </w:tc>
      </w:tr>
    </w:tbl>
    <w:p w:rsidR="00D71B48" w:rsidRDefault="00D71B48" w:rsidP="00D71B48">
      <w:pPr>
        <w:rPr>
          <w:rFonts w:ascii="Times New Roman" w:hAnsi="Times New Roman" w:cs="Times New Roman"/>
          <w:sz w:val="24"/>
        </w:rPr>
      </w:pPr>
    </w:p>
    <w:p w:rsidR="00D71B48" w:rsidRDefault="00D71B48" w:rsidP="00DD3B5C">
      <w:pPr>
        <w:spacing w:after="0"/>
        <w:ind w:firstLine="567"/>
        <w:rPr>
          <w:rFonts w:ascii="Times New Roman" w:hAnsi="Times New Roman" w:cs="Times New Roman"/>
          <w:sz w:val="24"/>
        </w:rPr>
      </w:pPr>
      <w:r>
        <w:rPr>
          <w:rFonts w:ascii="Times New Roman" w:hAnsi="Times New Roman" w:cs="Times New Roman"/>
          <w:sz w:val="24"/>
        </w:rPr>
        <w:t>Mokesčių sąnaudos susideda iš šių dalių:</w:t>
      </w:r>
    </w:p>
    <w:p w:rsidR="00D71B48" w:rsidRDefault="00D71B48" w:rsidP="00D71B48">
      <w:pPr>
        <w:pStyle w:val="ListParagraph"/>
        <w:numPr>
          <w:ilvl w:val="0"/>
          <w:numId w:val="1"/>
        </w:numPr>
        <w:rPr>
          <w:rFonts w:ascii="Times New Roman" w:hAnsi="Times New Roman" w:cs="Times New Roman"/>
          <w:sz w:val="24"/>
        </w:rPr>
      </w:pPr>
      <w:r>
        <w:rPr>
          <w:rFonts w:ascii="Times New Roman" w:hAnsi="Times New Roman" w:cs="Times New Roman"/>
          <w:sz w:val="24"/>
        </w:rPr>
        <w:t>Kelių mokestis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B06297">
        <w:rPr>
          <w:rFonts w:ascii="Times New Roman" w:hAnsi="Times New Roman" w:cs="Times New Roman"/>
          <w:sz w:val="24"/>
        </w:rPr>
        <w:t>2.195 EUR</w:t>
      </w:r>
      <w:r>
        <w:rPr>
          <w:rFonts w:ascii="Times New Roman" w:hAnsi="Times New Roman" w:cs="Times New Roman"/>
          <w:sz w:val="24"/>
        </w:rPr>
        <w:t>;</w:t>
      </w:r>
    </w:p>
    <w:p w:rsidR="00D71B48" w:rsidRDefault="00D71B48" w:rsidP="00D71B48">
      <w:pPr>
        <w:pStyle w:val="ListParagraph"/>
        <w:numPr>
          <w:ilvl w:val="0"/>
          <w:numId w:val="1"/>
        </w:numPr>
        <w:rPr>
          <w:rFonts w:ascii="Times New Roman" w:hAnsi="Times New Roman" w:cs="Times New Roman"/>
          <w:sz w:val="24"/>
        </w:rPr>
      </w:pPr>
      <w:r>
        <w:rPr>
          <w:rFonts w:ascii="Times New Roman" w:hAnsi="Times New Roman" w:cs="Times New Roman"/>
          <w:sz w:val="24"/>
        </w:rPr>
        <w:t>Nekilnojamo turto</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B06297">
        <w:rPr>
          <w:rFonts w:ascii="Times New Roman" w:hAnsi="Times New Roman" w:cs="Times New Roman"/>
          <w:sz w:val="24"/>
        </w:rPr>
        <w:t>1.419 EUR</w:t>
      </w:r>
      <w:r>
        <w:rPr>
          <w:rFonts w:ascii="Times New Roman" w:hAnsi="Times New Roman" w:cs="Times New Roman"/>
          <w:sz w:val="24"/>
        </w:rPr>
        <w:t>;</w:t>
      </w:r>
    </w:p>
    <w:p w:rsidR="00D71B48" w:rsidRDefault="00D71B48" w:rsidP="00D71B48">
      <w:pPr>
        <w:pStyle w:val="ListParagraph"/>
        <w:numPr>
          <w:ilvl w:val="0"/>
          <w:numId w:val="1"/>
        </w:numPr>
        <w:rPr>
          <w:rFonts w:ascii="Times New Roman" w:hAnsi="Times New Roman" w:cs="Times New Roman"/>
          <w:sz w:val="24"/>
        </w:rPr>
      </w:pPr>
      <w:r>
        <w:rPr>
          <w:rFonts w:ascii="Times New Roman" w:hAnsi="Times New Roman" w:cs="Times New Roman"/>
          <w:sz w:val="24"/>
        </w:rPr>
        <w:t>Žemės nuomos mokestis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B06297">
        <w:rPr>
          <w:rFonts w:ascii="Times New Roman" w:hAnsi="Times New Roman" w:cs="Times New Roman"/>
          <w:sz w:val="24"/>
        </w:rPr>
        <w:t xml:space="preserve">   331 EUR</w:t>
      </w:r>
      <w:r>
        <w:rPr>
          <w:rFonts w:ascii="Times New Roman" w:hAnsi="Times New Roman" w:cs="Times New Roman"/>
          <w:sz w:val="24"/>
        </w:rPr>
        <w:t>;</w:t>
      </w:r>
    </w:p>
    <w:p w:rsidR="00D71B48" w:rsidRDefault="00D71B48" w:rsidP="00D71B48">
      <w:pPr>
        <w:pStyle w:val="ListParagraph"/>
        <w:numPr>
          <w:ilvl w:val="0"/>
          <w:numId w:val="1"/>
        </w:numPr>
        <w:rPr>
          <w:rFonts w:ascii="Times New Roman" w:hAnsi="Times New Roman" w:cs="Times New Roman"/>
          <w:sz w:val="24"/>
        </w:rPr>
      </w:pPr>
      <w:r>
        <w:rPr>
          <w:rFonts w:ascii="Times New Roman" w:hAnsi="Times New Roman" w:cs="Times New Roman"/>
          <w:sz w:val="24"/>
        </w:rPr>
        <w:t>Teršalai</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B06297">
        <w:rPr>
          <w:rFonts w:ascii="Times New Roman" w:hAnsi="Times New Roman" w:cs="Times New Roman"/>
          <w:sz w:val="24"/>
        </w:rPr>
        <w:t>184 EUR</w:t>
      </w:r>
      <w:r>
        <w:rPr>
          <w:rFonts w:ascii="Times New Roman" w:hAnsi="Times New Roman" w:cs="Times New Roman"/>
          <w:sz w:val="24"/>
        </w:rPr>
        <w:t>;</w:t>
      </w:r>
    </w:p>
    <w:p w:rsidR="00D71B48" w:rsidRPr="00B2229E" w:rsidRDefault="00D71B48" w:rsidP="00D71B48">
      <w:pPr>
        <w:pStyle w:val="ListParagraph"/>
        <w:numPr>
          <w:ilvl w:val="0"/>
          <w:numId w:val="1"/>
        </w:numPr>
        <w:rPr>
          <w:rFonts w:ascii="Times New Roman" w:hAnsi="Times New Roman" w:cs="Times New Roman"/>
          <w:sz w:val="24"/>
        </w:rPr>
      </w:pPr>
      <w:r>
        <w:rPr>
          <w:rFonts w:ascii="Times New Roman" w:hAnsi="Times New Roman" w:cs="Times New Roman"/>
          <w:sz w:val="24"/>
        </w:rPr>
        <w:t>Neatskaitomos PVM sąnaudos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B06297">
        <w:rPr>
          <w:rFonts w:ascii="Times New Roman" w:hAnsi="Times New Roman" w:cs="Times New Roman"/>
          <w:sz w:val="24"/>
        </w:rPr>
        <w:t>1.103 EUR</w:t>
      </w:r>
      <w:r>
        <w:rPr>
          <w:rFonts w:ascii="Times New Roman" w:hAnsi="Times New Roman" w:cs="Times New Roman"/>
          <w:sz w:val="24"/>
        </w:rPr>
        <w:t xml:space="preserve">. </w:t>
      </w:r>
    </w:p>
    <w:p w:rsidR="00DD3B5C" w:rsidRDefault="00DD3B5C" w:rsidP="00D71B48">
      <w:pPr>
        <w:spacing w:after="0"/>
        <w:ind w:firstLine="567"/>
        <w:rPr>
          <w:rFonts w:ascii="Times New Roman" w:hAnsi="Times New Roman" w:cs="Times New Roman"/>
          <w:sz w:val="24"/>
        </w:rPr>
      </w:pPr>
    </w:p>
    <w:p w:rsidR="00D71B48" w:rsidRDefault="00D71B48" w:rsidP="00D71B48">
      <w:pPr>
        <w:spacing w:after="0"/>
        <w:ind w:firstLine="567"/>
        <w:rPr>
          <w:rFonts w:ascii="Times New Roman" w:hAnsi="Times New Roman" w:cs="Times New Roman"/>
          <w:sz w:val="24"/>
        </w:rPr>
      </w:pPr>
      <w:r>
        <w:rPr>
          <w:rFonts w:ascii="Times New Roman" w:hAnsi="Times New Roman" w:cs="Times New Roman"/>
          <w:sz w:val="24"/>
        </w:rPr>
        <w:t xml:space="preserve">Per praėjusius metus bendrovė gavo </w:t>
      </w:r>
      <w:r w:rsidR="00B06297">
        <w:rPr>
          <w:rFonts w:ascii="Times New Roman" w:hAnsi="Times New Roman" w:cs="Times New Roman"/>
          <w:sz w:val="24"/>
        </w:rPr>
        <w:t>471</w:t>
      </w:r>
      <w:r w:rsidR="00AE0AE5">
        <w:rPr>
          <w:rFonts w:ascii="Times New Roman" w:hAnsi="Times New Roman" w:cs="Times New Roman"/>
          <w:sz w:val="24"/>
        </w:rPr>
        <w:t>,00</w:t>
      </w:r>
      <w:r w:rsidR="00B06297">
        <w:rPr>
          <w:rFonts w:ascii="Times New Roman" w:hAnsi="Times New Roman" w:cs="Times New Roman"/>
          <w:sz w:val="24"/>
        </w:rPr>
        <w:t xml:space="preserve"> EUR</w:t>
      </w:r>
      <w:r>
        <w:rPr>
          <w:rFonts w:ascii="Times New Roman" w:hAnsi="Times New Roman" w:cs="Times New Roman"/>
          <w:sz w:val="24"/>
        </w:rPr>
        <w:t xml:space="preserve"> pelno</w:t>
      </w:r>
      <w:r w:rsidR="00B1480A">
        <w:rPr>
          <w:rFonts w:ascii="Times New Roman" w:hAnsi="Times New Roman" w:cs="Times New Roman"/>
          <w:sz w:val="24"/>
        </w:rPr>
        <w:t xml:space="preserve"> prieš apmokestinimą</w:t>
      </w:r>
      <w:r>
        <w:rPr>
          <w:rFonts w:ascii="Times New Roman" w:hAnsi="Times New Roman" w:cs="Times New Roman"/>
          <w:sz w:val="24"/>
        </w:rPr>
        <w:t xml:space="preserve">. </w:t>
      </w:r>
    </w:p>
    <w:p w:rsidR="00D71B48" w:rsidRDefault="00D71B48" w:rsidP="00D71B48">
      <w:pPr>
        <w:spacing w:after="0"/>
        <w:ind w:firstLine="567"/>
        <w:rPr>
          <w:rFonts w:ascii="Times New Roman" w:hAnsi="Times New Roman" w:cs="Times New Roman"/>
          <w:sz w:val="24"/>
        </w:rPr>
      </w:pPr>
    </w:p>
    <w:p w:rsidR="00217477" w:rsidRPr="004D7BBE" w:rsidRDefault="00DD3B5C" w:rsidP="00DD3B5C">
      <w:pPr>
        <w:spacing w:after="0" w:line="276" w:lineRule="auto"/>
        <w:jc w:val="center"/>
        <w:rPr>
          <w:rFonts w:ascii="Times New Roman" w:hAnsi="Times New Roman" w:cs="Times New Roman"/>
          <w:b/>
          <w:sz w:val="24"/>
        </w:rPr>
      </w:pPr>
      <w:r>
        <w:rPr>
          <w:rFonts w:ascii="Times New Roman" w:hAnsi="Times New Roman" w:cs="Times New Roman"/>
          <w:b/>
          <w:sz w:val="24"/>
        </w:rPr>
        <w:t>6.2</w:t>
      </w:r>
      <w:r w:rsidR="00217477" w:rsidRPr="004D7BBE">
        <w:rPr>
          <w:rFonts w:ascii="Times New Roman" w:hAnsi="Times New Roman" w:cs="Times New Roman"/>
          <w:b/>
          <w:sz w:val="24"/>
        </w:rPr>
        <w:t>. ILGALAIKIS TURTAS</w:t>
      </w:r>
    </w:p>
    <w:p w:rsidR="00217477" w:rsidRDefault="00217477" w:rsidP="001236CF">
      <w:pPr>
        <w:spacing w:after="0" w:line="276" w:lineRule="auto"/>
        <w:ind w:firstLine="567"/>
        <w:jc w:val="center"/>
        <w:rPr>
          <w:rFonts w:ascii="Times New Roman" w:hAnsi="Times New Roman" w:cs="Times New Roman"/>
          <w:sz w:val="24"/>
        </w:rPr>
      </w:pPr>
    </w:p>
    <w:p w:rsidR="00F402DA" w:rsidRDefault="00217477" w:rsidP="001236CF">
      <w:pPr>
        <w:spacing w:after="0" w:line="276" w:lineRule="auto"/>
        <w:ind w:firstLine="567"/>
        <w:jc w:val="both"/>
        <w:rPr>
          <w:rFonts w:ascii="Times New Roman" w:hAnsi="Times New Roman" w:cs="Times New Roman"/>
          <w:sz w:val="24"/>
        </w:rPr>
      </w:pPr>
      <w:r>
        <w:rPr>
          <w:rFonts w:ascii="Times New Roman" w:hAnsi="Times New Roman" w:cs="Times New Roman"/>
          <w:sz w:val="24"/>
        </w:rPr>
        <w:t xml:space="preserve">Bendrovės ilgalaikį turtą sudaro materialus ir nematerialus turtas. </w:t>
      </w:r>
    </w:p>
    <w:p w:rsidR="00540E15" w:rsidRDefault="00540E15" w:rsidP="001236CF">
      <w:pPr>
        <w:spacing w:after="0" w:line="276" w:lineRule="auto"/>
        <w:ind w:firstLine="567"/>
        <w:jc w:val="both"/>
        <w:rPr>
          <w:rFonts w:ascii="Times New Roman" w:hAnsi="Times New Roman" w:cs="Times New Roman"/>
          <w:sz w:val="24"/>
        </w:rPr>
      </w:pPr>
      <w:r>
        <w:rPr>
          <w:rFonts w:ascii="Times New Roman" w:hAnsi="Times New Roman" w:cs="Times New Roman"/>
          <w:sz w:val="24"/>
        </w:rPr>
        <w:t>Materialų turtą sudaro:</w:t>
      </w:r>
    </w:p>
    <w:p w:rsidR="00540E15" w:rsidRPr="00540E15" w:rsidRDefault="00540E15" w:rsidP="001236CF">
      <w:pPr>
        <w:pStyle w:val="ListParagraph"/>
        <w:numPr>
          <w:ilvl w:val="0"/>
          <w:numId w:val="1"/>
        </w:numPr>
        <w:spacing w:after="0" w:line="276" w:lineRule="auto"/>
        <w:jc w:val="both"/>
        <w:rPr>
          <w:rFonts w:ascii="Times New Roman" w:hAnsi="Times New Roman" w:cs="Times New Roman"/>
          <w:sz w:val="24"/>
        </w:rPr>
      </w:pPr>
      <w:r>
        <w:rPr>
          <w:rFonts w:ascii="Times New Roman" w:hAnsi="Times New Roman" w:cs="Times New Roman"/>
          <w:sz w:val="24"/>
        </w:rPr>
        <w:t>Pastatai ir kiti priklausiniai:</w:t>
      </w:r>
    </w:p>
    <w:p w:rsidR="00540E15" w:rsidRDefault="00540E15" w:rsidP="001236CF">
      <w:pPr>
        <w:pStyle w:val="ListParagraph"/>
        <w:numPr>
          <w:ilvl w:val="1"/>
          <w:numId w:val="1"/>
        </w:numPr>
        <w:spacing w:after="0" w:line="276" w:lineRule="auto"/>
        <w:jc w:val="both"/>
        <w:rPr>
          <w:rFonts w:ascii="Times New Roman" w:hAnsi="Times New Roman" w:cs="Times New Roman"/>
          <w:sz w:val="24"/>
        </w:rPr>
      </w:pPr>
      <w:r>
        <w:rPr>
          <w:rFonts w:ascii="Times New Roman" w:hAnsi="Times New Roman" w:cs="Times New Roman"/>
          <w:sz w:val="24"/>
        </w:rPr>
        <w:t>Administracinis pastatas</w:t>
      </w:r>
      <w:r w:rsidR="008F3744">
        <w:rPr>
          <w:rFonts w:ascii="Times New Roman" w:hAnsi="Times New Roman" w:cs="Times New Roman"/>
          <w:sz w:val="24"/>
        </w:rPr>
        <w:t>,</w:t>
      </w:r>
      <w:r>
        <w:rPr>
          <w:rFonts w:ascii="Times New Roman" w:hAnsi="Times New Roman" w:cs="Times New Roman"/>
          <w:sz w:val="24"/>
        </w:rPr>
        <w:t xml:space="preserve"> Kęstučio g. 37, Prienai;</w:t>
      </w:r>
    </w:p>
    <w:p w:rsidR="00540E15" w:rsidRDefault="00540E15" w:rsidP="001236CF">
      <w:pPr>
        <w:pStyle w:val="ListParagraph"/>
        <w:numPr>
          <w:ilvl w:val="1"/>
          <w:numId w:val="1"/>
        </w:numPr>
        <w:spacing w:after="0" w:line="276" w:lineRule="auto"/>
        <w:jc w:val="both"/>
        <w:rPr>
          <w:rFonts w:ascii="Times New Roman" w:hAnsi="Times New Roman" w:cs="Times New Roman"/>
          <w:sz w:val="24"/>
        </w:rPr>
      </w:pPr>
      <w:r>
        <w:rPr>
          <w:rFonts w:ascii="Times New Roman" w:hAnsi="Times New Roman" w:cs="Times New Roman"/>
          <w:sz w:val="24"/>
        </w:rPr>
        <w:t>Dirbtuvės, Kęstučio g. 37, Prienai;</w:t>
      </w:r>
    </w:p>
    <w:p w:rsidR="00540E15" w:rsidRDefault="00540E15" w:rsidP="001236CF">
      <w:pPr>
        <w:pStyle w:val="ListParagraph"/>
        <w:numPr>
          <w:ilvl w:val="1"/>
          <w:numId w:val="1"/>
        </w:numPr>
        <w:spacing w:after="0" w:line="276" w:lineRule="auto"/>
        <w:jc w:val="both"/>
        <w:rPr>
          <w:rFonts w:ascii="Times New Roman" w:hAnsi="Times New Roman" w:cs="Times New Roman"/>
          <w:sz w:val="24"/>
        </w:rPr>
      </w:pPr>
      <w:r>
        <w:rPr>
          <w:rFonts w:ascii="Times New Roman" w:hAnsi="Times New Roman" w:cs="Times New Roman"/>
          <w:sz w:val="24"/>
        </w:rPr>
        <w:t>Sandėlis Nr. 25, Birutės g. 9b, Prienai;</w:t>
      </w:r>
    </w:p>
    <w:p w:rsidR="00540E15" w:rsidRDefault="00540E15" w:rsidP="001236CF">
      <w:pPr>
        <w:pStyle w:val="ListParagraph"/>
        <w:numPr>
          <w:ilvl w:val="1"/>
          <w:numId w:val="1"/>
        </w:numPr>
        <w:spacing w:after="0" w:line="276" w:lineRule="auto"/>
        <w:jc w:val="both"/>
        <w:rPr>
          <w:rFonts w:ascii="Times New Roman" w:hAnsi="Times New Roman" w:cs="Times New Roman"/>
          <w:sz w:val="24"/>
        </w:rPr>
      </w:pPr>
      <w:r>
        <w:rPr>
          <w:rFonts w:ascii="Times New Roman" w:hAnsi="Times New Roman" w:cs="Times New Roman"/>
          <w:sz w:val="24"/>
        </w:rPr>
        <w:t>Sandėlis Nr. 26, Birutės 9a, Prienai;</w:t>
      </w:r>
    </w:p>
    <w:p w:rsidR="00540E15" w:rsidRDefault="00540E15" w:rsidP="001236CF">
      <w:pPr>
        <w:pStyle w:val="ListParagraph"/>
        <w:numPr>
          <w:ilvl w:val="1"/>
          <w:numId w:val="1"/>
        </w:numPr>
        <w:spacing w:after="0" w:line="276" w:lineRule="auto"/>
        <w:jc w:val="both"/>
        <w:rPr>
          <w:rFonts w:ascii="Times New Roman" w:hAnsi="Times New Roman" w:cs="Times New Roman"/>
          <w:sz w:val="24"/>
        </w:rPr>
      </w:pPr>
      <w:r>
        <w:rPr>
          <w:rFonts w:ascii="Times New Roman" w:hAnsi="Times New Roman" w:cs="Times New Roman"/>
          <w:sz w:val="24"/>
        </w:rPr>
        <w:t>Kapinių sargo namelis;</w:t>
      </w:r>
    </w:p>
    <w:p w:rsidR="00540E15" w:rsidRDefault="00540E15" w:rsidP="001236CF">
      <w:pPr>
        <w:pStyle w:val="ListParagraph"/>
        <w:numPr>
          <w:ilvl w:val="1"/>
          <w:numId w:val="1"/>
        </w:numPr>
        <w:spacing w:after="0" w:line="276" w:lineRule="auto"/>
        <w:jc w:val="both"/>
        <w:rPr>
          <w:rFonts w:ascii="Times New Roman" w:hAnsi="Times New Roman" w:cs="Times New Roman"/>
          <w:sz w:val="24"/>
        </w:rPr>
      </w:pPr>
      <w:r>
        <w:rPr>
          <w:rFonts w:ascii="Times New Roman" w:hAnsi="Times New Roman" w:cs="Times New Roman"/>
          <w:sz w:val="24"/>
        </w:rPr>
        <w:t>Autobusų stotis su priklausiniais, Vytauto g. 11, Prienai;</w:t>
      </w:r>
    </w:p>
    <w:p w:rsidR="00540E15" w:rsidRDefault="00540E15" w:rsidP="001236CF">
      <w:pPr>
        <w:pStyle w:val="ListParagraph"/>
        <w:numPr>
          <w:ilvl w:val="1"/>
          <w:numId w:val="1"/>
        </w:numPr>
        <w:spacing w:after="0" w:line="276" w:lineRule="auto"/>
        <w:jc w:val="both"/>
        <w:rPr>
          <w:rFonts w:ascii="Times New Roman" w:hAnsi="Times New Roman" w:cs="Times New Roman"/>
          <w:sz w:val="24"/>
        </w:rPr>
      </w:pPr>
      <w:r>
        <w:rPr>
          <w:rFonts w:ascii="Times New Roman" w:hAnsi="Times New Roman" w:cs="Times New Roman"/>
          <w:sz w:val="24"/>
        </w:rPr>
        <w:t xml:space="preserve">Pastatas – sandėlis, Kęstučio g. 87, Prienai. </w:t>
      </w:r>
    </w:p>
    <w:p w:rsidR="00540E15" w:rsidRDefault="00540E15" w:rsidP="001236CF">
      <w:pPr>
        <w:pStyle w:val="ListParagraph"/>
        <w:numPr>
          <w:ilvl w:val="0"/>
          <w:numId w:val="1"/>
        </w:numPr>
        <w:spacing w:after="0" w:line="276" w:lineRule="auto"/>
        <w:jc w:val="both"/>
        <w:rPr>
          <w:rFonts w:ascii="Times New Roman" w:hAnsi="Times New Roman" w:cs="Times New Roman"/>
          <w:sz w:val="24"/>
        </w:rPr>
      </w:pPr>
      <w:r>
        <w:rPr>
          <w:rFonts w:ascii="Times New Roman" w:hAnsi="Times New Roman" w:cs="Times New Roman"/>
          <w:sz w:val="24"/>
        </w:rPr>
        <w:t>Transporto priemonės:</w:t>
      </w:r>
    </w:p>
    <w:p w:rsidR="00540E15" w:rsidRDefault="00540E15" w:rsidP="001236CF">
      <w:pPr>
        <w:pStyle w:val="ListParagraph"/>
        <w:numPr>
          <w:ilvl w:val="1"/>
          <w:numId w:val="1"/>
        </w:numPr>
        <w:spacing w:after="0" w:line="276" w:lineRule="auto"/>
        <w:jc w:val="both"/>
        <w:rPr>
          <w:rFonts w:ascii="Times New Roman" w:hAnsi="Times New Roman" w:cs="Times New Roman"/>
          <w:sz w:val="24"/>
        </w:rPr>
      </w:pPr>
      <w:r>
        <w:rPr>
          <w:rFonts w:ascii="Times New Roman" w:hAnsi="Times New Roman" w:cs="Times New Roman"/>
          <w:sz w:val="24"/>
        </w:rPr>
        <w:t>Lengvieji automobiliai – 2 vnt.;</w:t>
      </w:r>
    </w:p>
    <w:p w:rsidR="00540E15" w:rsidRDefault="00540E15" w:rsidP="001236CF">
      <w:pPr>
        <w:pStyle w:val="ListParagraph"/>
        <w:numPr>
          <w:ilvl w:val="1"/>
          <w:numId w:val="1"/>
        </w:numPr>
        <w:spacing w:after="0" w:line="276" w:lineRule="auto"/>
        <w:jc w:val="both"/>
        <w:rPr>
          <w:rFonts w:ascii="Times New Roman" w:hAnsi="Times New Roman" w:cs="Times New Roman"/>
          <w:sz w:val="24"/>
        </w:rPr>
      </w:pPr>
      <w:r>
        <w:rPr>
          <w:rFonts w:ascii="Times New Roman" w:hAnsi="Times New Roman" w:cs="Times New Roman"/>
          <w:sz w:val="24"/>
        </w:rPr>
        <w:t>Krovininiai automobiliai – 3 vnt.;</w:t>
      </w:r>
    </w:p>
    <w:p w:rsidR="00540E15" w:rsidRDefault="008F3744" w:rsidP="001236CF">
      <w:pPr>
        <w:pStyle w:val="ListParagraph"/>
        <w:numPr>
          <w:ilvl w:val="1"/>
          <w:numId w:val="1"/>
        </w:numPr>
        <w:spacing w:after="0" w:line="276" w:lineRule="auto"/>
        <w:jc w:val="both"/>
        <w:rPr>
          <w:rFonts w:ascii="Times New Roman" w:hAnsi="Times New Roman" w:cs="Times New Roman"/>
          <w:sz w:val="24"/>
        </w:rPr>
      </w:pPr>
      <w:r>
        <w:rPr>
          <w:rFonts w:ascii="Times New Roman" w:hAnsi="Times New Roman" w:cs="Times New Roman"/>
          <w:sz w:val="24"/>
        </w:rPr>
        <w:t>Spec. t</w:t>
      </w:r>
      <w:r w:rsidR="00540E15">
        <w:rPr>
          <w:rFonts w:ascii="Times New Roman" w:hAnsi="Times New Roman" w:cs="Times New Roman"/>
          <w:sz w:val="24"/>
        </w:rPr>
        <w:t>ransportas – 2 vnt.;</w:t>
      </w:r>
    </w:p>
    <w:p w:rsidR="00540E15" w:rsidRDefault="00540E15" w:rsidP="001236CF">
      <w:pPr>
        <w:pStyle w:val="ListParagraph"/>
        <w:numPr>
          <w:ilvl w:val="1"/>
          <w:numId w:val="1"/>
        </w:numPr>
        <w:spacing w:after="0" w:line="276" w:lineRule="auto"/>
        <w:jc w:val="both"/>
        <w:rPr>
          <w:rFonts w:ascii="Times New Roman" w:hAnsi="Times New Roman" w:cs="Times New Roman"/>
          <w:sz w:val="24"/>
        </w:rPr>
      </w:pPr>
      <w:r>
        <w:rPr>
          <w:rFonts w:ascii="Times New Roman" w:hAnsi="Times New Roman" w:cs="Times New Roman"/>
          <w:sz w:val="24"/>
        </w:rPr>
        <w:t>Traktoria</w:t>
      </w:r>
      <w:r w:rsidR="00DD3B5C">
        <w:rPr>
          <w:rFonts w:ascii="Times New Roman" w:hAnsi="Times New Roman" w:cs="Times New Roman"/>
          <w:sz w:val="24"/>
        </w:rPr>
        <w:t>i ir kitos savaeigės mašinos – 6</w:t>
      </w:r>
      <w:r>
        <w:rPr>
          <w:rFonts w:ascii="Times New Roman" w:hAnsi="Times New Roman" w:cs="Times New Roman"/>
          <w:sz w:val="24"/>
        </w:rPr>
        <w:t xml:space="preserve"> vnt.</w:t>
      </w:r>
    </w:p>
    <w:p w:rsidR="00D36A6C" w:rsidRDefault="00D36A6C" w:rsidP="001236CF">
      <w:pPr>
        <w:pStyle w:val="ListParagraph"/>
        <w:numPr>
          <w:ilvl w:val="0"/>
          <w:numId w:val="1"/>
        </w:numPr>
        <w:spacing w:after="0" w:line="276" w:lineRule="auto"/>
        <w:jc w:val="both"/>
        <w:rPr>
          <w:rFonts w:ascii="Times New Roman" w:hAnsi="Times New Roman" w:cs="Times New Roman"/>
          <w:sz w:val="24"/>
        </w:rPr>
      </w:pPr>
      <w:r>
        <w:rPr>
          <w:rFonts w:ascii="Times New Roman" w:hAnsi="Times New Roman" w:cs="Times New Roman"/>
          <w:sz w:val="24"/>
        </w:rPr>
        <w:t>Įrengimai ir inventorius (staklės, kompresoriai, stote</w:t>
      </w:r>
      <w:r w:rsidR="00DD3B5C">
        <w:rPr>
          <w:rFonts w:ascii="Times New Roman" w:hAnsi="Times New Roman" w:cs="Times New Roman"/>
          <w:sz w:val="24"/>
        </w:rPr>
        <w:t>lės, biuro technika ir kt.) – 96</w:t>
      </w:r>
      <w:r>
        <w:rPr>
          <w:rFonts w:ascii="Times New Roman" w:hAnsi="Times New Roman" w:cs="Times New Roman"/>
          <w:sz w:val="24"/>
        </w:rPr>
        <w:t xml:space="preserve"> vnt.;</w:t>
      </w:r>
    </w:p>
    <w:p w:rsidR="00540E15" w:rsidRDefault="00540E15" w:rsidP="001236CF">
      <w:pPr>
        <w:spacing w:after="0" w:line="276" w:lineRule="auto"/>
        <w:ind w:left="567"/>
        <w:jc w:val="both"/>
        <w:rPr>
          <w:rFonts w:ascii="Times New Roman" w:hAnsi="Times New Roman" w:cs="Times New Roman"/>
          <w:sz w:val="24"/>
        </w:rPr>
      </w:pPr>
      <w:r>
        <w:rPr>
          <w:rFonts w:ascii="Times New Roman" w:hAnsi="Times New Roman" w:cs="Times New Roman"/>
          <w:sz w:val="24"/>
        </w:rPr>
        <w:t>Nematerialų turtą sudaro:</w:t>
      </w:r>
    </w:p>
    <w:p w:rsidR="00D36A6C" w:rsidRDefault="00DD3B5C" w:rsidP="001236CF">
      <w:pPr>
        <w:pStyle w:val="ListParagraph"/>
        <w:numPr>
          <w:ilvl w:val="0"/>
          <w:numId w:val="1"/>
        </w:numPr>
        <w:spacing w:after="0" w:line="276" w:lineRule="auto"/>
        <w:jc w:val="both"/>
        <w:rPr>
          <w:rFonts w:ascii="Times New Roman" w:hAnsi="Times New Roman" w:cs="Times New Roman"/>
          <w:sz w:val="24"/>
        </w:rPr>
      </w:pPr>
      <w:r>
        <w:rPr>
          <w:rFonts w:ascii="Times New Roman" w:hAnsi="Times New Roman" w:cs="Times New Roman"/>
          <w:sz w:val="24"/>
        </w:rPr>
        <w:t>Programinė įranga – 4</w:t>
      </w:r>
      <w:r w:rsidR="00D36A6C">
        <w:rPr>
          <w:rFonts w:ascii="Times New Roman" w:hAnsi="Times New Roman" w:cs="Times New Roman"/>
          <w:sz w:val="24"/>
        </w:rPr>
        <w:t xml:space="preserve"> vnt.</w:t>
      </w:r>
    </w:p>
    <w:p w:rsidR="001C4D3C" w:rsidRDefault="001C4D3C" w:rsidP="001236CF">
      <w:pPr>
        <w:pStyle w:val="ListParagraph"/>
        <w:spacing w:after="0" w:line="276" w:lineRule="auto"/>
        <w:ind w:left="927"/>
        <w:jc w:val="both"/>
        <w:rPr>
          <w:rFonts w:ascii="Times New Roman" w:hAnsi="Times New Roman" w:cs="Times New Roman"/>
          <w:sz w:val="24"/>
        </w:rPr>
      </w:pPr>
    </w:p>
    <w:p w:rsidR="001C4D3C" w:rsidRDefault="001C4D3C" w:rsidP="001236CF">
      <w:pPr>
        <w:spacing w:after="0" w:line="276" w:lineRule="auto"/>
        <w:ind w:firstLine="567"/>
        <w:jc w:val="both"/>
        <w:rPr>
          <w:rFonts w:ascii="Times New Roman" w:hAnsi="Times New Roman" w:cs="Times New Roman"/>
          <w:sz w:val="24"/>
        </w:rPr>
      </w:pPr>
      <w:r>
        <w:rPr>
          <w:rFonts w:ascii="Times New Roman" w:hAnsi="Times New Roman" w:cs="Times New Roman"/>
          <w:sz w:val="24"/>
        </w:rPr>
        <w:t>Per 201</w:t>
      </w:r>
      <w:r w:rsidR="00DD3B5C">
        <w:rPr>
          <w:rFonts w:ascii="Times New Roman" w:hAnsi="Times New Roman" w:cs="Times New Roman"/>
          <w:sz w:val="24"/>
        </w:rPr>
        <w:t>5</w:t>
      </w:r>
      <w:r>
        <w:rPr>
          <w:rFonts w:ascii="Times New Roman" w:hAnsi="Times New Roman" w:cs="Times New Roman"/>
          <w:sz w:val="24"/>
        </w:rPr>
        <w:t xml:space="preserve"> m. bendrovė įsigijo ilgalaikio turto:</w:t>
      </w:r>
    </w:p>
    <w:p w:rsidR="001C4D3C" w:rsidRDefault="00DD3B5C" w:rsidP="001236CF">
      <w:pPr>
        <w:pStyle w:val="ListParagraph"/>
        <w:numPr>
          <w:ilvl w:val="0"/>
          <w:numId w:val="1"/>
        </w:numPr>
        <w:spacing w:after="0" w:line="276" w:lineRule="auto"/>
        <w:jc w:val="both"/>
        <w:rPr>
          <w:rFonts w:ascii="Times New Roman" w:hAnsi="Times New Roman" w:cs="Times New Roman"/>
          <w:sz w:val="24"/>
        </w:rPr>
      </w:pPr>
      <w:r>
        <w:rPr>
          <w:rFonts w:ascii="Times New Roman" w:hAnsi="Times New Roman" w:cs="Times New Roman"/>
          <w:sz w:val="24"/>
        </w:rPr>
        <w:t xml:space="preserve">Savaeigės </w:t>
      </w:r>
      <w:r w:rsidR="00382F1B">
        <w:rPr>
          <w:rFonts w:ascii="Times New Roman" w:hAnsi="Times New Roman" w:cs="Times New Roman"/>
          <w:sz w:val="24"/>
        </w:rPr>
        <w:t xml:space="preserve">žolės pjovimo </w:t>
      </w:r>
      <w:r>
        <w:rPr>
          <w:rFonts w:ascii="Times New Roman" w:hAnsi="Times New Roman" w:cs="Times New Roman"/>
          <w:sz w:val="24"/>
        </w:rPr>
        <w:t>mašinos</w:t>
      </w:r>
      <w:r w:rsidR="001C4D3C" w:rsidRPr="001C4D3C">
        <w:rPr>
          <w:rFonts w:ascii="Times New Roman" w:hAnsi="Times New Roman" w:cs="Times New Roman"/>
          <w:sz w:val="24"/>
        </w:rPr>
        <w:t xml:space="preserve"> – </w:t>
      </w:r>
      <w:r>
        <w:rPr>
          <w:rFonts w:ascii="Times New Roman" w:hAnsi="Times New Roman" w:cs="Times New Roman"/>
          <w:sz w:val="24"/>
        </w:rPr>
        <w:t>15.236 EUR.</w:t>
      </w:r>
      <w:r w:rsidR="001C4D3C" w:rsidRPr="001C4D3C">
        <w:rPr>
          <w:rFonts w:ascii="Times New Roman" w:hAnsi="Times New Roman" w:cs="Times New Roman"/>
          <w:sz w:val="24"/>
        </w:rPr>
        <w:t xml:space="preserve"> </w:t>
      </w:r>
    </w:p>
    <w:p w:rsidR="00DD3B5C" w:rsidRDefault="00DD3B5C" w:rsidP="001236CF">
      <w:pPr>
        <w:pStyle w:val="ListParagraph"/>
        <w:numPr>
          <w:ilvl w:val="0"/>
          <w:numId w:val="1"/>
        </w:numPr>
        <w:spacing w:after="0" w:line="276" w:lineRule="auto"/>
        <w:jc w:val="both"/>
        <w:rPr>
          <w:rFonts w:ascii="Times New Roman" w:hAnsi="Times New Roman" w:cs="Times New Roman"/>
          <w:sz w:val="24"/>
        </w:rPr>
      </w:pPr>
      <w:r>
        <w:rPr>
          <w:rFonts w:ascii="Times New Roman" w:hAnsi="Times New Roman" w:cs="Times New Roman"/>
          <w:sz w:val="24"/>
        </w:rPr>
        <w:t xml:space="preserve">Programinė įranga – 800 EUR. </w:t>
      </w:r>
    </w:p>
    <w:p w:rsidR="00DD3B5C" w:rsidRDefault="00DD3B5C" w:rsidP="00DD3B5C">
      <w:pPr>
        <w:spacing w:after="0" w:line="276" w:lineRule="auto"/>
        <w:jc w:val="both"/>
        <w:rPr>
          <w:rFonts w:ascii="Times New Roman" w:hAnsi="Times New Roman" w:cs="Times New Roman"/>
          <w:sz w:val="24"/>
        </w:rPr>
      </w:pPr>
    </w:p>
    <w:p w:rsidR="00DD3B5C" w:rsidRDefault="00DD3B5C" w:rsidP="00DD3B5C">
      <w:pPr>
        <w:spacing w:after="0" w:line="276" w:lineRule="auto"/>
        <w:jc w:val="center"/>
        <w:rPr>
          <w:rFonts w:ascii="Times New Roman" w:hAnsi="Times New Roman" w:cs="Times New Roman"/>
          <w:b/>
          <w:sz w:val="24"/>
        </w:rPr>
      </w:pPr>
      <w:r w:rsidRPr="00DD3B5C">
        <w:rPr>
          <w:rFonts w:ascii="Times New Roman" w:hAnsi="Times New Roman" w:cs="Times New Roman"/>
          <w:b/>
          <w:sz w:val="24"/>
        </w:rPr>
        <w:t xml:space="preserve">6.3. </w:t>
      </w:r>
      <w:r>
        <w:rPr>
          <w:rFonts w:ascii="Times New Roman" w:hAnsi="Times New Roman" w:cs="Times New Roman"/>
          <w:b/>
          <w:sz w:val="24"/>
        </w:rPr>
        <w:t>ĮMONĖS TEIKIAMOS PASLAUGOS</w:t>
      </w:r>
    </w:p>
    <w:p w:rsidR="00DD3B5C" w:rsidRDefault="00DD3B5C" w:rsidP="00DD3B5C">
      <w:pPr>
        <w:spacing w:after="0" w:line="276" w:lineRule="auto"/>
        <w:jc w:val="center"/>
        <w:rPr>
          <w:rFonts w:ascii="Times New Roman" w:hAnsi="Times New Roman" w:cs="Times New Roman"/>
          <w:b/>
          <w:sz w:val="24"/>
        </w:rPr>
      </w:pPr>
    </w:p>
    <w:p w:rsidR="00B40647" w:rsidRPr="00B40647" w:rsidRDefault="00DD3B5C" w:rsidP="00DD3B5C">
      <w:pPr>
        <w:spacing w:after="0" w:line="276" w:lineRule="auto"/>
        <w:jc w:val="center"/>
        <w:rPr>
          <w:rFonts w:ascii="Times New Roman" w:hAnsi="Times New Roman" w:cs="Times New Roman"/>
          <w:b/>
          <w:sz w:val="24"/>
        </w:rPr>
      </w:pPr>
      <w:r>
        <w:rPr>
          <w:rFonts w:ascii="Times New Roman" w:hAnsi="Times New Roman" w:cs="Times New Roman"/>
          <w:b/>
          <w:sz w:val="24"/>
        </w:rPr>
        <w:t xml:space="preserve">6.3.1. </w:t>
      </w:r>
      <w:r w:rsidR="00B40647" w:rsidRPr="00B40647">
        <w:rPr>
          <w:rFonts w:ascii="Times New Roman" w:hAnsi="Times New Roman" w:cs="Times New Roman"/>
          <w:b/>
          <w:sz w:val="24"/>
        </w:rPr>
        <w:t>DAUGIAB</w:t>
      </w:r>
      <w:r w:rsidR="00E17F2C">
        <w:rPr>
          <w:rFonts w:ascii="Times New Roman" w:hAnsi="Times New Roman" w:cs="Times New Roman"/>
          <w:b/>
          <w:sz w:val="24"/>
        </w:rPr>
        <w:t>UČIŲ NAMŲ ADMINISTRAVIMAS</w:t>
      </w:r>
    </w:p>
    <w:p w:rsidR="00B40647" w:rsidRDefault="00B40647" w:rsidP="00B40647">
      <w:pPr>
        <w:spacing w:after="0"/>
        <w:ind w:firstLine="567"/>
        <w:jc w:val="center"/>
        <w:rPr>
          <w:rFonts w:ascii="Times New Roman" w:hAnsi="Times New Roman" w:cs="Times New Roman"/>
          <w:sz w:val="24"/>
        </w:rPr>
      </w:pPr>
    </w:p>
    <w:p w:rsidR="00E17F2C" w:rsidRDefault="00E17F2C" w:rsidP="00690580">
      <w:pPr>
        <w:spacing w:after="0" w:line="276" w:lineRule="auto"/>
        <w:ind w:firstLine="567"/>
        <w:jc w:val="both"/>
        <w:rPr>
          <w:rFonts w:ascii="Times New Roman" w:hAnsi="Times New Roman" w:cs="Times New Roman"/>
          <w:sz w:val="24"/>
        </w:rPr>
      </w:pPr>
      <w:r>
        <w:rPr>
          <w:rFonts w:ascii="Times New Roman" w:hAnsi="Times New Roman" w:cs="Times New Roman"/>
          <w:sz w:val="24"/>
        </w:rPr>
        <w:t>Bendrovė DGN administravimą vykdo vadovaujantis Lietuvos Respublikos Vyriausybės 2001-05-23 nutarim</w:t>
      </w:r>
      <w:r w:rsidR="00690580">
        <w:rPr>
          <w:rFonts w:ascii="Times New Roman" w:hAnsi="Times New Roman" w:cs="Times New Roman"/>
          <w:sz w:val="24"/>
        </w:rPr>
        <w:t>u</w:t>
      </w:r>
      <w:r>
        <w:rPr>
          <w:rFonts w:ascii="Times New Roman" w:hAnsi="Times New Roman" w:cs="Times New Roman"/>
          <w:sz w:val="24"/>
        </w:rPr>
        <w:t xml:space="preserve"> Nr. 603 „Butų ir kitų patalpų savininkų bendrosios nuosavybės administravimo pavyzdiniai nuostatai“</w:t>
      </w:r>
      <w:r w:rsidR="00690580">
        <w:rPr>
          <w:rFonts w:ascii="Times New Roman" w:hAnsi="Times New Roman" w:cs="Times New Roman"/>
          <w:sz w:val="24"/>
        </w:rPr>
        <w:t>, kitais Lietuvos Respublikos teisės aktais</w:t>
      </w:r>
      <w:r>
        <w:rPr>
          <w:rFonts w:ascii="Times New Roman" w:hAnsi="Times New Roman" w:cs="Times New Roman"/>
          <w:sz w:val="24"/>
        </w:rPr>
        <w:t xml:space="preserve"> ir 2015-11-26 Prienų rajono savivaldybės tarybos sprendimu Nr. T3-239 „Dėl daugiabučių namų butų ir kitų patalpų bendrojo naudojimo objektų administravimo ir techninės priežiūros tarifų nustatymo“</w:t>
      </w:r>
      <w:r w:rsidR="00690580">
        <w:rPr>
          <w:rFonts w:ascii="Times New Roman" w:hAnsi="Times New Roman" w:cs="Times New Roman"/>
          <w:sz w:val="24"/>
        </w:rPr>
        <w:t>.</w:t>
      </w:r>
      <w:r>
        <w:rPr>
          <w:rFonts w:ascii="Times New Roman" w:hAnsi="Times New Roman" w:cs="Times New Roman"/>
          <w:sz w:val="24"/>
        </w:rPr>
        <w:t xml:space="preserve"> </w:t>
      </w:r>
    </w:p>
    <w:p w:rsidR="006722AA" w:rsidRPr="003C7D9E" w:rsidRDefault="006722AA" w:rsidP="006722AA">
      <w:pPr>
        <w:spacing w:after="0"/>
        <w:ind w:firstLine="567"/>
        <w:jc w:val="both"/>
        <w:rPr>
          <w:rFonts w:ascii="Times New Roman" w:hAnsi="Times New Roman" w:cs="Times New Roman"/>
          <w:sz w:val="24"/>
        </w:rPr>
      </w:pPr>
      <w:r w:rsidRPr="003C7D9E">
        <w:rPr>
          <w:rFonts w:ascii="Times New Roman" w:hAnsi="Times New Roman" w:cs="Times New Roman"/>
          <w:sz w:val="24"/>
        </w:rPr>
        <w:lastRenderedPageBreak/>
        <w:t>Bendrovė kaip daugiabučių namų administratorius vykdo šias funkcijas:</w:t>
      </w:r>
    </w:p>
    <w:p w:rsidR="006722AA" w:rsidRDefault="006722AA" w:rsidP="006722AA">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Įgyvendina LR įstatymais ir kitais teisės aktais nustatytus privalomuosius reikalavimus, susijusius su namo bendrojo naudojimo objektų ir priskirto žemės sklypo priežiūra;</w:t>
      </w:r>
    </w:p>
    <w:p w:rsidR="006722AA" w:rsidRDefault="006722AA" w:rsidP="006722AA">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 xml:space="preserve"> Tvarko namo butų ir kitų patalpų savininkų apskaitos duomenis;</w:t>
      </w:r>
    </w:p>
    <w:p w:rsidR="006722AA" w:rsidRDefault="006722AA" w:rsidP="006722AA">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 xml:space="preserve"> Sudaro namo bendrojo naudojimo objektų aprašą, prireikus jį papildo arba pakeičia. Aprašas yra pateikiamas savivaldybės administracijos direktoriui, o aprašo kopija butų ir kitų patalpų savininkams. Namo bendro naudojimo objektų aprašas sudaromas pagal aplinkos ministro patvirtintą pavyzdinę formą;</w:t>
      </w:r>
    </w:p>
    <w:p w:rsidR="006722AA" w:rsidRDefault="006722AA" w:rsidP="006722AA">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 xml:space="preserve"> Vadovaujantis statybos techniniais reglamentais ir kitais teisės aktais, organizuoja techninę priežiūrą, namo bendro naudojimo objektų atnaujinimą, avarijų lokalizavimą ir likvidavimą, tvarko žemės sklypą, jei jis yra priskirtas ir, teisės aktų nustatyta tvarka, įteisintas;</w:t>
      </w:r>
    </w:p>
    <w:p w:rsidR="006722AA" w:rsidRDefault="006722AA" w:rsidP="006722AA">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 xml:space="preserve"> Rengia namo metinius ir ilgalaikius planus;</w:t>
      </w:r>
    </w:p>
    <w:p w:rsidR="006722AA" w:rsidRDefault="006722AA" w:rsidP="006722AA">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 xml:space="preserve"> Vadovaudamasis darbų planais ir kitais dokumentais rengia pasiūlymus dėl lėšų kaupimo bendro naudojimo objektams atnaujinti. Sukauptos lėšos, namo bendro naudojimo objektams atnaujinti, turi būti laikomos atskiroje, nuo administratoriaus lėšų, banko sąskaitoje;</w:t>
      </w:r>
    </w:p>
    <w:p w:rsidR="006722AA" w:rsidRDefault="006722AA" w:rsidP="006722AA">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 xml:space="preserve"> Organizuoja namo bendro naudojimo objektų atnaujinimo darbų ir kitų paslaugų pirkimą. Pirkimo komisija kviečia dalyvauti namo butų ir kitų patalpų savininkų išrinktą atstovą; </w:t>
      </w:r>
    </w:p>
    <w:p w:rsidR="006722AA" w:rsidRDefault="006722AA" w:rsidP="006722AA">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Butų ir kitų patalpų savininkams pasirinkus namo šildymo ir karšto vandens sistemų prižiūrėtoją (jei prižiūrėtojas ne namo administratorius) pasirašo su juo sutartį ir vykdo kontrolę;</w:t>
      </w:r>
    </w:p>
    <w:p w:rsidR="006722AA" w:rsidRDefault="006722AA" w:rsidP="006722AA">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 xml:space="preserve"> Apskaičiuoja mėnesinius mokesčius ir mėnesines įmokas, tvarko mokesčių ir įmokų apskaitą;</w:t>
      </w:r>
    </w:p>
    <w:p w:rsidR="006722AA" w:rsidRDefault="006722AA" w:rsidP="006722AA">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 xml:space="preserve"> Dalyvauja viešai aptariant patalpų keitimo paskirtį (iš gyvenamų patalpų į negyvenamas ar atvirkščiai);</w:t>
      </w:r>
    </w:p>
    <w:p w:rsidR="006722AA" w:rsidRDefault="006722AA" w:rsidP="006722AA">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 xml:space="preserve"> Šaukia butų ir kitų patalpų savininkų susirinkimus, savo ar gyventojų iniciatyva;</w:t>
      </w:r>
    </w:p>
    <w:p w:rsidR="006722AA" w:rsidRDefault="006722AA" w:rsidP="006722AA">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 xml:space="preserve"> Reiškia su namo bendro naudojimo objektais susijusius ieškinius, dalyvauja teismuose;</w:t>
      </w:r>
    </w:p>
    <w:p w:rsidR="006722AA" w:rsidRDefault="006722AA" w:rsidP="006722AA">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 xml:space="preserve"> Pasibaigus kalendoriniams metams, ne vėliau kaip per 3 mėnesius, pateikia namo gyventojams metinę veiklos ataskaitą.</w:t>
      </w:r>
    </w:p>
    <w:p w:rsidR="006722AA" w:rsidRDefault="006722AA" w:rsidP="006722AA">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 xml:space="preserve"> Atlieka kitas funkcijas nustatytas teisės aktais. </w:t>
      </w:r>
    </w:p>
    <w:p w:rsidR="004A267C" w:rsidRPr="004A267C" w:rsidRDefault="004A267C" w:rsidP="004A267C">
      <w:pPr>
        <w:tabs>
          <w:tab w:val="left" w:pos="709"/>
        </w:tabs>
        <w:spacing w:after="0"/>
        <w:jc w:val="both"/>
        <w:rPr>
          <w:rFonts w:ascii="Times New Roman" w:hAnsi="Times New Roman" w:cs="Times New Roman"/>
          <w:sz w:val="24"/>
        </w:rPr>
      </w:pPr>
    </w:p>
    <w:p w:rsidR="00690580" w:rsidRDefault="004A267C" w:rsidP="00690580">
      <w:pPr>
        <w:spacing w:after="0"/>
        <w:ind w:firstLine="567"/>
        <w:jc w:val="both"/>
        <w:rPr>
          <w:rFonts w:ascii="Times New Roman" w:hAnsi="Times New Roman" w:cs="Times New Roman"/>
          <w:sz w:val="24"/>
        </w:rPr>
      </w:pPr>
      <w:r>
        <w:rPr>
          <w:rFonts w:ascii="Times New Roman" w:hAnsi="Times New Roman" w:cs="Times New Roman"/>
          <w:sz w:val="24"/>
        </w:rPr>
        <w:t>Per 2015 metus buvo suorganizuota 70 susirinkimų ir balsavimų raštu daugiabučių namų, esančių Prienų rajono ir Birštono savivaldybė</w:t>
      </w:r>
      <w:r w:rsidR="007C3B2F">
        <w:rPr>
          <w:rFonts w:ascii="Times New Roman" w:hAnsi="Times New Roman" w:cs="Times New Roman"/>
          <w:sz w:val="24"/>
        </w:rPr>
        <w:t>s</w:t>
      </w:r>
      <w:r>
        <w:rPr>
          <w:rFonts w:ascii="Times New Roman" w:hAnsi="Times New Roman" w:cs="Times New Roman"/>
          <w:sz w:val="24"/>
        </w:rPr>
        <w:t>e.</w:t>
      </w:r>
    </w:p>
    <w:p w:rsidR="00690580" w:rsidRDefault="00690580" w:rsidP="00690580">
      <w:pPr>
        <w:spacing w:after="0"/>
        <w:ind w:firstLine="567"/>
        <w:jc w:val="both"/>
        <w:rPr>
          <w:rFonts w:ascii="Times New Roman" w:hAnsi="Times New Roman" w:cs="Times New Roman"/>
          <w:sz w:val="24"/>
        </w:rPr>
      </w:pPr>
      <w:r w:rsidRPr="00690580">
        <w:rPr>
          <w:rFonts w:ascii="Times New Roman" w:hAnsi="Times New Roman" w:cs="Times New Roman"/>
          <w:sz w:val="24"/>
        </w:rPr>
        <w:t xml:space="preserve">2015 m. bendrovė administravo ir vykdė priežiūrą 200 daugiabučių namų, esančių Prienų mieste, Prienų rajone ir Birštono mieste, iš jų 12 daugiabučių namų bendrijos. Šių namų butų skaičius yra 3429. </w:t>
      </w:r>
    </w:p>
    <w:p w:rsidR="00690580" w:rsidRDefault="00690580" w:rsidP="00690580">
      <w:pPr>
        <w:spacing w:after="0"/>
        <w:ind w:firstLine="567"/>
        <w:jc w:val="both"/>
        <w:rPr>
          <w:rFonts w:ascii="Times New Roman" w:hAnsi="Times New Roman" w:cs="Times New Roman"/>
          <w:sz w:val="24"/>
        </w:rPr>
      </w:pPr>
    </w:p>
    <w:p w:rsidR="00690580" w:rsidRPr="00690580" w:rsidRDefault="00690580" w:rsidP="00690580">
      <w:pPr>
        <w:spacing w:after="0"/>
        <w:ind w:firstLine="567"/>
        <w:jc w:val="both"/>
        <w:rPr>
          <w:rFonts w:ascii="Times New Roman" w:hAnsi="Times New Roman" w:cs="Times New Roman"/>
          <w:sz w:val="24"/>
        </w:rPr>
      </w:pPr>
      <w:r>
        <w:rPr>
          <w:noProof/>
          <w:lang w:eastAsia="lt-LT"/>
        </w:rPr>
        <w:drawing>
          <wp:inline distT="0" distB="0" distL="0" distR="0">
            <wp:extent cx="5362575" cy="2457450"/>
            <wp:effectExtent l="0" t="0" r="0" b="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722AA" w:rsidRPr="00690580" w:rsidRDefault="00690580" w:rsidP="00690580">
      <w:pPr>
        <w:pStyle w:val="ListParagraph"/>
        <w:tabs>
          <w:tab w:val="left" w:pos="709"/>
        </w:tabs>
        <w:spacing w:after="0"/>
        <w:ind w:left="567" w:hanging="567"/>
        <w:jc w:val="center"/>
        <w:rPr>
          <w:rFonts w:ascii="Times New Roman" w:hAnsi="Times New Roman" w:cs="Times New Roman"/>
          <w:b/>
          <w:sz w:val="24"/>
        </w:rPr>
      </w:pPr>
      <w:r w:rsidRPr="00690580">
        <w:rPr>
          <w:rFonts w:ascii="Times New Roman" w:hAnsi="Times New Roman" w:cs="Times New Roman"/>
          <w:b/>
          <w:sz w:val="24"/>
        </w:rPr>
        <w:lastRenderedPageBreak/>
        <w:t>6.3.2. DAUGIABUČIŲ NAMŲ TECHNINĖ PRIEŽIŪRA (EKSPLOATAVIMAS)</w:t>
      </w:r>
    </w:p>
    <w:p w:rsidR="006722AA" w:rsidRPr="00690580" w:rsidRDefault="006722AA" w:rsidP="006722AA">
      <w:pPr>
        <w:tabs>
          <w:tab w:val="left" w:pos="709"/>
        </w:tabs>
        <w:spacing w:after="0"/>
        <w:jc w:val="both"/>
        <w:rPr>
          <w:rFonts w:ascii="Times New Roman" w:hAnsi="Times New Roman" w:cs="Times New Roman"/>
          <w:b/>
          <w:sz w:val="24"/>
        </w:rPr>
      </w:pPr>
    </w:p>
    <w:p w:rsidR="006722AA" w:rsidRPr="006722AA" w:rsidRDefault="006722AA" w:rsidP="006722AA">
      <w:pPr>
        <w:tabs>
          <w:tab w:val="left" w:pos="567"/>
          <w:tab w:val="left" w:pos="1276"/>
        </w:tabs>
        <w:spacing w:after="0"/>
        <w:jc w:val="both"/>
        <w:rPr>
          <w:rFonts w:ascii="Times New Roman" w:hAnsi="Times New Roman" w:cs="Times New Roman"/>
          <w:sz w:val="24"/>
        </w:rPr>
      </w:pPr>
      <w:r>
        <w:rPr>
          <w:rFonts w:ascii="Times New Roman" w:hAnsi="Times New Roman" w:cs="Times New Roman"/>
          <w:sz w:val="24"/>
        </w:rPr>
        <w:tab/>
      </w:r>
      <w:r w:rsidRPr="003C7D9E">
        <w:rPr>
          <w:rFonts w:ascii="Times New Roman" w:hAnsi="Times New Roman" w:cs="Times New Roman"/>
          <w:sz w:val="24"/>
        </w:rPr>
        <w:t>Bendrovė kaip namo administratorius vykdydamas namo (išskyrus jo šildymo ir karšto vandens sistemų) techninę priežiūrą</w:t>
      </w:r>
      <w:r w:rsidRPr="006722AA">
        <w:rPr>
          <w:rFonts w:ascii="Times New Roman" w:hAnsi="Times New Roman" w:cs="Times New Roman"/>
          <w:sz w:val="24"/>
        </w:rPr>
        <w:t xml:space="preserve"> vadovaujasi statybos techniniu reglamentu STR 1.12.05:2010 „Privalomieji statinių (gyvenamųjų namų) naudojimo ir priežiūros reikalavimai” ir atlieka šias funkcijas:</w:t>
      </w:r>
    </w:p>
    <w:p w:rsidR="006722AA" w:rsidRDefault="006722AA" w:rsidP="006722AA">
      <w:pPr>
        <w:pStyle w:val="ListParagraph"/>
        <w:numPr>
          <w:ilvl w:val="1"/>
          <w:numId w:val="5"/>
        </w:numPr>
        <w:tabs>
          <w:tab w:val="left" w:pos="709"/>
          <w:tab w:val="left" w:pos="2552"/>
        </w:tabs>
        <w:spacing w:after="0"/>
        <w:ind w:left="0" w:firstLine="567"/>
        <w:jc w:val="both"/>
        <w:rPr>
          <w:rFonts w:ascii="Times New Roman" w:hAnsi="Times New Roman" w:cs="Times New Roman"/>
          <w:sz w:val="24"/>
        </w:rPr>
      </w:pPr>
      <w:r>
        <w:rPr>
          <w:rFonts w:ascii="Times New Roman" w:hAnsi="Times New Roman" w:cs="Times New Roman"/>
          <w:sz w:val="24"/>
        </w:rPr>
        <w:t xml:space="preserve"> Vykdo namo nuolatinius stebėjimus ir juos įformina žurnaluose;</w:t>
      </w:r>
    </w:p>
    <w:p w:rsidR="006722AA" w:rsidRDefault="006722AA" w:rsidP="006722AA">
      <w:pPr>
        <w:pStyle w:val="ListParagraph"/>
        <w:numPr>
          <w:ilvl w:val="1"/>
          <w:numId w:val="5"/>
        </w:numPr>
        <w:tabs>
          <w:tab w:val="left" w:pos="709"/>
          <w:tab w:val="left" w:pos="2552"/>
        </w:tabs>
        <w:spacing w:after="0"/>
        <w:ind w:left="0" w:firstLine="567"/>
        <w:jc w:val="both"/>
        <w:rPr>
          <w:rFonts w:ascii="Times New Roman" w:hAnsi="Times New Roman" w:cs="Times New Roman"/>
          <w:sz w:val="24"/>
        </w:rPr>
      </w:pPr>
      <w:r>
        <w:rPr>
          <w:rFonts w:ascii="Times New Roman" w:hAnsi="Times New Roman" w:cs="Times New Roman"/>
          <w:sz w:val="24"/>
        </w:rPr>
        <w:t xml:space="preserve"> Vykdo kasmetines apžiūras ir surašo aktą. Apžiūras vykdo bendrovės direktoriaus įsakymu sudaryta komisija;</w:t>
      </w:r>
    </w:p>
    <w:p w:rsidR="006722AA" w:rsidRDefault="006722AA" w:rsidP="006722AA">
      <w:pPr>
        <w:pStyle w:val="ListParagraph"/>
        <w:numPr>
          <w:ilvl w:val="1"/>
          <w:numId w:val="5"/>
        </w:numPr>
        <w:tabs>
          <w:tab w:val="left" w:pos="709"/>
          <w:tab w:val="left" w:pos="2552"/>
        </w:tabs>
        <w:spacing w:after="0"/>
        <w:ind w:left="0" w:firstLine="567"/>
        <w:jc w:val="both"/>
        <w:rPr>
          <w:rFonts w:ascii="Times New Roman" w:hAnsi="Times New Roman" w:cs="Times New Roman"/>
          <w:sz w:val="24"/>
        </w:rPr>
      </w:pPr>
      <w:r>
        <w:rPr>
          <w:rFonts w:ascii="Times New Roman" w:hAnsi="Times New Roman" w:cs="Times New Roman"/>
          <w:sz w:val="24"/>
        </w:rPr>
        <w:t xml:space="preserve"> Esant būtinybei atlieka neeilines apžiūras, organizuoja ekspertizių atlikimą;</w:t>
      </w:r>
    </w:p>
    <w:p w:rsidR="00FB11B8" w:rsidRDefault="006722AA" w:rsidP="00FB11B8">
      <w:pPr>
        <w:pStyle w:val="ListParagraph"/>
        <w:numPr>
          <w:ilvl w:val="1"/>
          <w:numId w:val="5"/>
        </w:numPr>
        <w:tabs>
          <w:tab w:val="left" w:pos="709"/>
          <w:tab w:val="left" w:pos="2552"/>
        </w:tabs>
        <w:spacing w:after="0"/>
        <w:ind w:left="0" w:firstLine="567"/>
        <w:jc w:val="both"/>
        <w:rPr>
          <w:rFonts w:ascii="Times New Roman" w:hAnsi="Times New Roman" w:cs="Times New Roman"/>
          <w:sz w:val="24"/>
        </w:rPr>
      </w:pPr>
      <w:r>
        <w:rPr>
          <w:rFonts w:ascii="Times New Roman" w:hAnsi="Times New Roman" w:cs="Times New Roman"/>
          <w:sz w:val="24"/>
        </w:rPr>
        <w:t xml:space="preserve"> Šalina namo nuolatinių stebėjimų metu pastebėtus smulkius gedimus, numatytus pagrindinių darbų sąraše. </w:t>
      </w:r>
    </w:p>
    <w:p w:rsidR="003C7D9E" w:rsidRPr="00FB11B8" w:rsidRDefault="00FB11B8" w:rsidP="00FB11B8">
      <w:pPr>
        <w:pStyle w:val="ListParagraph"/>
        <w:numPr>
          <w:ilvl w:val="1"/>
          <w:numId w:val="5"/>
        </w:numPr>
        <w:tabs>
          <w:tab w:val="left" w:pos="709"/>
          <w:tab w:val="left" w:pos="2552"/>
        </w:tabs>
        <w:spacing w:after="0"/>
        <w:ind w:left="0" w:firstLine="567"/>
        <w:jc w:val="both"/>
        <w:rPr>
          <w:rFonts w:ascii="Times New Roman" w:hAnsi="Times New Roman" w:cs="Times New Roman"/>
          <w:sz w:val="24"/>
        </w:rPr>
      </w:pPr>
      <w:r>
        <w:rPr>
          <w:rFonts w:ascii="Times New Roman" w:hAnsi="Times New Roman" w:cs="Times New Roman"/>
          <w:sz w:val="24"/>
        </w:rPr>
        <w:t xml:space="preserve"> </w:t>
      </w:r>
      <w:r w:rsidR="003C7D9E" w:rsidRPr="00FB11B8">
        <w:rPr>
          <w:rFonts w:ascii="Times New Roman" w:hAnsi="Times New Roman" w:cs="Times New Roman"/>
          <w:sz w:val="24"/>
        </w:rPr>
        <w:t>Organizuoja avarinės tarnybos darbą;</w:t>
      </w:r>
    </w:p>
    <w:p w:rsidR="003C7D9E" w:rsidRDefault="003C7D9E" w:rsidP="003C7D9E">
      <w:pPr>
        <w:pStyle w:val="ListParagraph"/>
        <w:numPr>
          <w:ilvl w:val="0"/>
          <w:numId w:val="8"/>
        </w:numPr>
        <w:tabs>
          <w:tab w:val="left" w:pos="709"/>
          <w:tab w:val="left" w:pos="2552"/>
        </w:tabs>
        <w:spacing w:after="0"/>
        <w:ind w:left="0" w:firstLine="567"/>
        <w:jc w:val="both"/>
        <w:rPr>
          <w:rFonts w:ascii="Times New Roman" w:hAnsi="Times New Roman" w:cs="Times New Roman"/>
          <w:sz w:val="24"/>
        </w:rPr>
      </w:pPr>
      <w:r>
        <w:rPr>
          <w:rFonts w:ascii="Times New Roman" w:hAnsi="Times New Roman" w:cs="Times New Roman"/>
          <w:sz w:val="24"/>
        </w:rPr>
        <w:t xml:space="preserve"> Apie įvykusią avariją namo gyventojai yra informuojami pranešimu skelbimų lentoje;</w:t>
      </w:r>
    </w:p>
    <w:p w:rsidR="00FB11B8" w:rsidRDefault="003C7D9E" w:rsidP="00FB11B8">
      <w:pPr>
        <w:pStyle w:val="ListParagraph"/>
        <w:numPr>
          <w:ilvl w:val="0"/>
          <w:numId w:val="8"/>
        </w:numPr>
        <w:tabs>
          <w:tab w:val="left" w:pos="709"/>
          <w:tab w:val="left" w:pos="2552"/>
        </w:tabs>
        <w:spacing w:after="0"/>
        <w:ind w:left="0" w:firstLine="567"/>
        <w:jc w:val="both"/>
        <w:rPr>
          <w:rFonts w:ascii="Times New Roman" w:hAnsi="Times New Roman" w:cs="Times New Roman"/>
          <w:sz w:val="24"/>
        </w:rPr>
      </w:pPr>
      <w:r>
        <w:rPr>
          <w:rFonts w:ascii="Times New Roman" w:hAnsi="Times New Roman" w:cs="Times New Roman"/>
          <w:sz w:val="24"/>
        </w:rPr>
        <w:t xml:space="preserve"> Pranešime nurodoma avarijos pobūdis ir avarijos pašalinimui reikalinga apytiksli lėšų suma;</w:t>
      </w:r>
    </w:p>
    <w:p w:rsidR="00FB11B8" w:rsidRDefault="00FB11B8" w:rsidP="00FB11B8">
      <w:pPr>
        <w:pStyle w:val="ListParagraph"/>
        <w:numPr>
          <w:ilvl w:val="0"/>
          <w:numId w:val="8"/>
        </w:numPr>
        <w:tabs>
          <w:tab w:val="left" w:pos="709"/>
          <w:tab w:val="left" w:pos="2552"/>
        </w:tabs>
        <w:spacing w:after="0"/>
        <w:ind w:left="0" w:firstLine="567"/>
        <w:jc w:val="both"/>
        <w:rPr>
          <w:rFonts w:ascii="Times New Roman" w:hAnsi="Times New Roman" w:cs="Times New Roman"/>
          <w:sz w:val="24"/>
        </w:rPr>
      </w:pPr>
      <w:r w:rsidRPr="00FB11B8">
        <w:rPr>
          <w:rFonts w:ascii="Times New Roman" w:hAnsi="Times New Roman" w:cs="Times New Roman"/>
          <w:sz w:val="24"/>
        </w:rPr>
        <w:t>Vadovaudamasis metiniais ir ilgalaikiais planais ar gyventojų pageidavimais  organizuoja namo gyventojų susirinkimus dėl atnaujinimo darbų;</w:t>
      </w:r>
    </w:p>
    <w:p w:rsidR="00FB11B8" w:rsidRDefault="00FB11B8" w:rsidP="00FB11B8">
      <w:pPr>
        <w:pStyle w:val="ListParagraph"/>
        <w:numPr>
          <w:ilvl w:val="0"/>
          <w:numId w:val="8"/>
        </w:numPr>
        <w:tabs>
          <w:tab w:val="left" w:pos="709"/>
          <w:tab w:val="left" w:pos="2552"/>
        </w:tabs>
        <w:spacing w:after="0"/>
        <w:ind w:left="0" w:firstLine="567"/>
        <w:jc w:val="both"/>
        <w:rPr>
          <w:rFonts w:ascii="Times New Roman" w:hAnsi="Times New Roman" w:cs="Times New Roman"/>
          <w:sz w:val="24"/>
        </w:rPr>
      </w:pPr>
      <w:r>
        <w:rPr>
          <w:rFonts w:ascii="Times New Roman" w:hAnsi="Times New Roman" w:cs="Times New Roman"/>
          <w:sz w:val="24"/>
        </w:rPr>
        <w:t xml:space="preserve"> </w:t>
      </w:r>
      <w:r w:rsidRPr="00FB11B8">
        <w:rPr>
          <w:rFonts w:ascii="Times New Roman" w:hAnsi="Times New Roman" w:cs="Times New Roman"/>
          <w:sz w:val="24"/>
        </w:rPr>
        <w:t>Susirinkimo ar balsavimo raštu metu, atliekamos visos procedūros dėl numatomų atnaujinimo darbų įgyvendinimo;</w:t>
      </w:r>
    </w:p>
    <w:p w:rsidR="00FB11B8" w:rsidRPr="00FB11B8" w:rsidRDefault="00FB11B8" w:rsidP="00FB11B8">
      <w:pPr>
        <w:pStyle w:val="ListParagraph"/>
        <w:numPr>
          <w:ilvl w:val="0"/>
          <w:numId w:val="8"/>
        </w:numPr>
        <w:tabs>
          <w:tab w:val="left" w:pos="709"/>
          <w:tab w:val="left" w:pos="2552"/>
        </w:tabs>
        <w:spacing w:after="0"/>
        <w:ind w:left="0" w:firstLine="567"/>
        <w:jc w:val="both"/>
        <w:rPr>
          <w:rFonts w:ascii="Times New Roman" w:hAnsi="Times New Roman" w:cs="Times New Roman"/>
          <w:sz w:val="24"/>
        </w:rPr>
      </w:pPr>
      <w:r w:rsidRPr="00FB11B8">
        <w:rPr>
          <w:rFonts w:ascii="Times New Roman" w:hAnsi="Times New Roman" w:cs="Times New Roman"/>
          <w:sz w:val="24"/>
        </w:rPr>
        <w:t>Gyventojų priimti sprendimai yra įforminami protokolu.</w:t>
      </w:r>
    </w:p>
    <w:p w:rsidR="00FB11B8" w:rsidRDefault="00FB11B8" w:rsidP="00FB11B8">
      <w:pPr>
        <w:pStyle w:val="ListParagraph"/>
        <w:tabs>
          <w:tab w:val="left" w:pos="709"/>
          <w:tab w:val="left" w:pos="2552"/>
        </w:tabs>
        <w:spacing w:after="0"/>
        <w:ind w:left="567"/>
        <w:jc w:val="both"/>
        <w:rPr>
          <w:rFonts w:ascii="Times New Roman" w:hAnsi="Times New Roman" w:cs="Times New Roman"/>
          <w:sz w:val="24"/>
        </w:rPr>
      </w:pPr>
    </w:p>
    <w:p w:rsidR="003C7D9E" w:rsidRDefault="003C7D9E" w:rsidP="003C7D9E">
      <w:pPr>
        <w:tabs>
          <w:tab w:val="left" w:pos="1560"/>
          <w:tab w:val="left" w:pos="2552"/>
        </w:tabs>
        <w:spacing w:after="0"/>
        <w:ind w:firstLine="567"/>
        <w:jc w:val="both"/>
        <w:rPr>
          <w:rFonts w:ascii="Times New Roman" w:hAnsi="Times New Roman" w:cs="Times New Roman"/>
          <w:sz w:val="24"/>
        </w:rPr>
      </w:pPr>
      <w:r>
        <w:rPr>
          <w:rFonts w:ascii="Times New Roman" w:hAnsi="Times New Roman" w:cs="Times New Roman"/>
          <w:sz w:val="24"/>
        </w:rPr>
        <w:t xml:space="preserve">Už faktinius namo bendro naudojimo objektų avarijų likvidavimo ir lokalizavimo darbus, neįtrauktus į pagrindinių darbų sąrašą, šilumos punkto, šildymo ir karšto vandens sistemų priežiūros ir kitus nenumatytus, papildomus darbus, butų savininkams apskaičiuojamos papildomos įmokos, proporcingai buto plotui ir pateikiamos prie mokesčio sąskaitos. </w:t>
      </w:r>
    </w:p>
    <w:p w:rsidR="003C7D9E" w:rsidRPr="003C7D9E" w:rsidRDefault="003C7D9E" w:rsidP="00690580">
      <w:pPr>
        <w:tabs>
          <w:tab w:val="left" w:pos="567"/>
          <w:tab w:val="left" w:pos="2552"/>
        </w:tabs>
        <w:spacing w:after="0"/>
        <w:jc w:val="both"/>
        <w:rPr>
          <w:rFonts w:ascii="Times New Roman" w:hAnsi="Times New Roman" w:cs="Times New Roman"/>
          <w:sz w:val="24"/>
        </w:rPr>
      </w:pPr>
    </w:p>
    <w:p w:rsidR="006722AA" w:rsidRDefault="006722AA" w:rsidP="006722AA">
      <w:pPr>
        <w:tabs>
          <w:tab w:val="left" w:pos="993"/>
          <w:tab w:val="left" w:pos="2552"/>
        </w:tabs>
        <w:spacing w:after="0"/>
        <w:jc w:val="both"/>
        <w:rPr>
          <w:rFonts w:ascii="Times New Roman" w:hAnsi="Times New Roman" w:cs="Times New Roman"/>
          <w:sz w:val="24"/>
        </w:rPr>
      </w:pPr>
    </w:p>
    <w:p w:rsidR="003C7D9E" w:rsidRPr="003C7D9E" w:rsidRDefault="00690580" w:rsidP="00690580">
      <w:pPr>
        <w:pStyle w:val="ListParagraph"/>
        <w:tabs>
          <w:tab w:val="left" w:pos="1560"/>
          <w:tab w:val="left" w:pos="2552"/>
        </w:tabs>
        <w:spacing w:after="0"/>
        <w:ind w:left="0" w:firstLine="567"/>
        <w:jc w:val="center"/>
        <w:rPr>
          <w:rFonts w:ascii="Times New Roman" w:hAnsi="Times New Roman" w:cs="Times New Roman"/>
          <w:b/>
          <w:sz w:val="24"/>
        </w:rPr>
      </w:pPr>
      <w:r>
        <w:rPr>
          <w:rFonts w:ascii="Times New Roman" w:hAnsi="Times New Roman" w:cs="Times New Roman"/>
          <w:b/>
          <w:sz w:val="24"/>
        </w:rPr>
        <w:t xml:space="preserve">6.3.3. </w:t>
      </w:r>
      <w:r w:rsidRPr="003C7D9E">
        <w:rPr>
          <w:rFonts w:ascii="Times New Roman" w:hAnsi="Times New Roman" w:cs="Times New Roman"/>
          <w:b/>
          <w:sz w:val="24"/>
        </w:rPr>
        <w:t>DAUGIABUČIŲ NAMŲ ŠILDYMO IR KARŠTO VANDENS SISTEMŲ PRIEŽIŪRA</w:t>
      </w:r>
    </w:p>
    <w:p w:rsidR="003C7D9E" w:rsidRDefault="003C7D9E" w:rsidP="003C7D9E">
      <w:pPr>
        <w:pStyle w:val="ListParagraph"/>
        <w:tabs>
          <w:tab w:val="left" w:pos="1560"/>
          <w:tab w:val="left" w:pos="2552"/>
        </w:tabs>
        <w:spacing w:after="0"/>
        <w:ind w:left="0" w:firstLine="567"/>
        <w:jc w:val="both"/>
        <w:rPr>
          <w:rFonts w:ascii="Times New Roman" w:hAnsi="Times New Roman" w:cs="Times New Roman"/>
          <w:sz w:val="24"/>
        </w:rPr>
      </w:pPr>
    </w:p>
    <w:p w:rsidR="003C7D9E" w:rsidRPr="006722AA" w:rsidRDefault="003C7D9E" w:rsidP="005134EE">
      <w:pPr>
        <w:tabs>
          <w:tab w:val="left" w:pos="567"/>
          <w:tab w:val="left" w:pos="993"/>
        </w:tabs>
        <w:spacing w:after="0"/>
        <w:jc w:val="both"/>
        <w:rPr>
          <w:rFonts w:ascii="Times New Roman" w:hAnsi="Times New Roman" w:cs="Times New Roman"/>
          <w:sz w:val="24"/>
        </w:rPr>
      </w:pPr>
      <w:r>
        <w:rPr>
          <w:rFonts w:ascii="Times New Roman" w:hAnsi="Times New Roman" w:cs="Times New Roman"/>
          <w:sz w:val="24"/>
        </w:rPr>
        <w:tab/>
      </w:r>
      <w:r w:rsidRPr="006722AA">
        <w:rPr>
          <w:rFonts w:ascii="Times New Roman" w:hAnsi="Times New Roman" w:cs="Times New Roman"/>
          <w:sz w:val="24"/>
        </w:rPr>
        <w:t>Administratorius vykdydamas namo šildymo ir karšto vandens sistemų priežiūrą, vadovaujasi LR šilumos ūkio įstatymo, šilumos tiekimo ir vartojimo taisyklėmis, šilumos tinklų ir šilumos vartojimo įrenginių priežiūros taisyklėmis ir kitais teisės aktais, atlieka šias funkcijas:</w:t>
      </w:r>
    </w:p>
    <w:p w:rsidR="003C7D9E" w:rsidRDefault="003C7D9E" w:rsidP="003C7D9E">
      <w:pPr>
        <w:pStyle w:val="ListParagraph"/>
        <w:numPr>
          <w:ilvl w:val="0"/>
          <w:numId w:val="6"/>
        </w:numPr>
        <w:tabs>
          <w:tab w:val="left" w:pos="709"/>
          <w:tab w:val="left" w:pos="2552"/>
        </w:tabs>
        <w:spacing w:after="0"/>
        <w:ind w:left="0" w:firstLine="567"/>
        <w:jc w:val="both"/>
        <w:rPr>
          <w:rFonts w:ascii="Times New Roman" w:hAnsi="Times New Roman" w:cs="Times New Roman"/>
          <w:sz w:val="24"/>
        </w:rPr>
      </w:pPr>
      <w:r>
        <w:rPr>
          <w:rFonts w:ascii="Times New Roman" w:hAnsi="Times New Roman" w:cs="Times New Roman"/>
          <w:sz w:val="24"/>
        </w:rPr>
        <w:t xml:space="preserve"> Atlieka šilumos punkto ir karšto vandens sistemų apžiūras (ne rečiau kaip 2 kartus per savaitę);</w:t>
      </w:r>
    </w:p>
    <w:p w:rsidR="003C7D9E" w:rsidRDefault="003C7D9E" w:rsidP="003C7D9E">
      <w:pPr>
        <w:pStyle w:val="ListParagraph"/>
        <w:numPr>
          <w:ilvl w:val="0"/>
          <w:numId w:val="6"/>
        </w:numPr>
        <w:tabs>
          <w:tab w:val="left" w:pos="709"/>
          <w:tab w:val="left" w:pos="2552"/>
        </w:tabs>
        <w:spacing w:after="0"/>
        <w:ind w:left="0" w:firstLine="567"/>
        <w:jc w:val="both"/>
        <w:rPr>
          <w:rFonts w:ascii="Times New Roman" w:hAnsi="Times New Roman" w:cs="Times New Roman"/>
          <w:sz w:val="24"/>
        </w:rPr>
      </w:pPr>
      <w:r>
        <w:rPr>
          <w:rFonts w:ascii="Times New Roman" w:hAnsi="Times New Roman" w:cs="Times New Roman"/>
          <w:sz w:val="24"/>
        </w:rPr>
        <w:t xml:space="preserve"> Vykdo profilaktinius darbus, numatytus teisės aktuose;</w:t>
      </w:r>
    </w:p>
    <w:p w:rsidR="003C7D9E" w:rsidRDefault="003C7D9E" w:rsidP="003C7D9E">
      <w:pPr>
        <w:pStyle w:val="ListParagraph"/>
        <w:numPr>
          <w:ilvl w:val="0"/>
          <w:numId w:val="6"/>
        </w:numPr>
        <w:tabs>
          <w:tab w:val="left" w:pos="709"/>
          <w:tab w:val="left" w:pos="2552"/>
        </w:tabs>
        <w:spacing w:after="0"/>
        <w:ind w:left="0" w:firstLine="567"/>
        <w:jc w:val="both"/>
        <w:rPr>
          <w:rFonts w:ascii="Times New Roman" w:hAnsi="Times New Roman" w:cs="Times New Roman"/>
          <w:sz w:val="24"/>
        </w:rPr>
      </w:pPr>
      <w:r>
        <w:rPr>
          <w:rFonts w:ascii="Times New Roman" w:hAnsi="Times New Roman" w:cs="Times New Roman"/>
          <w:sz w:val="24"/>
        </w:rPr>
        <w:t xml:space="preserve"> Organizuoja avarijų pašalinimo darbus.</w:t>
      </w:r>
    </w:p>
    <w:p w:rsidR="003C7D9E" w:rsidRDefault="003C7D9E" w:rsidP="003C7D9E">
      <w:pPr>
        <w:tabs>
          <w:tab w:val="left" w:pos="1560"/>
          <w:tab w:val="left" w:pos="2552"/>
        </w:tabs>
        <w:spacing w:after="0"/>
        <w:ind w:firstLine="567"/>
        <w:jc w:val="both"/>
        <w:rPr>
          <w:rFonts w:ascii="Times New Roman" w:hAnsi="Times New Roman" w:cs="Times New Roman"/>
          <w:sz w:val="24"/>
        </w:rPr>
      </w:pPr>
      <w:r>
        <w:rPr>
          <w:rFonts w:ascii="Times New Roman" w:hAnsi="Times New Roman" w:cs="Times New Roman"/>
          <w:sz w:val="24"/>
        </w:rPr>
        <w:t xml:space="preserve">Už namo šildymo ir karšto vandens sistemų priežiūrą gyventojai moka mokestį paskaičiuotą pagal šildymo ir karšto vandens sistemų apskaičiavimo metodiką. Šią metodiką tvirtina savivaldybių tarybos.  </w:t>
      </w:r>
    </w:p>
    <w:p w:rsidR="005134EE" w:rsidRDefault="00690580" w:rsidP="005134EE">
      <w:pPr>
        <w:tabs>
          <w:tab w:val="left" w:pos="1560"/>
          <w:tab w:val="left" w:pos="2552"/>
        </w:tabs>
        <w:spacing w:after="0"/>
        <w:jc w:val="both"/>
        <w:rPr>
          <w:rFonts w:ascii="Times New Roman" w:hAnsi="Times New Roman" w:cs="Times New Roman"/>
          <w:sz w:val="24"/>
        </w:rPr>
      </w:pPr>
      <w:r>
        <w:rPr>
          <w:noProof/>
          <w:lang w:eastAsia="lt-LT"/>
        </w:rPr>
        <w:lastRenderedPageBreak/>
        <w:drawing>
          <wp:inline distT="0" distB="0" distL="0" distR="0">
            <wp:extent cx="5705475" cy="2914650"/>
            <wp:effectExtent l="0" t="0" r="9525" b="0"/>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A267C" w:rsidRDefault="004A267C" w:rsidP="004A267C">
      <w:pPr>
        <w:spacing w:after="0"/>
        <w:jc w:val="both"/>
        <w:rPr>
          <w:rFonts w:ascii="Times New Roman" w:hAnsi="Times New Roman" w:cs="Times New Roman"/>
          <w:sz w:val="24"/>
        </w:rPr>
      </w:pPr>
    </w:p>
    <w:p w:rsidR="004A267C" w:rsidRDefault="004A267C" w:rsidP="004A267C">
      <w:pPr>
        <w:spacing w:after="0"/>
        <w:ind w:firstLine="567"/>
        <w:jc w:val="both"/>
        <w:rPr>
          <w:rFonts w:ascii="Times New Roman" w:hAnsi="Times New Roman" w:cs="Times New Roman"/>
          <w:sz w:val="24"/>
        </w:rPr>
      </w:pPr>
      <w:r w:rsidRPr="004A267C">
        <w:rPr>
          <w:rFonts w:ascii="Times New Roman" w:hAnsi="Times New Roman" w:cs="Times New Roman"/>
          <w:sz w:val="24"/>
        </w:rPr>
        <w:t>2013 metais buvo priimti Lietuvos Respublikos šilumos ūkio įstatymo pakeitimai, kurie uždraudė į šilumos kainą įtraukti sąnaudas, susijusias su šilumos punktų amortizacija ir eksploatacija. Vadovaujantis Energetikos ministerijos išaiškinimu, sugedus šilumos punkto pagrindinėms dalims (siurbliams, pavaroms, vožtuvams ir kitoms dalims), jų pakeitimo ar remonto išlaidas apmoka butų ir kitų patalpų savininkai proporcingai buto naudingam plotui. Butų ir kitų patalpų savininkai privalo apmokėti už šilumos punktą, kadangi juo naudojasi neatlygintinai</w:t>
      </w:r>
      <w:r w:rsidR="003E48DD">
        <w:rPr>
          <w:rFonts w:ascii="Times New Roman" w:hAnsi="Times New Roman" w:cs="Times New Roman"/>
          <w:sz w:val="24"/>
        </w:rPr>
        <w:t xml:space="preserve">. </w:t>
      </w:r>
      <w:r>
        <w:rPr>
          <w:rFonts w:ascii="Times New Roman" w:hAnsi="Times New Roman" w:cs="Times New Roman"/>
          <w:sz w:val="24"/>
        </w:rPr>
        <w:t xml:space="preserve"> </w:t>
      </w:r>
      <w:r w:rsidR="003E48DD">
        <w:rPr>
          <w:rFonts w:ascii="Times New Roman" w:hAnsi="Times New Roman" w:cs="Times New Roman"/>
          <w:sz w:val="24"/>
        </w:rPr>
        <w:t>Š</w:t>
      </w:r>
      <w:r>
        <w:rPr>
          <w:rFonts w:ascii="Times New Roman" w:hAnsi="Times New Roman" w:cs="Times New Roman"/>
          <w:sz w:val="24"/>
        </w:rPr>
        <w:t>ios medžiagos negali</w:t>
      </w:r>
      <w:r w:rsidR="007C3B2F">
        <w:rPr>
          <w:rFonts w:ascii="Times New Roman" w:hAnsi="Times New Roman" w:cs="Times New Roman"/>
          <w:sz w:val="24"/>
        </w:rPr>
        <w:t xml:space="preserve"> būti</w:t>
      </w:r>
      <w:r>
        <w:rPr>
          <w:rFonts w:ascii="Times New Roman" w:hAnsi="Times New Roman" w:cs="Times New Roman"/>
          <w:sz w:val="24"/>
        </w:rPr>
        <w:t xml:space="preserve"> ir nėra įtrauktos į šilumos priežiūros maksimalių tarifų paskaičiavimo metodiką</w:t>
      </w:r>
      <w:r w:rsidRPr="004A267C">
        <w:rPr>
          <w:rFonts w:ascii="Times New Roman" w:hAnsi="Times New Roman" w:cs="Times New Roman"/>
          <w:sz w:val="24"/>
        </w:rPr>
        <w:t xml:space="preserve">. </w:t>
      </w:r>
    </w:p>
    <w:p w:rsidR="004A267C" w:rsidRDefault="003E48DD" w:rsidP="004A267C">
      <w:pPr>
        <w:spacing w:after="0"/>
        <w:ind w:firstLine="567"/>
        <w:jc w:val="both"/>
        <w:rPr>
          <w:rFonts w:ascii="Times New Roman" w:hAnsi="Times New Roman" w:cs="Times New Roman"/>
          <w:sz w:val="24"/>
        </w:rPr>
      </w:pPr>
      <w:r>
        <w:rPr>
          <w:rFonts w:ascii="Times New Roman" w:hAnsi="Times New Roman" w:cs="Times New Roman"/>
          <w:sz w:val="24"/>
        </w:rPr>
        <w:t>Pagal Lietuvos</w:t>
      </w:r>
      <w:r w:rsidR="007C3B2F">
        <w:rPr>
          <w:rFonts w:ascii="Times New Roman" w:hAnsi="Times New Roman" w:cs="Times New Roman"/>
          <w:sz w:val="24"/>
        </w:rPr>
        <w:t xml:space="preserve"> Respublikos</w:t>
      </w:r>
      <w:r>
        <w:rPr>
          <w:rFonts w:ascii="Times New Roman" w:hAnsi="Times New Roman" w:cs="Times New Roman"/>
          <w:sz w:val="24"/>
        </w:rPr>
        <w:t xml:space="preserve"> Valstybinės kainų ir energetikos kontrolės komisijos rekomendaciją šilumos punkto remonto ir atstatymo darbus savo lėšomis turėtų atlikti pats šilumos punkto savininkas, o jo patirtas išlaidas</w:t>
      </w:r>
      <w:r w:rsidR="007C3B2F">
        <w:rPr>
          <w:rFonts w:ascii="Times New Roman" w:hAnsi="Times New Roman" w:cs="Times New Roman"/>
          <w:sz w:val="24"/>
        </w:rPr>
        <w:t>,</w:t>
      </w:r>
      <w:r>
        <w:rPr>
          <w:rFonts w:ascii="Times New Roman" w:hAnsi="Times New Roman" w:cs="Times New Roman"/>
          <w:sz w:val="24"/>
        </w:rPr>
        <w:t xml:space="preserve"> pagal šilumos punkto savininko ir daugiabučio namo butų ir (ar) kitų patalpų savininkų tarpusavio susitarime nustatytą tvarką</w:t>
      </w:r>
      <w:r w:rsidR="007C3B2F">
        <w:rPr>
          <w:rFonts w:ascii="Times New Roman" w:hAnsi="Times New Roman" w:cs="Times New Roman"/>
          <w:sz w:val="24"/>
        </w:rPr>
        <w:t>,</w:t>
      </w:r>
      <w:r>
        <w:rPr>
          <w:rFonts w:ascii="Times New Roman" w:hAnsi="Times New Roman" w:cs="Times New Roman"/>
          <w:sz w:val="24"/>
        </w:rPr>
        <w:t xml:space="preserve"> padengti daugiabučio namo butų ir (ar) kitų patalpų savininkai. Tačiau praktiškai tai įgyvendinti yra sudėtinga, kyla įvairių nesusipratimų. </w:t>
      </w:r>
    </w:p>
    <w:p w:rsidR="003E48DD" w:rsidRDefault="003E48DD" w:rsidP="003E48DD">
      <w:pPr>
        <w:spacing w:after="0"/>
        <w:ind w:firstLine="567"/>
        <w:jc w:val="both"/>
        <w:rPr>
          <w:rFonts w:ascii="Times New Roman" w:hAnsi="Times New Roman" w:cs="Times New Roman"/>
          <w:sz w:val="24"/>
        </w:rPr>
      </w:pPr>
      <w:r>
        <w:rPr>
          <w:rFonts w:ascii="Times New Roman" w:hAnsi="Times New Roman" w:cs="Times New Roman"/>
          <w:sz w:val="24"/>
        </w:rPr>
        <w:t>Šiai dienai nėra sutvarkyta teisinė bazė, reglamentuojanti šildymo ir karšto vandens sistemų, tame tarpe ir šilumos punktų priežiūrą, kadangi visi išaiškinimai yra tik rekomendacinio pobūdžio.</w:t>
      </w:r>
    </w:p>
    <w:p w:rsidR="006722AA" w:rsidRDefault="006722AA" w:rsidP="00D10C65">
      <w:pPr>
        <w:spacing w:after="0"/>
        <w:jc w:val="both"/>
        <w:rPr>
          <w:rFonts w:ascii="Times New Roman" w:hAnsi="Times New Roman" w:cs="Times New Roman"/>
          <w:sz w:val="24"/>
        </w:rPr>
      </w:pPr>
    </w:p>
    <w:p w:rsidR="0046783D" w:rsidRDefault="00690580" w:rsidP="0046783D">
      <w:pPr>
        <w:spacing w:after="0"/>
        <w:jc w:val="center"/>
        <w:rPr>
          <w:rFonts w:ascii="Times New Roman" w:hAnsi="Times New Roman" w:cs="Times New Roman"/>
          <w:b/>
          <w:sz w:val="24"/>
        </w:rPr>
      </w:pPr>
      <w:r>
        <w:rPr>
          <w:rFonts w:ascii="Times New Roman" w:hAnsi="Times New Roman" w:cs="Times New Roman"/>
          <w:b/>
          <w:sz w:val="24"/>
        </w:rPr>
        <w:t>6.3.4.</w:t>
      </w:r>
      <w:r w:rsidR="0046783D" w:rsidRPr="0046783D">
        <w:rPr>
          <w:rFonts w:ascii="Times New Roman" w:hAnsi="Times New Roman" w:cs="Times New Roman"/>
          <w:b/>
          <w:sz w:val="24"/>
        </w:rPr>
        <w:t xml:space="preserve"> DAUGIABUČIŲ NAMŲ ATNAUJINIMAS (MODERNIZAVIMAS)</w:t>
      </w:r>
    </w:p>
    <w:p w:rsidR="0046783D" w:rsidRDefault="0046783D" w:rsidP="0046783D">
      <w:pPr>
        <w:spacing w:after="0"/>
        <w:jc w:val="center"/>
        <w:rPr>
          <w:rFonts w:ascii="Times New Roman" w:hAnsi="Times New Roman" w:cs="Times New Roman"/>
          <w:b/>
          <w:sz w:val="24"/>
        </w:rPr>
      </w:pPr>
    </w:p>
    <w:p w:rsidR="00690580" w:rsidRDefault="00690580" w:rsidP="00690580">
      <w:pPr>
        <w:spacing w:after="0"/>
        <w:ind w:firstLine="567"/>
        <w:jc w:val="both"/>
        <w:rPr>
          <w:rFonts w:ascii="Times New Roman" w:hAnsi="Times New Roman" w:cs="Times New Roman"/>
          <w:sz w:val="24"/>
        </w:rPr>
      </w:pPr>
      <w:r>
        <w:rPr>
          <w:rFonts w:ascii="Times New Roman" w:hAnsi="Times New Roman" w:cs="Times New Roman"/>
          <w:sz w:val="24"/>
        </w:rPr>
        <w:t xml:space="preserve">Vadovaujantis </w:t>
      </w:r>
      <w:r w:rsidR="0046783D">
        <w:rPr>
          <w:rFonts w:ascii="Times New Roman" w:hAnsi="Times New Roman" w:cs="Times New Roman"/>
          <w:sz w:val="24"/>
        </w:rPr>
        <w:t>Prienų rajono savivaldybės tarybos sprendimu 2013-03-28 Nr. T3-68 „Dėl Prienų rajono savivaldybės energinio efektyvumo didinimo daugiabučiuose namuose programos 2013-2014 metais patvirtinimo“ patvirtino Prienų rajono savivaldybės energinio efektyvumo d</w:t>
      </w:r>
      <w:r w:rsidR="008F3744">
        <w:rPr>
          <w:rFonts w:ascii="Times New Roman" w:hAnsi="Times New Roman" w:cs="Times New Roman"/>
          <w:sz w:val="24"/>
        </w:rPr>
        <w:t>idinimo daugiabučiuose namuose</w:t>
      </w:r>
      <w:r w:rsidR="0046783D">
        <w:rPr>
          <w:rFonts w:ascii="Times New Roman" w:hAnsi="Times New Roman" w:cs="Times New Roman"/>
          <w:sz w:val="24"/>
        </w:rPr>
        <w:t xml:space="preserve"> 2013-2014 metais programą ir paskyrė programos įgyvendinimo administratoriumi UAB „Prienų butų ūkis“. </w:t>
      </w:r>
    </w:p>
    <w:p w:rsidR="007E235B" w:rsidRDefault="00690580" w:rsidP="00690580">
      <w:pPr>
        <w:spacing w:after="0"/>
        <w:ind w:firstLine="567"/>
        <w:jc w:val="both"/>
        <w:rPr>
          <w:rFonts w:ascii="Times New Roman" w:hAnsi="Times New Roman" w:cs="Times New Roman"/>
          <w:sz w:val="24"/>
        </w:rPr>
      </w:pPr>
      <w:r>
        <w:rPr>
          <w:rFonts w:ascii="Times New Roman" w:hAnsi="Times New Roman" w:cs="Times New Roman"/>
          <w:sz w:val="24"/>
        </w:rPr>
        <w:t xml:space="preserve">Nuo programos įgyvendinimo pradžios </w:t>
      </w:r>
      <w:r w:rsidR="007D63CC">
        <w:rPr>
          <w:rFonts w:ascii="Times New Roman" w:hAnsi="Times New Roman" w:cs="Times New Roman"/>
          <w:sz w:val="24"/>
        </w:rPr>
        <w:t xml:space="preserve">iki 2015 metų pabaigos </w:t>
      </w:r>
      <w:r>
        <w:rPr>
          <w:rFonts w:ascii="Times New Roman" w:hAnsi="Times New Roman" w:cs="Times New Roman"/>
          <w:sz w:val="24"/>
        </w:rPr>
        <w:t xml:space="preserve">I ir II etapo metu </w:t>
      </w:r>
      <w:r w:rsidR="007D63CC">
        <w:rPr>
          <w:rFonts w:ascii="Times New Roman" w:hAnsi="Times New Roman" w:cs="Times New Roman"/>
          <w:sz w:val="24"/>
        </w:rPr>
        <w:t xml:space="preserve">23 </w:t>
      </w:r>
      <w:r>
        <w:rPr>
          <w:rFonts w:ascii="Times New Roman" w:hAnsi="Times New Roman" w:cs="Times New Roman"/>
          <w:sz w:val="24"/>
        </w:rPr>
        <w:t xml:space="preserve">daugiabučių gyvenamųjų namų butų ir kitų patalpų savininkai priėmė sprendimą atnaujinti (modernizuoti) savo namus. </w:t>
      </w:r>
      <w:r w:rsidR="00062AD0">
        <w:rPr>
          <w:rFonts w:ascii="Times New Roman" w:hAnsi="Times New Roman" w:cs="Times New Roman"/>
          <w:sz w:val="24"/>
        </w:rPr>
        <w:t xml:space="preserve">1 daugiabutis gyvenamasis namas </w:t>
      </w:r>
      <w:r w:rsidR="002656C0">
        <w:rPr>
          <w:rFonts w:ascii="Times New Roman" w:hAnsi="Times New Roman" w:cs="Times New Roman"/>
          <w:sz w:val="24"/>
        </w:rPr>
        <w:t xml:space="preserve">(Jaunimo g. 19, Balbieriškis, Prienų r. sav.) </w:t>
      </w:r>
      <w:r w:rsidR="00062AD0">
        <w:rPr>
          <w:rFonts w:ascii="Times New Roman" w:hAnsi="Times New Roman" w:cs="Times New Roman"/>
          <w:sz w:val="24"/>
        </w:rPr>
        <w:t xml:space="preserve">pilnai atnaujintas 2014 m. </w:t>
      </w:r>
    </w:p>
    <w:p w:rsidR="00062AD0" w:rsidRDefault="00690580" w:rsidP="003931A4">
      <w:pPr>
        <w:spacing w:after="0"/>
        <w:ind w:firstLine="567"/>
        <w:jc w:val="both"/>
        <w:rPr>
          <w:rFonts w:ascii="Times New Roman" w:hAnsi="Times New Roman" w:cs="Times New Roman"/>
          <w:sz w:val="24"/>
        </w:rPr>
      </w:pPr>
      <w:r>
        <w:rPr>
          <w:rFonts w:ascii="Times New Roman" w:hAnsi="Times New Roman" w:cs="Times New Roman"/>
          <w:sz w:val="24"/>
        </w:rPr>
        <w:t>Iki 2</w:t>
      </w:r>
      <w:r w:rsidR="001D4EBA">
        <w:rPr>
          <w:rFonts w:ascii="Times New Roman" w:hAnsi="Times New Roman" w:cs="Times New Roman"/>
          <w:sz w:val="24"/>
        </w:rPr>
        <w:t>015 metų pabaigos yra pilnai atnaujinta</w:t>
      </w:r>
      <w:r>
        <w:rPr>
          <w:rFonts w:ascii="Times New Roman" w:hAnsi="Times New Roman" w:cs="Times New Roman"/>
          <w:sz w:val="24"/>
        </w:rPr>
        <w:t xml:space="preserve"> </w:t>
      </w:r>
      <w:r w:rsidR="001D4EBA">
        <w:rPr>
          <w:rFonts w:ascii="Times New Roman" w:hAnsi="Times New Roman" w:cs="Times New Roman"/>
          <w:sz w:val="24"/>
        </w:rPr>
        <w:t>12</w:t>
      </w:r>
      <w:r>
        <w:rPr>
          <w:rFonts w:ascii="Times New Roman" w:hAnsi="Times New Roman" w:cs="Times New Roman"/>
          <w:sz w:val="24"/>
        </w:rPr>
        <w:t xml:space="preserve"> </w:t>
      </w:r>
      <w:r w:rsidR="001D4EBA">
        <w:rPr>
          <w:rFonts w:ascii="Times New Roman" w:hAnsi="Times New Roman" w:cs="Times New Roman"/>
          <w:sz w:val="24"/>
        </w:rPr>
        <w:t xml:space="preserve">daugiabučių gyvenamųjų </w:t>
      </w:r>
      <w:r>
        <w:rPr>
          <w:rFonts w:ascii="Times New Roman" w:hAnsi="Times New Roman" w:cs="Times New Roman"/>
          <w:sz w:val="24"/>
        </w:rPr>
        <w:t>nam</w:t>
      </w:r>
      <w:r w:rsidR="001D4EBA">
        <w:rPr>
          <w:rFonts w:ascii="Times New Roman" w:hAnsi="Times New Roman" w:cs="Times New Roman"/>
          <w:sz w:val="24"/>
        </w:rPr>
        <w:t>ų, iš jų 9 daugiabučiams namams išduoti statybos užbaigimo aktai.</w:t>
      </w:r>
      <w:r w:rsidR="003E48DD">
        <w:rPr>
          <w:rFonts w:ascii="Times New Roman" w:hAnsi="Times New Roman" w:cs="Times New Roman"/>
          <w:sz w:val="24"/>
        </w:rPr>
        <w:t xml:space="preserve"> V</w:t>
      </w:r>
      <w:r w:rsidR="00977F0F">
        <w:rPr>
          <w:rFonts w:ascii="Times New Roman" w:hAnsi="Times New Roman" w:cs="Times New Roman"/>
          <w:sz w:val="24"/>
        </w:rPr>
        <w:t xml:space="preserve">isuose atnaujintuose namuose buvo pasiektos planuojamos energinio naudingumo klasės (C ir B) . </w:t>
      </w:r>
    </w:p>
    <w:p w:rsidR="00062AD0" w:rsidRDefault="00062AD0" w:rsidP="00062AD0">
      <w:pPr>
        <w:spacing w:after="0"/>
        <w:ind w:firstLine="567"/>
        <w:jc w:val="both"/>
        <w:rPr>
          <w:rFonts w:ascii="Times New Roman" w:hAnsi="Times New Roman" w:cs="Times New Roman"/>
          <w:sz w:val="24"/>
        </w:rPr>
      </w:pPr>
      <w:r>
        <w:rPr>
          <w:rFonts w:ascii="Times New Roman" w:hAnsi="Times New Roman" w:cs="Times New Roman"/>
          <w:sz w:val="24"/>
        </w:rPr>
        <w:lastRenderedPageBreak/>
        <w:t>2015 metais gauta 15 ir 25 proc. parama daugiabuči</w:t>
      </w:r>
      <w:r w:rsidR="002656C0">
        <w:rPr>
          <w:rFonts w:ascii="Times New Roman" w:hAnsi="Times New Roman" w:cs="Times New Roman"/>
          <w:sz w:val="24"/>
        </w:rPr>
        <w:t>ui</w:t>
      </w:r>
      <w:r>
        <w:rPr>
          <w:rFonts w:ascii="Times New Roman" w:hAnsi="Times New Roman" w:cs="Times New Roman"/>
          <w:sz w:val="24"/>
        </w:rPr>
        <w:t xml:space="preserve"> gyvenam</w:t>
      </w:r>
      <w:r w:rsidR="002656C0">
        <w:rPr>
          <w:rFonts w:ascii="Times New Roman" w:hAnsi="Times New Roman" w:cs="Times New Roman"/>
          <w:sz w:val="24"/>
        </w:rPr>
        <w:t>ajam</w:t>
      </w:r>
      <w:r>
        <w:rPr>
          <w:rFonts w:ascii="Times New Roman" w:hAnsi="Times New Roman" w:cs="Times New Roman"/>
          <w:sz w:val="24"/>
        </w:rPr>
        <w:t xml:space="preserve"> nam</w:t>
      </w:r>
      <w:r w:rsidR="002656C0">
        <w:rPr>
          <w:rFonts w:ascii="Times New Roman" w:hAnsi="Times New Roman" w:cs="Times New Roman"/>
          <w:sz w:val="24"/>
        </w:rPr>
        <w:t>ui</w:t>
      </w:r>
      <w:r>
        <w:rPr>
          <w:rFonts w:ascii="Times New Roman" w:hAnsi="Times New Roman" w:cs="Times New Roman"/>
          <w:sz w:val="24"/>
        </w:rPr>
        <w:t xml:space="preserve"> Vytauto g. 51, Jieznas, Prienų r. sav. 15 proc. parama suteikta šiems namams </w:t>
      </w:r>
      <w:r w:rsidR="002656C0">
        <w:rPr>
          <w:rFonts w:ascii="Times New Roman" w:hAnsi="Times New Roman" w:cs="Times New Roman"/>
          <w:sz w:val="24"/>
        </w:rPr>
        <w:t>–</w:t>
      </w:r>
      <w:r>
        <w:rPr>
          <w:rFonts w:ascii="Times New Roman" w:hAnsi="Times New Roman" w:cs="Times New Roman"/>
          <w:sz w:val="24"/>
        </w:rPr>
        <w:t xml:space="preserve"> </w:t>
      </w:r>
      <w:r w:rsidR="002656C0">
        <w:rPr>
          <w:rFonts w:ascii="Times New Roman" w:hAnsi="Times New Roman" w:cs="Times New Roman"/>
          <w:sz w:val="24"/>
        </w:rPr>
        <w:t xml:space="preserve">Vytauto g. 32, Prienai, Kęstučio g. 77, Prienai. </w:t>
      </w:r>
    </w:p>
    <w:p w:rsidR="00062AD0" w:rsidRDefault="003931A4" w:rsidP="003931A4">
      <w:pPr>
        <w:spacing w:after="0"/>
        <w:ind w:firstLine="567"/>
        <w:jc w:val="both"/>
        <w:rPr>
          <w:rFonts w:ascii="Times New Roman" w:hAnsi="Times New Roman" w:cs="Times New Roman"/>
          <w:sz w:val="24"/>
        </w:rPr>
      </w:pPr>
      <w:r>
        <w:rPr>
          <w:rFonts w:ascii="Times New Roman" w:hAnsi="Times New Roman" w:cs="Times New Roman"/>
          <w:sz w:val="24"/>
        </w:rPr>
        <w:t>6</w:t>
      </w:r>
      <w:r w:rsidR="002656C0">
        <w:rPr>
          <w:rFonts w:ascii="Times New Roman" w:hAnsi="Times New Roman" w:cs="Times New Roman"/>
          <w:sz w:val="24"/>
        </w:rPr>
        <w:t xml:space="preserve">-uose </w:t>
      </w:r>
      <w:r w:rsidR="007D63CC">
        <w:rPr>
          <w:rFonts w:ascii="Times New Roman" w:hAnsi="Times New Roman" w:cs="Times New Roman"/>
          <w:sz w:val="24"/>
        </w:rPr>
        <w:t xml:space="preserve">daugiabučiuose gyvenamuosiuose namuose vyksta statybos rangos darbai. </w:t>
      </w:r>
      <w:r w:rsidR="002656C0">
        <w:rPr>
          <w:rFonts w:ascii="Times New Roman" w:hAnsi="Times New Roman" w:cs="Times New Roman"/>
          <w:sz w:val="24"/>
        </w:rPr>
        <w:t xml:space="preserve">Pasirašytos </w:t>
      </w:r>
      <w:r w:rsidR="00062AD0">
        <w:rPr>
          <w:rFonts w:ascii="Times New Roman" w:hAnsi="Times New Roman" w:cs="Times New Roman"/>
          <w:sz w:val="24"/>
        </w:rPr>
        <w:t>2</w:t>
      </w:r>
      <w:r w:rsidR="002656C0">
        <w:rPr>
          <w:rFonts w:ascii="Times New Roman" w:hAnsi="Times New Roman" w:cs="Times New Roman"/>
          <w:sz w:val="24"/>
        </w:rPr>
        <w:t>-iejų</w:t>
      </w:r>
      <w:r w:rsidR="00062AD0">
        <w:rPr>
          <w:rFonts w:ascii="Times New Roman" w:hAnsi="Times New Roman" w:cs="Times New Roman"/>
          <w:sz w:val="24"/>
        </w:rPr>
        <w:t xml:space="preserve"> daugiabuči</w:t>
      </w:r>
      <w:r w:rsidR="002656C0">
        <w:rPr>
          <w:rFonts w:ascii="Times New Roman" w:hAnsi="Times New Roman" w:cs="Times New Roman"/>
          <w:sz w:val="24"/>
        </w:rPr>
        <w:t>ų</w:t>
      </w:r>
      <w:r w:rsidR="00062AD0">
        <w:rPr>
          <w:rFonts w:ascii="Times New Roman" w:hAnsi="Times New Roman" w:cs="Times New Roman"/>
          <w:sz w:val="24"/>
        </w:rPr>
        <w:t xml:space="preserve"> gyvenam</w:t>
      </w:r>
      <w:r w:rsidR="002656C0">
        <w:rPr>
          <w:rFonts w:ascii="Times New Roman" w:hAnsi="Times New Roman" w:cs="Times New Roman"/>
          <w:sz w:val="24"/>
        </w:rPr>
        <w:t>ųjų</w:t>
      </w:r>
      <w:r w:rsidR="00062AD0">
        <w:rPr>
          <w:rFonts w:ascii="Times New Roman" w:hAnsi="Times New Roman" w:cs="Times New Roman"/>
          <w:sz w:val="24"/>
        </w:rPr>
        <w:t xml:space="preserve"> nam</w:t>
      </w:r>
      <w:r w:rsidR="002656C0">
        <w:rPr>
          <w:rFonts w:ascii="Times New Roman" w:hAnsi="Times New Roman" w:cs="Times New Roman"/>
          <w:sz w:val="24"/>
        </w:rPr>
        <w:t>ų</w:t>
      </w:r>
      <w:r w:rsidR="00062AD0">
        <w:rPr>
          <w:rFonts w:ascii="Times New Roman" w:hAnsi="Times New Roman" w:cs="Times New Roman"/>
          <w:sz w:val="24"/>
        </w:rPr>
        <w:t xml:space="preserve"> statybos rangos darbų sutartys, vyksta finansavimo procedūros, 2</w:t>
      </w:r>
      <w:r w:rsidR="002656C0">
        <w:rPr>
          <w:rFonts w:ascii="Times New Roman" w:hAnsi="Times New Roman" w:cs="Times New Roman"/>
          <w:sz w:val="24"/>
        </w:rPr>
        <w:t>-iems</w:t>
      </w:r>
      <w:r w:rsidR="00062AD0">
        <w:rPr>
          <w:rFonts w:ascii="Times New Roman" w:hAnsi="Times New Roman" w:cs="Times New Roman"/>
          <w:sz w:val="24"/>
        </w:rPr>
        <w:t xml:space="preserve"> daugiabučiams gyvenamiesiems namams nėra gautas pritarimas finansavimui.</w:t>
      </w:r>
    </w:p>
    <w:p w:rsidR="001D4EBA" w:rsidRDefault="001D4EBA" w:rsidP="001D4EBA">
      <w:pPr>
        <w:spacing w:after="0"/>
        <w:ind w:firstLine="567"/>
        <w:jc w:val="both"/>
        <w:rPr>
          <w:rFonts w:ascii="Times New Roman" w:hAnsi="Times New Roman" w:cs="Times New Roman"/>
          <w:sz w:val="24"/>
        </w:rPr>
      </w:pPr>
      <w:r>
        <w:rPr>
          <w:rFonts w:ascii="Times New Roman" w:hAnsi="Times New Roman" w:cs="Times New Roman"/>
          <w:sz w:val="24"/>
        </w:rPr>
        <w:t xml:space="preserve">Per 2015 metus </w:t>
      </w:r>
      <w:r w:rsidR="00062AD0">
        <w:rPr>
          <w:rFonts w:ascii="Times New Roman" w:hAnsi="Times New Roman" w:cs="Times New Roman"/>
          <w:sz w:val="24"/>
        </w:rPr>
        <w:t xml:space="preserve">įvykdyti konkursai ir </w:t>
      </w:r>
      <w:r w:rsidR="007E235B">
        <w:rPr>
          <w:rFonts w:ascii="Times New Roman" w:hAnsi="Times New Roman" w:cs="Times New Roman"/>
          <w:sz w:val="24"/>
        </w:rPr>
        <w:t>pasirašytos 7 statybos rangos darbų su projektavimu sutartys</w:t>
      </w:r>
      <w:r w:rsidR="00062AD0">
        <w:rPr>
          <w:rFonts w:ascii="Times New Roman" w:hAnsi="Times New Roman" w:cs="Times New Roman"/>
          <w:sz w:val="24"/>
        </w:rPr>
        <w:t>.</w:t>
      </w:r>
    </w:p>
    <w:p w:rsidR="001D4EBA" w:rsidRPr="007E235B" w:rsidRDefault="007E235B" w:rsidP="008A6D41">
      <w:pPr>
        <w:spacing w:after="0"/>
        <w:ind w:firstLine="567"/>
        <w:jc w:val="both"/>
        <w:rPr>
          <w:rFonts w:ascii="Times New Roman" w:hAnsi="Times New Roman" w:cs="Times New Roman"/>
          <w:sz w:val="24"/>
        </w:rPr>
      </w:pPr>
      <w:r w:rsidRPr="007E235B">
        <w:rPr>
          <w:rFonts w:ascii="Times New Roman" w:hAnsi="Times New Roman" w:cs="Times New Roman"/>
          <w:sz w:val="24"/>
        </w:rPr>
        <w:t>Per 2015 m. UAB „Prienų butų ūkis“</w:t>
      </w:r>
      <w:r w:rsidR="00907E1A">
        <w:rPr>
          <w:rFonts w:ascii="Times New Roman" w:hAnsi="Times New Roman" w:cs="Times New Roman"/>
          <w:sz w:val="24"/>
        </w:rPr>
        <w:t>,</w:t>
      </w:r>
      <w:r w:rsidRPr="007E235B">
        <w:rPr>
          <w:rFonts w:ascii="Times New Roman" w:hAnsi="Times New Roman" w:cs="Times New Roman"/>
          <w:sz w:val="24"/>
        </w:rPr>
        <w:t xml:space="preserve"> kaip projekto administratorius</w:t>
      </w:r>
      <w:r w:rsidR="00907E1A">
        <w:rPr>
          <w:rFonts w:ascii="Times New Roman" w:hAnsi="Times New Roman" w:cs="Times New Roman"/>
          <w:sz w:val="24"/>
        </w:rPr>
        <w:t>,</w:t>
      </w:r>
      <w:r w:rsidRPr="007E235B">
        <w:rPr>
          <w:rFonts w:ascii="Times New Roman" w:hAnsi="Times New Roman" w:cs="Times New Roman"/>
          <w:sz w:val="24"/>
        </w:rPr>
        <w:t xml:space="preserve"> veikdamas butų ir kitų patalpų savininkų naudai, pasirašė 9 kreditavimo sutartis su AB „Šiaulių bankas“.</w:t>
      </w:r>
      <w:r>
        <w:rPr>
          <w:rFonts w:ascii="Times New Roman" w:hAnsi="Times New Roman" w:cs="Times New Roman"/>
          <w:sz w:val="24"/>
        </w:rPr>
        <w:t xml:space="preserve"> Bankas </w:t>
      </w:r>
      <w:r w:rsidR="00907E1A">
        <w:rPr>
          <w:rFonts w:ascii="Times New Roman" w:hAnsi="Times New Roman" w:cs="Times New Roman"/>
          <w:sz w:val="24"/>
        </w:rPr>
        <w:t xml:space="preserve">suteikė kreditus šiems </w:t>
      </w:r>
      <w:r>
        <w:rPr>
          <w:rFonts w:ascii="Times New Roman" w:hAnsi="Times New Roman" w:cs="Times New Roman"/>
          <w:sz w:val="24"/>
        </w:rPr>
        <w:t>daugiabuči</w:t>
      </w:r>
      <w:r w:rsidR="00907E1A">
        <w:rPr>
          <w:rFonts w:ascii="Times New Roman" w:hAnsi="Times New Roman" w:cs="Times New Roman"/>
          <w:sz w:val="24"/>
        </w:rPr>
        <w:t xml:space="preserve">ams </w:t>
      </w:r>
      <w:r>
        <w:rPr>
          <w:rFonts w:ascii="Times New Roman" w:hAnsi="Times New Roman" w:cs="Times New Roman"/>
          <w:sz w:val="24"/>
        </w:rPr>
        <w:t>nam</w:t>
      </w:r>
      <w:r w:rsidR="00907E1A">
        <w:rPr>
          <w:rFonts w:ascii="Times New Roman" w:hAnsi="Times New Roman" w:cs="Times New Roman"/>
          <w:sz w:val="24"/>
        </w:rPr>
        <w:t>ams:</w:t>
      </w:r>
      <w:r>
        <w:rPr>
          <w:rFonts w:ascii="Times New Roman" w:hAnsi="Times New Roman" w:cs="Times New Roman"/>
          <w:sz w:val="24"/>
        </w:rPr>
        <w:t xml:space="preserve"> Vytauto g. 34, Prienai, Vytauto g. 36, Prienai, Kęstučio g. 75, Prienai, Jaunystės g. 7, Prienai, J. Brundzos g. 4, Prienai, J. Basanavičiaus g. 26, Prienai, Statybininkų g. 13, Prienai, Stadiono g. 22, Prienai, Mokyklos g. 1, Jieznas, Prienų r. sav.</w:t>
      </w:r>
      <w:r w:rsidR="00062AD0">
        <w:rPr>
          <w:rFonts w:ascii="Times New Roman" w:hAnsi="Times New Roman" w:cs="Times New Roman"/>
          <w:sz w:val="24"/>
        </w:rPr>
        <w:t xml:space="preserve"> (I ir II etapo).</w:t>
      </w:r>
      <w:r>
        <w:rPr>
          <w:rFonts w:ascii="Times New Roman" w:hAnsi="Times New Roman" w:cs="Times New Roman"/>
          <w:sz w:val="24"/>
        </w:rPr>
        <w:t xml:space="preserve"> </w:t>
      </w:r>
      <w:r w:rsidR="007D63CC">
        <w:rPr>
          <w:rFonts w:ascii="Times New Roman" w:hAnsi="Times New Roman" w:cs="Times New Roman"/>
          <w:sz w:val="24"/>
        </w:rPr>
        <w:t xml:space="preserve">Šių namų bendra kreditavimo suma yra 3.543.291,44 EUR. </w:t>
      </w:r>
    </w:p>
    <w:p w:rsidR="00690580" w:rsidRDefault="00C71458" w:rsidP="008A6D41">
      <w:pPr>
        <w:spacing w:after="0"/>
        <w:ind w:firstLine="567"/>
        <w:jc w:val="both"/>
        <w:rPr>
          <w:rFonts w:ascii="Times New Roman" w:hAnsi="Times New Roman" w:cs="Times New Roman"/>
          <w:sz w:val="24"/>
        </w:rPr>
      </w:pPr>
      <w:r>
        <w:rPr>
          <w:rFonts w:ascii="Times New Roman" w:hAnsi="Times New Roman" w:cs="Times New Roman"/>
          <w:sz w:val="24"/>
        </w:rPr>
        <w:t xml:space="preserve">Per </w:t>
      </w:r>
      <w:r w:rsidR="00690580">
        <w:rPr>
          <w:rFonts w:ascii="Times New Roman" w:hAnsi="Times New Roman" w:cs="Times New Roman"/>
          <w:sz w:val="24"/>
        </w:rPr>
        <w:t>2015</w:t>
      </w:r>
      <w:r>
        <w:rPr>
          <w:rFonts w:ascii="Times New Roman" w:hAnsi="Times New Roman" w:cs="Times New Roman"/>
          <w:sz w:val="24"/>
        </w:rPr>
        <w:t xml:space="preserve"> metus</w:t>
      </w:r>
      <w:r w:rsidR="00907E1A">
        <w:rPr>
          <w:rFonts w:ascii="Times New Roman" w:hAnsi="Times New Roman" w:cs="Times New Roman"/>
          <w:sz w:val="24"/>
        </w:rPr>
        <w:t xml:space="preserve"> buvo suorganizuota</w:t>
      </w:r>
      <w:r>
        <w:rPr>
          <w:rFonts w:ascii="Times New Roman" w:hAnsi="Times New Roman" w:cs="Times New Roman"/>
          <w:sz w:val="24"/>
        </w:rPr>
        <w:t xml:space="preserve"> </w:t>
      </w:r>
      <w:r w:rsidR="006304A0">
        <w:rPr>
          <w:rFonts w:ascii="Times New Roman" w:hAnsi="Times New Roman" w:cs="Times New Roman"/>
          <w:sz w:val="24"/>
        </w:rPr>
        <w:t xml:space="preserve">112 susirinkimų </w:t>
      </w:r>
      <w:r>
        <w:rPr>
          <w:rFonts w:ascii="Times New Roman" w:hAnsi="Times New Roman" w:cs="Times New Roman"/>
          <w:sz w:val="24"/>
        </w:rPr>
        <w:t>daugiabučių namų, esančių Prienų rajono ir Birštono savivaldybėje,</w:t>
      </w:r>
      <w:r w:rsidR="00907E1A">
        <w:rPr>
          <w:rFonts w:ascii="Times New Roman" w:hAnsi="Times New Roman" w:cs="Times New Roman"/>
          <w:sz w:val="24"/>
        </w:rPr>
        <w:t xml:space="preserve"> dėl</w:t>
      </w:r>
      <w:r>
        <w:rPr>
          <w:rFonts w:ascii="Times New Roman" w:hAnsi="Times New Roman" w:cs="Times New Roman"/>
          <w:sz w:val="24"/>
        </w:rPr>
        <w:t xml:space="preserve"> </w:t>
      </w:r>
      <w:r w:rsidR="008A6D41">
        <w:rPr>
          <w:rFonts w:ascii="Times New Roman" w:hAnsi="Times New Roman" w:cs="Times New Roman"/>
          <w:sz w:val="24"/>
        </w:rPr>
        <w:t xml:space="preserve">atnaujinimo (modernizavimo) </w:t>
      </w:r>
      <w:r>
        <w:rPr>
          <w:rFonts w:ascii="Times New Roman" w:hAnsi="Times New Roman" w:cs="Times New Roman"/>
          <w:sz w:val="24"/>
        </w:rPr>
        <w:t xml:space="preserve">investicijų planų </w:t>
      </w:r>
      <w:r w:rsidR="008A6D41">
        <w:rPr>
          <w:rFonts w:ascii="Times New Roman" w:hAnsi="Times New Roman" w:cs="Times New Roman"/>
          <w:sz w:val="24"/>
        </w:rPr>
        <w:t>koregavimo</w:t>
      </w:r>
      <w:r>
        <w:rPr>
          <w:rFonts w:ascii="Times New Roman" w:hAnsi="Times New Roman" w:cs="Times New Roman"/>
          <w:sz w:val="24"/>
        </w:rPr>
        <w:t xml:space="preserve">, </w:t>
      </w:r>
      <w:r w:rsidR="008A6D41">
        <w:rPr>
          <w:rFonts w:ascii="Times New Roman" w:hAnsi="Times New Roman" w:cs="Times New Roman"/>
          <w:sz w:val="24"/>
        </w:rPr>
        <w:t>techninių darbo projektų pristatymų, sprendimų priėmimo atnauji</w:t>
      </w:r>
      <w:r w:rsidR="00907E1A">
        <w:rPr>
          <w:rFonts w:ascii="Times New Roman" w:hAnsi="Times New Roman" w:cs="Times New Roman"/>
          <w:sz w:val="24"/>
        </w:rPr>
        <w:t>nti pastatus ir kitų priežasčių.</w:t>
      </w:r>
    </w:p>
    <w:p w:rsidR="00292D5F" w:rsidRDefault="00292D5F" w:rsidP="008A6D41">
      <w:pPr>
        <w:spacing w:after="0"/>
        <w:ind w:firstLine="567"/>
        <w:jc w:val="both"/>
        <w:rPr>
          <w:rFonts w:ascii="Times New Roman" w:hAnsi="Times New Roman" w:cs="Times New Roman"/>
          <w:sz w:val="24"/>
        </w:rPr>
      </w:pPr>
      <w:r>
        <w:rPr>
          <w:rFonts w:ascii="Times New Roman" w:hAnsi="Times New Roman" w:cs="Times New Roman"/>
          <w:sz w:val="24"/>
        </w:rPr>
        <w:t xml:space="preserve">Vykdydama daugiabučių namų atnaujinimo (modernizavimo) programą bendrovė negauna tiek pajamų organizuoti šiai veiklai, todėl dalį išlaidų kompensuoja iš kitos veiklos. </w:t>
      </w:r>
    </w:p>
    <w:p w:rsidR="00977F0F" w:rsidRDefault="00977F0F" w:rsidP="008A6D41">
      <w:pPr>
        <w:spacing w:after="0"/>
        <w:ind w:firstLine="567"/>
        <w:jc w:val="both"/>
        <w:rPr>
          <w:rFonts w:ascii="Times New Roman" w:hAnsi="Times New Roman" w:cs="Times New Roman"/>
          <w:sz w:val="24"/>
        </w:rPr>
      </w:pPr>
      <w:r>
        <w:rPr>
          <w:rFonts w:ascii="Times New Roman" w:hAnsi="Times New Roman" w:cs="Times New Roman"/>
          <w:sz w:val="24"/>
        </w:rPr>
        <w:t>Kaip vien</w:t>
      </w:r>
      <w:r w:rsidR="00292D5F">
        <w:rPr>
          <w:rFonts w:ascii="Times New Roman" w:hAnsi="Times New Roman" w:cs="Times New Roman"/>
          <w:sz w:val="24"/>
        </w:rPr>
        <w:t>us</w:t>
      </w:r>
      <w:r>
        <w:rPr>
          <w:rFonts w:ascii="Times New Roman" w:hAnsi="Times New Roman" w:cs="Times New Roman"/>
          <w:sz w:val="24"/>
        </w:rPr>
        <w:t xml:space="preserve"> iš sėkmingai įgyvendintų</w:t>
      </w:r>
      <w:r w:rsidR="00292D5F">
        <w:rPr>
          <w:rFonts w:ascii="Times New Roman" w:hAnsi="Times New Roman" w:cs="Times New Roman"/>
          <w:sz w:val="24"/>
        </w:rPr>
        <w:t xml:space="preserve"> projektų, pateikiame daugiabučius</w:t>
      </w:r>
      <w:r>
        <w:rPr>
          <w:rFonts w:ascii="Times New Roman" w:hAnsi="Times New Roman" w:cs="Times New Roman"/>
          <w:sz w:val="24"/>
        </w:rPr>
        <w:t xml:space="preserve"> gyvenam</w:t>
      </w:r>
      <w:r w:rsidR="00292D5F">
        <w:rPr>
          <w:rFonts w:ascii="Times New Roman" w:hAnsi="Times New Roman" w:cs="Times New Roman"/>
          <w:sz w:val="24"/>
        </w:rPr>
        <w:t>uosius namus</w:t>
      </w:r>
      <w:r>
        <w:rPr>
          <w:rFonts w:ascii="Times New Roman" w:hAnsi="Times New Roman" w:cs="Times New Roman"/>
          <w:sz w:val="24"/>
        </w:rPr>
        <w:t xml:space="preserve"> </w:t>
      </w:r>
      <w:r w:rsidR="00292D5F">
        <w:rPr>
          <w:rFonts w:ascii="Times New Roman" w:hAnsi="Times New Roman" w:cs="Times New Roman"/>
          <w:sz w:val="24"/>
        </w:rPr>
        <w:t xml:space="preserve">Vytauto g. 32, Prienai ir Statybininkų g. 13, Prienai. </w:t>
      </w:r>
      <w:r>
        <w:rPr>
          <w:rFonts w:ascii="Times New Roman" w:hAnsi="Times New Roman" w:cs="Times New Roman"/>
          <w:sz w:val="24"/>
        </w:rPr>
        <w:t xml:space="preserve"> </w:t>
      </w:r>
    </w:p>
    <w:p w:rsidR="00977F0F" w:rsidRDefault="00977F0F" w:rsidP="008A6D41">
      <w:pPr>
        <w:spacing w:after="0"/>
        <w:ind w:firstLine="567"/>
        <w:jc w:val="both"/>
        <w:rPr>
          <w:rFonts w:ascii="Times New Roman" w:hAnsi="Times New Roman" w:cs="Times New Roman"/>
          <w:sz w:val="24"/>
        </w:rPr>
      </w:pPr>
      <w:r w:rsidRPr="00977F0F">
        <w:rPr>
          <w:rFonts w:ascii="Times New Roman" w:hAnsi="Times New Roman" w:cs="Times New Roman"/>
          <w:noProof/>
          <w:sz w:val="24"/>
          <w:lang w:eastAsia="lt-LT"/>
        </w:rPr>
        <w:drawing>
          <wp:anchor distT="0" distB="0" distL="114300" distR="114300" simplePos="0" relativeHeight="251660288" behindDoc="1" locked="0" layoutInCell="1" allowOverlap="1">
            <wp:simplePos x="0" y="0"/>
            <wp:positionH relativeFrom="margin">
              <wp:align>left</wp:align>
            </wp:positionH>
            <wp:positionV relativeFrom="paragraph">
              <wp:posOffset>169437</wp:posOffset>
            </wp:positionV>
            <wp:extent cx="3657600" cy="2578735"/>
            <wp:effectExtent l="0" t="0" r="0" b="0"/>
            <wp:wrapTight wrapText="bothSides">
              <wp:wrapPolygon edited="0">
                <wp:start x="0" y="0"/>
                <wp:lineTo x="0" y="21382"/>
                <wp:lineTo x="21488" y="21382"/>
                <wp:lineTo x="21488" y="0"/>
                <wp:lineTo x="0" y="0"/>
              </wp:wrapPolygon>
            </wp:wrapTight>
            <wp:docPr id="3" name="Paveikslėlis 3" descr="C:\Users\PC-001\Desktop\nuotraukos\IMG_67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001\Desktop\nuotraukos\IMG_67161.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04904" cy="2612656"/>
                    </a:xfrm>
                    <a:prstGeom prst="rect">
                      <a:avLst/>
                    </a:prstGeom>
                    <a:noFill/>
                    <a:ln>
                      <a:noFill/>
                    </a:ln>
                  </pic:spPr>
                </pic:pic>
              </a:graphicData>
            </a:graphic>
          </wp:anchor>
        </w:drawing>
      </w:r>
    </w:p>
    <w:p w:rsidR="00977F0F" w:rsidRPr="00977F0F" w:rsidRDefault="00977F0F" w:rsidP="00977F0F">
      <w:pPr>
        <w:spacing w:after="0"/>
        <w:jc w:val="both"/>
        <w:rPr>
          <w:rFonts w:ascii="Times New Roman" w:hAnsi="Times New Roman" w:cs="Times New Roman"/>
        </w:rPr>
      </w:pPr>
      <w:r w:rsidRPr="00977F0F">
        <w:rPr>
          <w:rFonts w:ascii="Times New Roman" w:hAnsi="Times New Roman" w:cs="Times New Roman"/>
        </w:rPr>
        <w:t>Statybos metai – 1970 m.</w:t>
      </w:r>
    </w:p>
    <w:p w:rsidR="00977F0F" w:rsidRPr="00977F0F" w:rsidRDefault="00977F0F" w:rsidP="00977F0F">
      <w:pPr>
        <w:spacing w:after="0"/>
        <w:jc w:val="both"/>
        <w:rPr>
          <w:rFonts w:ascii="Times New Roman" w:hAnsi="Times New Roman" w:cs="Times New Roman"/>
        </w:rPr>
      </w:pPr>
      <w:r w:rsidRPr="00977F0F">
        <w:rPr>
          <w:rFonts w:ascii="Times New Roman" w:hAnsi="Times New Roman" w:cs="Times New Roman"/>
          <w:bCs/>
        </w:rPr>
        <w:t>Naudingasis plotas – 1548,96 kv. m.</w:t>
      </w:r>
    </w:p>
    <w:p w:rsidR="00977F0F" w:rsidRPr="00977F0F" w:rsidRDefault="00977F0F" w:rsidP="00977F0F">
      <w:pPr>
        <w:spacing w:after="0"/>
        <w:jc w:val="both"/>
        <w:rPr>
          <w:rFonts w:ascii="Times New Roman" w:hAnsi="Times New Roman" w:cs="Times New Roman"/>
        </w:rPr>
      </w:pPr>
      <w:r w:rsidRPr="00977F0F">
        <w:rPr>
          <w:rFonts w:ascii="Times New Roman" w:hAnsi="Times New Roman" w:cs="Times New Roman"/>
          <w:bCs/>
        </w:rPr>
        <w:t>Rangos darbus atliko – AB „Axis Industries“</w:t>
      </w:r>
      <w:r w:rsidR="00292D5F">
        <w:rPr>
          <w:rFonts w:ascii="Times New Roman" w:hAnsi="Times New Roman" w:cs="Times New Roman"/>
          <w:bCs/>
        </w:rPr>
        <w:t>.</w:t>
      </w:r>
    </w:p>
    <w:p w:rsidR="00977F0F" w:rsidRPr="00977F0F" w:rsidRDefault="00977F0F" w:rsidP="00977F0F">
      <w:pPr>
        <w:spacing w:after="0"/>
        <w:jc w:val="both"/>
        <w:rPr>
          <w:rFonts w:ascii="Times New Roman" w:hAnsi="Times New Roman" w:cs="Times New Roman"/>
        </w:rPr>
      </w:pPr>
      <w:r w:rsidRPr="00977F0F">
        <w:rPr>
          <w:rFonts w:ascii="Times New Roman" w:hAnsi="Times New Roman" w:cs="Times New Roman"/>
          <w:bCs/>
        </w:rPr>
        <w:t>Techninę priežiūrą vykdė – UAB „Statybų techninė priežiūra“</w:t>
      </w:r>
      <w:r w:rsidR="00292D5F">
        <w:rPr>
          <w:rFonts w:ascii="Times New Roman" w:hAnsi="Times New Roman" w:cs="Times New Roman"/>
          <w:bCs/>
        </w:rPr>
        <w:t>.</w:t>
      </w:r>
    </w:p>
    <w:p w:rsidR="00977F0F" w:rsidRPr="00977F0F" w:rsidRDefault="00977F0F" w:rsidP="00977F0F">
      <w:pPr>
        <w:spacing w:after="0"/>
        <w:jc w:val="both"/>
        <w:rPr>
          <w:rFonts w:ascii="Times New Roman" w:hAnsi="Times New Roman" w:cs="Times New Roman"/>
        </w:rPr>
      </w:pPr>
      <w:r w:rsidRPr="00977F0F">
        <w:rPr>
          <w:rFonts w:ascii="Times New Roman" w:hAnsi="Times New Roman" w:cs="Times New Roman"/>
          <w:bCs/>
        </w:rPr>
        <w:t>Pagal investicijų planą – 326.361,21 EUR</w:t>
      </w:r>
      <w:r w:rsidR="00292D5F">
        <w:rPr>
          <w:rFonts w:ascii="Times New Roman" w:hAnsi="Times New Roman" w:cs="Times New Roman"/>
          <w:bCs/>
        </w:rPr>
        <w:t>.</w:t>
      </w:r>
    </w:p>
    <w:p w:rsidR="00977F0F" w:rsidRPr="00977F0F" w:rsidRDefault="00977F0F" w:rsidP="00977F0F">
      <w:pPr>
        <w:spacing w:after="0"/>
        <w:jc w:val="both"/>
        <w:rPr>
          <w:rFonts w:ascii="Times New Roman" w:hAnsi="Times New Roman" w:cs="Times New Roman"/>
        </w:rPr>
      </w:pPr>
      <w:r w:rsidRPr="00977F0F">
        <w:rPr>
          <w:rFonts w:ascii="Times New Roman" w:hAnsi="Times New Roman" w:cs="Times New Roman"/>
          <w:bCs/>
        </w:rPr>
        <w:t>Statybos rangos darbų su projektavimu kaina – 296.205,67 EUR</w:t>
      </w:r>
      <w:r w:rsidR="00292D5F">
        <w:rPr>
          <w:rFonts w:ascii="Times New Roman" w:hAnsi="Times New Roman" w:cs="Times New Roman"/>
          <w:bCs/>
        </w:rPr>
        <w:t>.</w:t>
      </w:r>
    </w:p>
    <w:p w:rsidR="00977F0F" w:rsidRPr="00977F0F" w:rsidRDefault="00977F0F" w:rsidP="00977F0F">
      <w:pPr>
        <w:spacing w:after="0"/>
        <w:jc w:val="both"/>
        <w:rPr>
          <w:rFonts w:ascii="Times New Roman" w:hAnsi="Times New Roman" w:cs="Times New Roman"/>
        </w:rPr>
      </w:pPr>
      <w:r w:rsidRPr="00977F0F">
        <w:rPr>
          <w:rFonts w:ascii="Times New Roman" w:hAnsi="Times New Roman" w:cs="Times New Roman"/>
          <w:bCs/>
        </w:rPr>
        <w:t>Pastato energinio naudingumo klasė prieš atnaujinimą (modernizavimą) – D klasė</w:t>
      </w:r>
      <w:r w:rsidR="00292D5F">
        <w:rPr>
          <w:rFonts w:ascii="Times New Roman" w:hAnsi="Times New Roman" w:cs="Times New Roman"/>
          <w:bCs/>
        </w:rPr>
        <w:t>.</w:t>
      </w:r>
    </w:p>
    <w:p w:rsidR="00977F0F" w:rsidRDefault="00977F0F" w:rsidP="00977F0F">
      <w:pPr>
        <w:spacing w:after="0"/>
        <w:jc w:val="both"/>
        <w:rPr>
          <w:rFonts w:ascii="Times New Roman" w:hAnsi="Times New Roman" w:cs="Times New Roman"/>
          <w:bCs/>
        </w:rPr>
      </w:pPr>
      <w:r w:rsidRPr="00977F0F">
        <w:rPr>
          <w:rFonts w:ascii="Times New Roman" w:hAnsi="Times New Roman" w:cs="Times New Roman"/>
          <w:bCs/>
        </w:rPr>
        <w:t>Pasiekta pastato energinio naudingumo klasė įgyvendinus projektą  - B klasė</w:t>
      </w:r>
      <w:r w:rsidR="00292D5F">
        <w:rPr>
          <w:rFonts w:ascii="Times New Roman" w:hAnsi="Times New Roman" w:cs="Times New Roman"/>
          <w:bCs/>
        </w:rPr>
        <w:t>.</w:t>
      </w:r>
    </w:p>
    <w:p w:rsidR="00292D5F" w:rsidRDefault="00292D5F" w:rsidP="00977F0F">
      <w:pPr>
        <w:spacing w:after="0"/>
        <w:jc w:val="both"/>
        <w:rPr>
          <w:rFonts w:ascii="Times New Roman" w:hAnsi="Times New Roman" w:cs="Times New Roman"/>
          <w:bCs/>
        </w:rPr>
      </w:pPr>
    </w:p>
    <w:p w:rsidR="00292D5F" w:rsidRPr="00292D5F" w:rsidRDefault="00292D5F" w:rsidP="00292D5F">
      <w:pPr>
        <w:spacing w:after="0"/>
        <w:jc w:val="both"/>
        <w:rPr>
          <w:rFonts w:ascii="Times New Roman" w:hAnsi="Times New Roman" w:cs="Times New Roman"/>
          <w:bCs/>
        </w:rPr>
      </w:pPr>
      <w:r w:rsidRPr="00292D5F">
        <w:rPr>
          <w:rFonts w:ascii="Times New Roman" w:hAnsi="Times New Roman" w:cs="Times New Roman"/>
          <w:noProof/>
          <w:lang w:eastAsia="lt-LT"/>
        </w:rPr>
        <w:drawing>
          <wp:anchor distT="0" distB="0" distL="114300" distR="114300" simplePos="0" relativeHeight="251661312" behindDoc="1" locked="0" layoutInCell="1" allowOverlap="1">
            <wp:simplePos x="0" y="0"/>
            <wp:positionH relativeFrom="margin">
              <wp:align>left</wp:align>
            </wp:positionH>
            <wp:positionV relativeFrom="paragraph">
              <wp:posOffset>9525</wp:posOffset>
            </wp:positionV>
            <wp:extent cx="3648710" cy="2432050"/>
            <wp:effectExtent l="0" t="0" r="8890" b="6350"/>
            <wp:wrapTight wrapText="bothSides">
              <wp:wrapPolygon edited="0">
                <wp:start x="0" y="0"/>
                <wp:lineTo x="0" y="21487"/>
                <wp:lineTo x="21540" y="21487"/>
                <wp:lineTo x="21540" y="0"/>
                <wp:lineTo x="0" y="0"/>
              </wp:wrapPolygon>
            </wp:wrapTight>
            <wp:docPr id="4" name="Paveikslėlis 4" descr="C:\Users\PC-001\Desktop\nuotraukos\IMG_8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001\Desktop\nuotraukos\IMG_8188.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48710" cy="2432050"/>
                    </a:xfrm>
                    <a:prstGeom prst="rect">
                      <a:avLst/>
                    </a:prstGeom>
                    <a:noFill/>
                    <a:ln>
                      <a:noFill/>
                    </a:ln>
                  </pic:spPr>
                </pic:pic>
              </a:graphicData>
            </a:graphic>
          </wp:anchor>
        </w:drawing>
      </w:r>
      <w:r w:rsidRPr="00292D5F">
        <w:rPr>
          <w:rFonts w:ascii="Times New Roman" w:hAnsi="Times New Roman" w:cs="Times New Roman"/>
        </w:rPr>
        <w:t>Statybos metai – 1976 m.</w:t>
      </w:r>
    </w:p>
    <w:p w:rsidR="00292D5F" w:rsidRPr="00292D5F" w:rsidRDefault="00292D5F" w:rsidP="00292D5F">
      <w:pPr>
        <w:spacing w:after="0"/>
        <w:jc w:val="both"/>
        <w:rPr>
          <w:rFonts w:ascii="Times New Roman" w:hAnsi="Times New Roman" w:cs="Times New Roman"/>
          <w:bCs/>
        </w:rPr>
      </w:pPr>
      <w:r w:rsidRPr="00292D5F">
        <w:rPr>
          <w:rFonts w:ascii="Times New Roman" w:hAnsi="Times New Roman" w:cs="Times New Roman"/>
        </w:rPr>
        <w:t>Naudingasis plotas – 1055,05 kv. m.</w:t>
      </w:r>
    </w:p>
    <w:p w:rsidR="00292D5F" w:rsidRPr="00292D5F" w:rsidRDefault="00292D5F" w:rsidP="00292D5F">
      <w:pPr>
        <w:spacing w:after="0"/>
        <w:jc w:val="both"/>
        <w:rPr>
          <w:rFonts w:ascii="Times New Roman" w:hAnsi="Times New Roman" w:cs="Times New Roman"/>
          <w:bCs/>
        </w:rPr>
      </w:pPr>
      <w:r w:rsidRPr="00292D5F">
        <w:rPr>
          <w:rFonts w:ascii="Times New Roman" w:hAnsi="Times New Roman" w:cs="Times New Roman"/>
        </w:rPr>
        <w:t>Rangos darbus atliko – UAB „Struktūra“</w:t>
      </w:r>
      <w:r>
        <w:rPr>
          <w:rFonts w:ascii="Times New Roman" w:hAnsi="Times New Roman" w:cs="Times New Roman"/>
        </w:rPr>
        <w:t>.</w:t>
      </w:r>
    </w:p>
    <w:p w:rsidR="00292D5F" w:rsidRPr="00292D5F" w:rsidRDefault="00292D5F" w:rsidP="00292D5F">
      <w:pPr>
        <w:spacing w:after="0"/>
        <w:jc w:val="both"/>
        <w:rPr>
          <w:rFonts w:ascii="Times New Roman" w:hAnsi="Times New Roman" w:cs="Times New Roman"/>
          <w:bCs/>
        </w:rPr>
      </w:pPr>
      <w:r w:rsidRPr="00292D5F">
        <w:rPr>
          <w:rFonts w:ascii="Times New Roman" w:hAnsi="Times New Roman" w:cs="Times New Roman"/>
        </w:rPr>
        <w:t>Techninę priežiūrą vykdė – UAB „Prie Lėvens“</w:t>
      </w:r>
      <w:r>
        <w:rPr>
          <w:rFonts w:ascii="Times New Roman" w:hAnsi="Times New Roman" w:cs="Times New Roman"/>
        </w:rPr>
        <w:t>.</w:t>
      </w:r>
    </w:p>
    <w:p w:rsidR="00292D5F" w:rsidRPr="00292D5F" w:rsidRDefault="00292D5F" w:rsidP="00292D5F">
      <w:pPr>
        <w:spacing w:after="0"/>
        <w:jc w:val="both"/>
        <w:rPr>
          <w:rFonts w:ascii="Times New Roman" w:hAnsi="Times New Roman" w:cs="Times New Roman"/>
          <w:bCs/>
        </w:rPr>
      </w:pPr>
      <w:r w:rsidRPr="00292D5F">
        <w:rPr>
          <w:rFonts w:ascii="Times New Roman" w:hAnsi="Times New Roman" w:cs="Times New Roman"/>
        </w:rPr>
        <w:t>Pagal investicijų planą – 318.819,51 EUR</w:t>
      </w:r>
      <w:r>
        <w:rPr>
          <w:rFonts w:ascii="Times New Roman" w:hAnsi="Times New Roman" w:cs="Times New Roman"/>
        </w:rPr>
        <w:t>.</w:t>
      </w:r>
    </w:p>
    <w:p w:rsidR="00292D5F" w:rsidRPr="00292D5F" w:rsidRDefault="00292D5F" w:rsidP="00292D5F">
      <w:pPr>
        <w:spacing w:after="0"/>
        <w:jc w:val="both"/>
        <w:rPr>
          <w:rFonts w:ascii="Times New Roman" w:hAnsi="Times New Roman" w:cs="Times New Roman"/>
          <w:bCs/>
        </w:rPr>
      </w:pPr>
      <w:r w:rsidRPr="00292D5F">
        <w:rPr>
          <w:rFonts w:ascii="Times New Roman" w:hAnsi="Times New Roman" w:cs="Times New Roman"/>
        </w:rPr>
        <w:t>Statybos rangos darbų su projektavimu kaina – 301.608,87 EUR</w:t>
      </w:r>
      <w:r>
        <w:rPr>
          <w:rFonts w:ascii="Times New Roman" w:hAnsi="Times New Roman" w:cs="Times New Roman"/>
        </w:rPr>
        <w:t>.</w:t>
      </w:r>
    </w:p>
    <w:p w:rsidR="00292D5F" w:rsidRPr="00292D5F" w:rsidRDefault="00292D5F" w:rsidP="00292D5F">
      <w:pPr>
        <w:spacing w:after="0"/>
        <w:jc w:val="both"/>
        <w:rPr>
          <w:rFonts w:ascii="Times New Roman" w:hAnsi="Times New Roman" w:cs="Times New Roman"/>
          <w:bCs/>
        </w:rPr>
      </w:pPr>
      <w:r w:rsidRPr="00292D5F">
        <w:rPr>
          <w:rFonts w:ascii="Times New Roman" w:hAnsi="Times New Roman" w:cs="Times New Roman"/>
        </w:rPr>
        <w:lastRenderedPageBreak/>
        <w:t>Pastato energinio naudingumo klasė prieš atnaujinimą (modernizavimą) – E</w:t>
      </w:r>
      <w:r>
        <w:rPr>
          <w:rFonts w:ascii="Times New Roman" w:hAnsi="Times New Roman" w:cs="Times New Roman"/>
        </w:rPr>
        <w:t>.</w:t>
      </w:r>
    </w:p>
    <w:p w:rsidR="00292D5F" w:rsidRPr="00292D5F" w:rsidRDefault="00292D5F" w:rsidP="00292D5F">
      <w:pPr>
        <w:spacing w:after="0"/>
        <w:jc w:val="both"/>
        <w:rPr>
          <w:rFonts w:ascii="Times New Roman" w:hAnsi="Times New Roman" w:cs="Times New Roman"/>
          <w:bCs/>
        </w:rPr>
      </w:pPr>
      <w:r w:rsidRPr="00292D5F">
        <w:rPr>
          <w:rFonts w:ascii="Times New Roman" w:hAnsi="Times New Roman" w:cs="Times New Roman"/>
        </w:rPr>
        <w:t>Pasiekta pastato energinio naudingumo klasė įgyvendinus projektą – C</w:t>
      </w:r>
      <w:r>
        <w:rPr>
          <w:rFonts w:ascii="Times New Roman" w:hAnsi="Times New Roman" w:cs="Times New Roman"/>
        </w:rPr>
        <w:t>.</w:t>
      </w:r>
    </w:p>
    <w:p w:rsidR="00292D5F" w:rsidRPr="00977F0F" w:rsidRDefault="00292D5F" w:rsidP="00977F0F">
      <w:pPr>
        <w:spacing w:after="0"/>
        <w:jc w:val="both"/>
        <w:rPr>
          <w:rFonts w:ascii="Times New Roman" w:hAnsi="Times New Roman" w:cs="Times New Roman"/>
        </w:rPr>
      </w:pPr>
    </w:p>
    <w:p w:rsidR="0061034A" w:rsidRDefault="008A6D41" w:rsidP="0061034A">
      <w:pPr>
        <w:spacing w:after="0"/>
        <w:jc w:val="center"/>
        <w:rPr>
          <w:rFonts w:ascii="Times New Roman" w:hAnsi="Times New Roman" w:cs="Times New Roman"/>
          <w:b/>
          <w:sz w:val="24"/>
        </w:rPr>
      </w:pPr>
      <w:r>
        <w:rPr>
          <w:rFonts w:ascii="Times New Roman" w:hAnsi="Times New Roman" w:cs="Times New Roman"/>
          <w:b/>
          <w:sz w:val="24"/>
        </w:rPr>
        <w:t>6.3</w:t>
      </w:r>
      <w:r w:rsidR="0061034A" w:rsidRPr="0061034A">
        <w:rPr>
          <w:rFonts w:ascii="Times New Roman" w:hAnsi="Times New Roman" w:cs="Times New Roman"/>
          <w:b/>
          <w:sz w:val="24"/>
        </w:rPr>
        <w:t>.</w:t>
      </w:r>
      <w:r>
        <w:rPr>
          <w:rFonts w:ascii="Times New Roman" w:hAnsi="Times New Roman" w:cs="Times New Roman"/>
          <w:b/>
          <w:sz w:val="24"/>
        </w:rPr>
        <w:t>5.</w:t>
      </w:r>
      <w:r w:rsidR="0061034A" w:rsidRPr="0061034A">
        <w:rPr>
          <w:rFonts w:ascii="Times New Roman" w:hAnsi="Times New Roman" w:cs="Times New Roman"/>
          <w:b/>
          <w:sz w:val="24"/>
        </w:rPr>
        <w:t xml:space="preserve"> </w:t>
      </w:r>
      <w:r>
        <w:rPr>
          <w:rFonts w:ascii="Times New Roman" w:hAnsi="Times New Roman" w:cs="Times New Roman"/>
          <w:b/>
          <w:sz w:val="24"/>
        </w:rPr>
        <w:t>SANITARIJA IR KOMUNALINIS ŪKIS</w:t>
      </w:r>
    </w:p>
    <w:p w:rsidR="0061034A" w:rsidRDefault="0061034A" w:rsidP="0061034A">
      <w:pPr>
        <w:spacing w:after="0"/>
        <w:jc w:val="center"/>
        <w:rPr>
          <w:rFonts w:ascii="Times New Roman" w:hAnsi="Times New Roman" w:cs="Times New Roman"/>
          <w:b/>
          <w:sz w:val="24"/>
        </w:rPr>
      </w:pPr>
    </w:p>
    <w:p w:rsidR="007D11E6" w:rsidRDefault="007D11E6" w:rsidP="0066698A">
      <w:pPr>
        <w:spacing w:after="0"/>
        <w:ind w:firstLine="567"/>
        <w:jc w:val="both"/>
        <w:rPr>
          <w:rFonts w:ascii="Times New Roman" w:hAnsi="Times New Roman" w:cs="Times New Roman"/>
          <w:sz w:val="24"/>
        </w:rPr>
      </w:pPr>
      <w:r>
        <w:rPr>
          <w:rFonts w:ascii="Times New Roman" w:hAnsi="Times New Roman" w:cs="Times New Roman"/>
          <w:sz w:val="24"/>
        </w:rPr>
        <w:t xml:space="preserve">Vykdant Prienų miesto gatvių, pėsčiųjų takų, važiuojamosios gatvės dalies (vienas metras nuo bordiūro), šaligatvių, laiptų, aikštelių, įvažiavimų, vejų, žolynų ir gėlynų plotų valymą ir priežiūrą vadovaujasi pasirašyta sutartimi su Prienų rajono savivaldybės administracija ir Prienų rajono savivaldybės administratoriaus direktoriaus 2012 04 04 įsakymu Nr. (7.7.)-A3-2012/201 patvirtintais ir inventorizuotais šių paslaugų kiekiais. </w:t>
      </w:r>
    </w:p>
    <w:p w:rsidR="008A6D41" w:rsidRDefault="008A6D41" w:rsidP="002425AC">
      <w:pPr>
        <w:spacing w:after="0"/>
        <w:ind w:firstLine="567"/>
        <w:jc w:val="both"/>
        <w:rPr>
          <w:rFonts w:ascii="Times New Roman" w:hAnsi="Times New Roman" w:cs="Times New Roman"/>
          <w:sz w:val="24"/>
        </w:rPr>
      </w:pPr>
    </w:p>
    <w:p w:rsidR="007D11E6" w:rsidRDefault="007D11E6" w:rsidP="002425AC">
      <w:pPr>
        <w:spacing w:after="0"/>
        <w:ind w:firstLine="567"/>
        <w:jc w:val="both"/>
        <w:rPr>
          <w:rFonts w:ascii="Times New Roman" w:hAnsi="Times New Roman" w:cs="Times New Roman"/>
          <w:sz w:val="24"/>
        </w:rPr>
      </w:pPr>
      <w:r>
        <w:rPr>
          <w:rFonts w:ascii="Times New Roman" w:hAnsi="Times New Roman" w:cs="Times New Roman"/>
          <w:sz w:val="24"/>
        </w:rPr>
        <w:t>Bendrovė taip pat 201</w:t>
      </w:r>
      <w:r w:rsidR="008A6D41">
        <w:rPr>
          <w:rFonts w:ascii="Times New Roman" w:hAnsi="Times New Roman" w:cs="Times New Roman"/>
          <w:sz w:val="24"/>
        </w:rPr>
        <w:t>5</w:t>
      </w:r>
      <w:r>
        <w:rPr>
          <w:rFonts w:ascii="Times New Roman" w:hAnsi="Times New Roman" w:cs="Times New Roman"/>
          <w:sz w:val="24"/>
        </w:rPr>
        <w:t xml:space="preserve"> m. vykdė komunalinio ūkio šiuos darbus:</w:t>
      </w:r>
    </w:p>
    <w:p w:rsidR="007D11E6" w:rsidRDefault="007D11E6" w:rsidP="007D11E6">
      <w:pPr>
        <w:pStyle w:val="ListParagraph"/>
        <w:numPr>
          <w:ilvl w:val="0"/>
          <w:numId w:val="1"/>
        </w:numPr>
        <w:spacing w:after="0"/>
        <w:jc w:val="both"/>
        <w:rPr>
          <w:rFonts w:ascii="Times New Roman" w:hAnsi="Times New Roman" w:cs="Times New Roman"/>
          <w:sz w:val="24"/>
        </w:rPr>
      </w:pPr>
      <w:r>
        <w:rPr>
          <w:rFonts w:ascii="Times New Roman" w:hAnsi="Times New Roman" w:cs="Times New Roman"/>
          <w:sz w:val="24"/>
        </w:rPr>
        <w:t>Sodų bendrijų kelių priežiūra;</w:t>
      </w:r>
    </w:p>
    <w:p w:rsidR="007D11E6" w:rsidRDefault="007D11E6" w:rsidP="007D11E6">
      <w:pPr>
        <w:pStyle w:val="ListParagraph"/>
        <w:numPr>
          <w:ilvl w:val="0"/>
          <w:numId w:val="1"/>
        </w:numPr>
        <w:spacing w:after="0"/>
        <w:jc w:val="both"/>
        <w:rPr>
          <w:rFonts w:ascii="Times New Roman" w:hAnsi="Times New Roman" w:cs="Times New Roman"/>
          <w:sz w:val="24"/>
        </w:rPr>
      </w:pPr>
      <w:r>
        <w:rPr>
          <w:rFonts w:ascii="Times New Roman" w:hAnsi="Times New Roman" w:cs="Times New Roman"/>
          <w:sz w:val="24"/>
        </w:rPr>
        <w:t>Miesto šventinis papuošimas ir nupuošimas;</w:t>
      </w:r>
    </w:p>
    <w:p w:rsidR="007D11E6" w:rsidRDefault="007D11E6" w:rsidP="007D11E6">
      <w:pPr>
        <w:pStyle w:val="ListParagraph"/>
        <w:numPr>
          <w:ilvl w:val="0"/>
          <w:numId w:val="1"/>
        </w:numPr>
        <w:spacing w:after="0"/>
        <w:jc w:val="both"/>
        <w:rPr>
          <w:rFonts w:ascii="Times New Roman" w:hAnsi="Times New Roman" w:cs="Times New Roman"/>
          <w:sz w:val="24"/>
        </w:rPr>
      </w:pPr>
      <w:r>
        <w:rPr>
          <w:rFonts w:ascii="Times New Roman" w:hAnsi="Times New Roman" w:cs="Times New Roman"/>
          <w:sz w:val="24"/>
        </w:rPr>
        <w:t>Miesto naujametinės eglutės papuošimas ir nupuošimas;</w:t>
      </w:r>
    </w:p>
    <w:p w:rsidR="007D11E6" w:rsidRDefault="002425AC" w:rsidP="007D11E6">
      <w:pPr>
        <w:pStyle w:val="ListParagraph"/>
        <w:numPr>
          <w:ilvl w:val="0"/>
          <w:numId w:val="1"/>
        </w:numPr>
        <w:spacing w:after="0"/>
        <w:jc w:val="both"/>
        <w:rPr>
          <w:rFonts w:ascii="Times New Roman" w:hAnsi="Times New Roman" w:cs="Times New Roman"/>
          <w:sz w:val="24"/>
        </w:rPr>
      </w:pPr>
      <w:r>
        <w:rPr>
          <w:rFonts w:ascii="Times New Roman" w:hAnsi="Times New Roman" w:cs="Times New Roman"/>
          <w:sz w:val="24"/>
        </w:rPr>
        <w:t>Miesto renginių metu gatvių aptvėrimas, biot</w:t>
      </w:r>
      <w:r w:rsidR="008F3744">
        <w:rPr>
          <w:rFonts w:ascii="Times New Roman" w:hAnsi="Times New Roman" w:cs="Times New Roman"/>
          <w:sz w:val="24"/>
        </w:rPr>
        <w:t>ua</w:t>
      </w:r>
      <w:r>
        <w:rPr>
          <w:rFonts w:ascii="Times New Roman" w:hAnsi="Times New Roman" w:cs="Times New Roman"/>
          <w:sz w:val="24"/>
        </w:rPr>
        <w:t xml:space="preserve">letų pastatymas ir kt. </w:t>
      </w:r>
    </w:p>
    <w:p w:rsidR="008A6D41" w:rsidRDefault="008A6D41" w:rsidP="002425AC">
      <w:pPr>
        <w:spacing w:after="0"/>
        <w:ind w:firstLine="567"/>
        <w:jc w:val="both"/>
        <w:rPr>
          <w:rFonts w:ascii="Times New Roman" w:hAnsi="Times New Roman" w:cs="Times New Roman"/>
          <w:sz w:val="24"/>
        </w:rPr>
      </w:pPr>
    </w:p>
    <w:p w:rsidR="002D1F62" w:rsidRDefault="002425AC" w:rsidP="002425AC">
      <w:pPr>
        <w:spacing w:after="0"/>
        <w:ind w:firstLine="567"/>
        <w:jc w:val="both"/>
        <w:rPr>
          <w:rFonts w:ascii="Times New Roman" w:hAnsi="Times New Roman" w:cs="Times New Roman"/>
          <w:sz w:val="24"/>
        </w:rPr>
      </w:pPr>
      <w:r w:rsidRPr="002425AC">
        <w:rPr>
          <w:rFonts w:ascii="Times New Roman" w:hAnsi="Times New Roman" w:cs="Times New Roman"/>
          <w:sz w:val="24"/>
        </w:rPr>
        <w:t xml:space="preserve">Pagal </w:t>
      </w:r>
      <w:r>
        <w:rPr>
          <w:rFonts w:ascii="Times New Roman" w:hAnsi="Times New Roman" w:cs="Times New Roman"/>
          <w:sz w:val="24"/>
        </w:rPr>
        <w:t xml:space="preserve">Prienų ir Birštono savivaldybių susitarimą bendrovė vykdo </w:t>
      </w:r>
      <w:r w:rsidR="008F3744">
        <w:rPr>
          <w:rFonts w:ascii="Times New Roman" w:hAnsi="Times New Roman" w:cs="Times New Roman"/>
          <w:sz w:val="24"/>
        </w:rPr>
        <w:t xml:space="preserve">civilinių </w:t>
      </w:r>
      <w:r w:rsidR="002D1F62">
        <w:rPr>
          <w:rFonts w:ascii="Times New Roman" w:hAnsi="Times New Roman" w:cs="Times New Roman"/>
          <w:sz w:val="24"/>
        </w:rPr>
        <w:t>kapinių, esančių Birštono savivaldybės teritorijoje, I</w:t>
      </w:r>
      <w:r w:rsidR="0000348D">
        <w:rPr>
          <w:rFonts w:ascii="Times New Roman" w:hAnsi="Times New Roman" w:cs="Times New Roman"/>
          <w:sz w:val="24"/>
        </w:rPr>
        <w:t>von</w:t>
      </w:r>
      <w:r w:rsidR="002D1F62">
        <w:rPr>
          <w:rFonts w:ascii="Times New Roman" w:hAnsi="Times New Roman" w:cs="Times New Roman"/>
          <w:sz w:val="24"/>
        </w:rPr>
        <w:t>iškių k. Vadovaujamės patvirtintomis kapinių tvarkymo taisyklėmis. Vykdydami priežiūrą</w:t>
      </w:r>
      <w:r w:rsidR="008F3744">
        <w:rPr>
          <w:rFonts w:ascii="Times New Roman" w:hAnsi="Times New Roman" w:cs="Times New Roman"/>
          <w:sz w:val="24"/>
        </w:rPr>
        <w:t>,</w:t>
      </w:r>
      <w:r w:rsidR="002D1F62">
        <w:rPr>
          <w:rFonts w:ascii="Times New Roman" w:hAnsi="Times New Roman" w:cs="Times New Roman"/>
          <w:sz w:val="24"/>
        </w:rPr>
        <w:t xml:space="preserve"> atliekame aplinkos tvarkymo, šiukšlių išvežimo, vandens atvežimo, medžių genėjimo ir pjovimo darbus. Išduodame leidimus laidoti, tvarkome su tuo susijusią apskaitą, įforminame kapinių tvarkymo žurnale. </w:t>
      </w:r>
    </w:p>
    <w:p w:rsidR="0000348D" w:rsidRDefault="0000348D" w:rsidP="0000348D">
      <w:pPr>
        <w:spacing w:after="0"/>
        <w:jc w:val="both"/>
        <w:rPr>
          <w:rFonts w:ascii="Times New Roman" w:hAnsi="Times New Roman" w:cs="Times New Roman"/>
          <w:sz w:val="24"/>
        </w:rPr>
      </w:pPr>
    </w:p>
    <w:p w:rsidR="0000348D" w:rsidRDefault="008A6D41" w:rsidP="0000348D">
      <w:pPr>
        <w:spacing w:after="0"/>
        <w:jc w:val="center"/>
        <w:rPr>
          <w:rFonts w:ascii="Times New Roman" w:hAnsi="Times New Roman" w:cs="Times New Roman"/>
          <w:b/>
          <w:sz w:val="24"/>
        </w:rPr>
      </w:pPr>
      <w:r>
        <w:rPr>
          <w:rFonts w:ascii="Times New Roman" w:hAnsi="Times New Roman" w:cs="Times New Roman"/>
          <w:b/>
          <w:sz w:val="24"/>
        </w:rPr>
        <w:t>6.3.6</w:t>
      </w:r>
      <w:r w:rsidR="0000348D" w:rsidRPr="0000348D">
        <w:rPr>
          <w:rFonts w:ascii="Times New Roman" w:hAnsi="Times New Roman" w:cs="Times New Roman"/>
          <w:b/>
          <w:sz w:val="24"/>
        </w:rPr>
        <w:t>. SKOLŲ ADMINISTRAVIMAS</w:t>
      </w:r>
    </w:p>
    <w:p w:rsidR="0000348D" w:rsidRDefault="0000348D" w:rsidP="0000348D">
      <w:pPr>
        <w:spacing w:after="0"/>
        <w:jc w:val="center"/>
        <w:rPr>
          <w:rFonts w:ascii="Times New Roman" w:hAnsi="Times New Roman" w:cs="Times New Roman"/>
          <w:b/>
          <w:sz w:val="24"/>
        </w:rPr>
      </w:pPr>
    </w:p>
    <w:p w:rsidR="0000348D" w:rsidRPr="002D5F07" w:rsidRDefault="0000348D" w:rsidP="0000348D">
      <w:pPr>
        <w:spacing w:after="0"/>
        <w:ind w:firstLine="567"/>
        <w:jc w:val="both"/>
        <w:rPr>
          <w:rFonts w:ascii="Times New Roman" w:hAnsi="Times New Roman" w:cs="Times New Roman"/>
          <w:sz w:val="24"/>
        </w:rPr>
      </w:pPr>
      <w:r w:rsidRPr="002D5F07">
        <w:rPr>
          <w:rFonts w:ascii="Times New Roman" w:hAnsi="Times New Roman" w:cs="Times New Roman"/>
          <w:sz w:val="24"/>
        </w:rPr>
        <w:t>201</w:t>
      </w:r>
      <w:r w:rsidR="008A6D41" w:rsidRPr="002D5F07">
        <w:rPr>
          <w:rFonts w:ascii="Times New Roman" w:hAnsi="Times New Roman" w:cs="Times New Roman"/>
          <w:sz w:val="24"/>
        </w:rPr>
        <w:t>5</w:t>
      </w:r>
      <w:r w:rsidRPr="002D5F07">
        <w:rPr>
          <w:rFonts w:ascii="Times New Roman" w:hAnsi="Times New Roman" w:cs="Times New Roman"/>
          <w:sz w:val="24"/>
        </w:rPr>
        <w:t xml:space="preserve"> m. pabaigai už mūsų suteiktas paslaugas, pirkėjų įsiskolinimas, tame tarpe ir daugiabučių namų gyventojų, sudarė </w:t>
      </w:r>
      <w:r w:rsidR="002D5F07" w:rsidRPr="002D5F07">
        <w:rPr>
          <w:rFonts w:ascii="Times New Roman" w:hAnsi="Times New Roman" w:cs="Times New Roman"/>
          <w:sz w:val="24"/>
        </w:rPr>
        <w:t>138.367 EUR</w:t>
      </w:r>
      <w:r w:rsidRPr="002D5F07">
        <w:rPr>
          <w:rFonts w:ascii="Times New Roman" w:hAnsi="Times New Roman" w:cs="Times New Roman"/>
          <w:sz w:val="24"/>
        </w:rPr>
        <w:t xml:space="preserve">, iš jų gyventojų už daugiabučių namų administravimą ir priežiūrą </w:t>
      </w:r>
      <w:r w:rsidR="002D5F07" w:rsidRPr="002D5F07">
        <w:rPr>
          <w:rFonts w:ascii="Times New Roman" w:hAnsi="Times New Roman" w:cs="Times New Roman"/>
          <w:sz w:val="24"/>
        </w:rPr>
        <w:t>105.234 EUR</w:t>
      </w:r>
      <w:r w:rsidRPr="002D5F07">
        <w:rPr>
          <w:rFonts w:ascii="Times New Roman" w:hAnsi="Times New Roman" w:cs="Times New Roman"/>
          <w:sz w:val="24"/>
        </w:rPr>
        <w:t>. Palyginus su 201</w:t>
      </w:r>
      <w:r w:rsidR="002D5F07" w:rsidRPr="002D5F07">
        <w:rPr>
          <w:rFonts w:ascii="Times New Roman" w:hAnsi="Times New Roman" w:cs="Times New Roman"/>
          <w:sz w:val="24"/>
        </w:rPr>
        <w:t>4</w:t>
      </w:r>
      <w:r w:rsidRPr="002D5F07">
        <w:rPr>
          <w:rFonts w:ascii="Times New Roman" w:hAnsi="Times New Roman" w:cs="Times New Roman"/>
          <w:sz w:val="24"/>
        </w:rPr>
        <w:t xml:space="preserve"> m. pirkėjų skolos </w:t>
      </w:r>
      <w:r w:rsidR="002D5F07" w:rsidRPr="002D5F07">
        <w:rPr>
          <w:rFonts w:ascii="Times New Roman" w:hAnsi="Times New Roman" w:cs="Times New Roman"/>
          <w:sz w:val="24"/>
        </w:rPr>
        <w:t>sumažėjo 53.179 EUR</w:t>
      </w:r>
      <w:r w:rsidRPr="002D5F07">
        <w:rPr>
          <w:rFonts w:ascii="Times New Roman" w:hAnsi="Times New Roman" w:cs="Times New Roman"/>
          <w:sz w:val="24"/>
        </w:rPr>
        <w:t xml:space="preserve">. </w:t>
      </w:r>
    </w:p>
    <w:p w:rsidR="0000348D" w:rsidRPr="002D5F07" w:rsidRDefault="0000348D" w:rsidP="0000348D">
      <w:pPr>
        <w:spacing w:after="0"/>
        <w:ind w:firstLine="567"/>
        <w:jc w:val="both"/>
        <w:rPr>
          <w:rFonts w:ascii="Times New Roman" w:hAnsi="Times New Roman" w:cs="Times New Roman"/>
          <w:sz w:val="24"/>
        </w:rPr>
      </w:pPr>
      <w:r w:rsidRPr="002D5F07">
        <w:rPr>
          <w:rFonts w:ascii="Times New Roman" w:hAnsi="Times New Roman" w:cs="Times New Roman"/>
          <w:sz w:val="24"/>
        </w:rPr>
        <w:t xml:space="preserve">Už tiekėjų suteiktas paslaugas ir prekes bendrovės įsiskolinimas metų pabaigai </w:t>
      </w:r>
      <w:r w:rsidR="002D5F07" w:rsidRPr="002D5F07">
        <w:rPr>
          <w:rFonts w:ascii="Times New Roman" w:hAnsi="Times New Roman" w:cs="Times New Roman"/>
          <w:sz w:val="24"/>
        </w:rPr>
        <w:t>39.894 EUR</w:t>
      </w:r>
      <w:r w:rsidRPr="002D5F07">
        <w:rPr>
          <w:rFonts w:ascii="Times New Roman" w:hAnsi="Times New Roman" w:cs="Times New Roman"/>
          <w:sz w:val="24"/>
        </w:rPr>
        <w:t xml:space="preserve">. </w:t>
      </w:r>
    </w:p>
    <w:p w:rsidR="006775C2" w:rsidRPr="002D5F07" w:rsidRDefault="0000348D" w:rsidP="0000348D">
      <w:pPr>
        <w:spacing w:after="0"/>
        <w:ind w:firstLine="567"/>
        <w:jc w:val="both"/>
        <w:rPr>
          <w:rFonts w:ascii="Times New Roman" w:hAnsi="Times New Roman" w:cs="Times New Roman"/>
          <w:sz w:val="24"/>
        </w:rPr>
      </w:pPr>
      <w:r w:rsidRPr="002D5F07">
        <w:rPr>
          <w:rFonts w:ascii="Times New Roman" w:hAnsi="Times New Roman" w:cs="Times New Roman"/>
          <w:sz w:val="24"/>
        </w:rPr>
        <w:t xml:space="preserve">Analizuodami ir vykdydami skolų išieškojimo darbus nustatėme, kad įsiskolinimas už </w:t>
      </w:r>
      <w:r w:rsidR="006775C2" w:rsidRPr="002D5F07">
        <w:rPr>
          <w:rFonts w:ascii="Times New Roman" w:hAnsi="Times New Roman" w:cs="Times New Roman"/>
          <w:sz w:val="24"/>
        </w:rPr>
        <w:t xml:space="preserve">daugiabučių namų butų ir kitų patalpų savininkams </w:t>
      </w:r>
      <w:r w:rsidRPr="002D5F07">
        <w:rPr>
          <w:rFonts w:ascii="Times New Roman" w:hAnsi="Times New Roman" w:cs="Times New Roman"/>
          <w:sz w:val="24"/>
        </w:rPr>
        <w:t xml:space="preserve">suteiktas paslaugas </w:t>
      </w:r>
      <w:r w:rsidR="002D5F07" w:rsidRPr="002D5F07">
        <w:rPr>
          <w:rFonts w:ascii="Times New Roman" w:hAnsi="Times New Roman" w:cs="Times New Roman"/>
          <w:sz w:val="24"/>
        </w:rPr>
        <w:t>per 2015</w:t>
      </w:r>
      <w:r w:rsidR="006775C2" w:rsidRPr="002D5F07">
        <w:rPr>
          <w:rFonts w:ascii="Times New Roman" w:hAnsi="Times New Roman" w:cs="Times New Roman"/>
          <w:sz w:val="24"/>
        </w:rPr>
        <w:t xml:space="preserve"> m. sumažėjo 7.</w:t>
      </w:r>
      <w:r w:rsidR="002D5F07" w:rsidRPr="002D5F07">
        <w:rPr>
          <w:rFonts w:ascii="Times New Roman" w:hAnsi="Times New Roman" w:cs="Times New Roman"/>
          <w:sz w:val="24"/>
        </w:rPr>
        <w:t>324 EUR</w:t>
      </w:r>
      <w:r w:rsidR="006775C2" w:rsidRPr="002D5F07">
        <w:rPr>
          <w:rFonts w:ascii="Times New Roman" w:hAnsi="Times New Roman" w:cs="Times New Roman"/>
          <w:sz w:val="24"/>
        </w:rPr>
        <w:t>. Tai pavyko pristabdyti ir sumažinti įsiskolinimus, kadangi pastoviai siunčiame raginimus, įspėjimus likviduoti įsiskolinimus. Iš viso per 201</w:t>
      </w:r>
      <w:r w:rsidR="002D5F07" w:rsidRPr="002D5F07">
        <w:rPr>
          <w:rFonts w:ascii="Times New Roman" w:hAnsi="Times New Roman" w:cs="Times New Roman"/>
          <w:sz w:val="24"/>
        </w:rPr>
        <w:t>5</w:t>
      </w:r>
      <w:r w:rsidR="006775C2" w:rsidRPr="002D5F07">
        <w:rPr>
          <w:rFonts w:ascii="Times New Roman" w:hAnsi="Times New Roman" w:cs="Times New Roman"/>
          <w:sz w:val="24"/>
        </w:rPr>
        <w:t xml:space="preserve"> m.</w:t>
      </w:r>
      <w:r w:rsidR="00FD343C" w:rsidRPr="002D5F07">
        <w:rPr>
          <w:rFonts w:ascii="Times New Roman" w:hAnsi="Times New Roman" w:cs="Times New Roman"/>
          <w:sz w:val="24"/>
        </w:rPr>
        <w:t xml:space="preserve"> išsiųsta</w:t>
      </w:r>
      <w:r w:rsidR="006775C2" w:rsidRPr="002D5F07">
        <w:rPr>
          <w:rFonts w:ascii="Times New Roman" w:hAnsi="Times New Roman" w:cs="Times New Roman"/>
          <w:sz w:val="24"/>
        </w:rPr>
        <w:t xml:space="preserve"> </w:t>
      </w:r>
      <w:r w:rsidR="00CA05A0">
        <w:rPr>
          <w:rFonts w:ascii="Times New Roman" w:hAnsi="Times New Roman" w:cs="Times New Roman"/>
          <w:sz w:val="24"/>
        </w:rPr>
        <w:t>600</w:t>
      </w:r>
      <w:r w:rsidR="006775C2" w:rsidRPr="002D5F07">
        <w:rPr>
          <w:rFonts w:ascii="Times New Roman" w:hAnsi="Times New Roman" w:cs="Times New Roman"/>
          <w:sz w:val="24"/>
        </w:rPr>
        <w:t xml:space="preserve"> raginim</w:t>
      </w:r>
      <w:r w:rsidR="00FD343C" w:rsidRPr="002D5F07">
        <w:rPr>
          <w:rFonts w:ascii="Times New Roman" w:hAnsi="Times New Roman" w:cs="Times New Roman"/>
          <w:sz w:val="24"/>
        </w:rPr>
        <w:t>ai</w:t>
      </w:r>
      <w:r w:rsidR="006775C2" w:rsidRPr="002D5F07">
        <w:rPr>
          <w:rFonts w:ascii="Times New Roman" w:hAnsi="Times New Roman" w:cs="Times New Roman"/>
          <w:sz w:val="24"/>
        </w:rPr>
        <w:t xml:space="preserve"> ir įspėjim</w:t>
      </w:r>
      <w:r w:rsidR="00FD343C" w:rsidRPr="002D5F07">
        <w:rPr>
          <w:rFonts w:ascii="Times New Roman" w:hAnsi="Times New Roman" w:cs="Times New Roman"/>
          <w:sz w:val="24"/>
        </w:rPr>
        <w:t>ai skolininkams</w:t>
      </w:r>
      <w:r w:rsidR="006775C2" w:rsidRPr="002D5F07">
        <w:rPr>
          <w:rFonts w:ascii="Times New Roman" w:hAnsi="Times New Roman" w:cs="Times New Roman"/>
          <w:sz w:val="24"/>
        </w:rPr>
        <w:t xml:space="preserve">. </w:t>
      </w:r>
    </w:p>
    <w:p w:rsidR="0000348D" w:rsidRPr="00CA05A0" w:rsidRDefault="00CA05A0" w:rsidP="0000348D">
      <w:pPr>
        <w:spacing w:after="0"/>
        <w:ind w:firstLine="567"/>
        <w:jc w:val="both"/>
        <w:rPr>
          <w:rFonts w:ascii="Times New Roman" w:hAnsi="Times New Roman" w:cs="Times New Roman"/>
          <w:sz w:val="24"/>
        </w:rPr>
      </w:pPr>
      <w:r w:rsidRPr="00CA05A0">
        <w:rPr>
          <w:rFonts w:ascii="Times New Roman" w:hAnsi="Times New Roman" w:cs="Times New Roman"/>
          <w:sz w:val="24"/>
        </w:rPr>
        <w:t>Skolingi</w:t>
      </w:r>
      <w:r w:rsidR="006775C2" w:rsidRPr="00CA05A0">
        <w:rPr>
          <w:rFonts w:ascii="Times New Roman" w:hAnsi="Times New Roman" w:cs="Times New Roman"/>
          <w:sz w:val="24"/>
        </w:rPr>
        <w:t xml:space="preserve"> butų savinink</w:t>
      </w:r>
      <w:r w:rsidR="00FD343C" w:rsidRPr="00CA05A0">
        <w:rPr>
          <w:rFonts w:ascii="Times New Roman" w:hAnsi="Times New Roman" w:cs="Times New Roman"/>
          <w:sz w:val="24"/>
        </w:rPr>
        <w:t>ai</w:t>
      </w:r>
      <w:r w:rsidRPr="00CA05A0">
        <w:rPr>
          <w:rFonts w:ascii="Times New Roman" w:hAnsi="Times New Roman" w:cs="Times New Roman"/>
          <w:sz w:val="24"/>
        </w:rPr>
        <w:t>, kuriems yra priteista įsiskolinimai</w:t>
      </w:r>
      <w:r w:rsidR="003329DC">
        <w:rPr>
          <w:rFonts w:ascii="Times New Roman" w:hAnsi="Times New Roman" w:cs="Times New Roman"/>
          <w:sz w:val="24"/>
        </w:rPr>
        <w:t>,</w:t>
      </w:r>
      <w:r w:rsidR="006775C2" w:rsidRPr="00CA05A0">
        <w:rPr>
          <w:rFonts w:ascii="Times New Roman" w:hAnsi="Times New Roman" w:cs="Times New Roman"/>
          <w:sz w:val="24"/>
        </w:rPr>
        <w:t xml:space="preserve"> perduot</w:t>
      </w:r>
      <w:r w:rsidR="00FD343C" w:rsidRPr="00CA05A0">
        <w:rPr>
          <w:rFonts w:ascii="Times New Roman" w:hAnsi="Times New Roman" w:cs="Times New Roman"/>
          <w:sz w:val="24"/>
        </w:rPr>
        <w:t>i</w:t>
      </w:r>
      <w:r w:rsidR="006775C2" w:rsidRPr="00CA05A0">
        <w:rPr>
          <w:rFonts w:ascii="Times New Roman" w:hAnsi="Times New Roman" w:cs="Times New Roman"/>
          <w:sz w:val="24"/>
        </w:rPr>
        <w:t xml:space="preserve"> antstoliams dėl skolų išieškojimo. Visi mūsų ieškiniai buvo priimti bendrovės naudai. Tačiau ne tik šiomis priemonėmis, bet ir bendraudami elektroninėmis priemonėmis, bandome išsp</w:t>
      </w:r>
      <w:r w:rsidR="00BD0C02" w:rsidRPr="00CA05A0">
        <w:rPr>
          <w:rFonts w:ascii="Times New Roman" w:hAnsi="Times New Roman" w:cs="Times New Roman"/>
          <w:sz w:val="24"/>
        </w:rPr>
        <w:t xml:space="preserve">ręsti susidariusias problemas, kad būtų išvengta papildomų teismo ir kitų išlaidų vienai ar kitai šaliai. </w:t>
      </w:r>
    </w:p>
    <w:p w:rsidR="00BD0C02" w:rsidRDefault="00BD0C02" w:rsidP="0000348D">
      <w:pPr>
        <w:spacing w:after="0"/>
        <w:ind w:firstLine="567"/>
        <w:jc w:val="both"/>
        <w:rPr>
          <w:rFonts w:ascii="Times New Roman" w:hAnsi="Times New Roman" w:cs="Times New Roman"/>
          <w:sz w:val="24"/>
        </w:rPr>
      </w:pPr>
    </w:p>
    <w:p w:rsidR="0000348D" w:rsidRDefault="00911AD0" w:rsidP="0000348D">
      <w:pPr>
        <w:spacing w:after="0"/>
        <w:jc w:val="center"/>
        <w:rPr>
          <w:rFonts w:ascii="Times New Roman" w:hAnsi="Times New Roman" w:cs="Times New Roman"/>
          <w:b/>
          <w:sz w:val="24"/>
        </w:rPr>
      </w:pPr>
      <w:r>
        <w:rPr>
          <w:rFonts w:ascii="Times New Roman" w:hAnsi="Times New Roman" w:cs="Times New Roman"/>
          <w:b/>
          <w:sz w:val="24"/>
        </w:rPr>
        <w:t>VII</w:t>
      </w:r>
      <w:r w:rsidR="0000348D" w:rsidRPr="0000348D">
        <w:rPr>
          <w:rFonts w:ascii="Times New Roman" w:hAnsi="Times New Roman" w:cs="Times New Roman"/>
          <w:b/>
          <w:sz w:val="24"/>
        </w:rPr>
        <w:t xml:space="preserve">. BENDROVĖS VEIKLOS </w:t>
      </w:r>
      <w:r>
        <w:rPr>
          <w:rFonts w:ascii="Times New Roman" w:hAnsi="Times New Roman" w:cs="Times New Roman"/>
          <w:b/>
          <w:sz w:val="24"/>
        </w:rPr>
        <w:t>PLANAI IR PROGNOZĖS</w:t>
      </w:r>
    </w:p>
    <w:p w:rsidR="00BD0C02" w:rsidRDefault="00BD0C02" w:rsidP="0000348D">
      <w:pPr>
        <w:spacing w:after="0"/>
        <w:jc w:val="center"/>
        <w:rPr>
          <w:rFonts w:ascii="Times New Roman" w:hAnsi="Times New Roman" w:cs="Times New Roman"/>
          <w:b/>
          <w:sz w:val="24"/>
        </w:rPr>
      </w:pPr>
    </w:p>
    <w:p w:rsidR="00BD0C02" w:rsidRDefault="00BD0C02" w:rsidP="00BD0C02">
      <w:pPr>
        <w:spacing w:after="0"/>
        <w:ind w:firstLine="567"/>
        <w:jc w:val="both"/>
        <w:rPr>
          <w:rFonts w:ascii="Times New Roman" w:hAnsi="Times New Roman" w:cs="Times New Roman"/>
          <w:sz w:val="24"/>
        </w:rPr>
      </w:pPr>
      <w:r>
        <w:rPr>
          <w:rFonts w:ascii="Times New Roman" w:hAnsi="Times New Roman" w:cs="Times New Roman"/>
          <w:sz w:val="24"/>
        </w:rPr>
        <w:t>UAB „Prienų butų ūkis“ darbuotojams</w:t>
      </w:r>
      <w:r w:rsidR="003329DC">
        <w:rPr>
          <w:rFonts w:ascii="Times New Roman" w:hAnsi="Times New Roman" w:cs="Times New Roman"/>
          <w:sz w:val="24"/>
        </w:rPr>
        <w:t>,</w:t>
      </w:r>
      <w:r>
        <w:rPr>
          <w:rFonts w:ascii="Times New Roman" w:hAnsi="Times New Roman" w:cs="Times New Roman"/>
          <w:sz w:val="24"/>
        </w:rPr>
        <w:t xml:space="preserve"> vykdant daugiabučių namų priežiūrą</w:t>
      </w:r>
      <w:r w:rsidR="00AE0AE5">
        <w:rPr>
          <w:rFonts w:ascii="Times New Roman" w:hAnsi="Times New Roman" w:cs="Times New Roman"/>
          <w:sz w:val="24"/>
        </w:rPr>
        <w:t>,</w:t>
      </w:r>
      <w:r>
        <w:rPr>
          <w:rFonts w:ascii="Times New Roman" w:hAnsi="Times New Roman" w:cs="Times New Roman"/>
          <w:sz w:val="24"/>
        </w:rPr>
        <w:t xml:space="preserve"> pastoviai ar labai intensyviai reikia bendrauti su klientais, todėl bendrovės viena iš veiklos pagrindinių perspektyvų yra toliau kelti darbuotojų kvalifikaciją, tobulinti bendravimo įgūdžius su klientais.</w:t>
      </w:r>
    </w:p>
    <w:p w:rsidR="00280D92" w:rsidRDefault="00BD0C02" w:rsidP="00BD0C02">
      <w:pPr>
        <w:spacing w:after="0"/>
        <w:ind w:firstLine="567"/>
        <w:jc w:val="both"/>
        <w:rPr>
          <w:rFonts w:ascii="Times New Roman" w:hAnsi="Times New Roman" w:cs="Times New Roman"/>
          <w:sz w:val="24"/>
        </w:rPr>
      </w:pPr>
      <w:r>
        <w:rPr>
          <w:rFonts w:ascii="Times New Roman" w:hAnsi="Times New Roman" w:cs="Times New Roman"/>
          <w:sz w:val="24"/>
        </w:rPr>
        <w:t>Atnaujinti bendrovės materialinę-techninę bazę, aprūpinti darbuotojus šiuolaikinėmis priemonėmis ir įrankiais, individualiomis apsaugos priemonėmis.</w:t>
      </w:r>
      <w:r w:rsidR="00280D92">
        <w:rPr>
          <w:rFonts w:ascii="Times New Roman" w:hAnsi="Times New Roman" w:cs="Times New Roman"/>
          <w:sz w:val="24"/>
        </w:rPr>
        <w:t xml:space="preserve"> Įdiegti elektroninę duomenų bazę gedimų registravimui, jų pašalinimui, kontroliavimui ir analizei. </w:t>
      </w:r>
    </w:p>
    <w:p w:rsidR="00BD0C02" w:rsidRDefault="00280D92" w:rsidP="00BD0C02">
      <w:pPr>
        <w:spacing w:after="0"/>
        <w:ind w:firstLine="567"/>
        <w:jc w:val="both"/>
        <w:rPr>
          <w:rFonts w:ascii="Times New Roman" w:hAnsi="Times New Roman" w:cs="Times New Roman"/>
          <w:sz w:val="24"/>
        </w:rPr>
      </w:pPr>
      <w:r>
        <w:rPr>
          <w:rFonts w:ascii="Times New Roman" w:hAnsi="Times New Roman" w:cs="Times New Roman"/>
          <w:sz w:val="24"/>
        </w:rPr>
        <w:lastRenderedPageBreak/>
        <w:t>Namai, kurie nėra renovuojami arba kurių gyventojai atsisakė atnaujinti (modernizuoti)</w:t>
      </w:r>
      <w:r w:rsidR="003329DC">
        <w:rPr>
          <w:rFonts w:ascii="Times New Roman" w:hAnsi="Times New Roman" w:cs="Times New Roman"/>
          <w:sz w:val="24"/>
        </w:rPr>
        <w:t>,</w:t>
      </w:r>
      <w:r>
        <w:rPr>
          <w:rFonts w:ascii="Times New Roman" w:hAnsi="Times New Roman" w:cs="Times New Roman"/>
          <w:sz w:val="24"/>
        </w:rPr>
        <w:t xml:space="preserve"> rodyti iniciatyvą, kaupti lėšas daugiabučių namų bendro naudojimo objektų atnaujinimui, šilumos taupymui. </w:t>
      </w:r>
    </w:p>
    <w:p w:rsidR="00280D92" w:rsidRDefault="00A16E48" w:rsidP="00BD0C02">
      <w:pPr>
        <w:spacing w:after="0"/>
        <w:ind w:firstLine="567"/>
        <w:jc w:val="both"/>
        <w:rPr>
          <w:rFonts w:ascii="Times New Roman" w:hAnsi="Times New Roman" w:cs="Times New Roman"/>
          <w:sz w:val="24"/>
        </w:rPr>
      </w:pPr>
      <w:r w:rsidRPr="00A16E48">
        <w:rPr>
          <w:rFonts w:ascii="Times New Roman" w:hAnsi="Times New Roman" w:cs="Times New Roman"/>
          <w:sz w:val="24"/>
        </w:rPr>
        <w:t>Siekti, kad būtų kokybiškiau renovuojami namai</w:t>
      </w:r>
      <w:r>
        <w:rPr>
          <w:rFonts w:ascii="Times New Roman" w:hAnsi="Times New Roman" w:cs="Times New Roman"/>
          <w:sz w:val="24"/>
        </w:rPr>
        <w:t>. Atlikus kasmetines apžiūras</w:t>
      </w:r>
      <w:r w:rsidR="003329DC">
        <w:rPr>
          <w:rFonts w:ascii="Times New Roman" w:hAnsi="Times New Roman" w:cs="Times New Roman"/>
          <w:sz w:val="24"/>
        </w:rPr>
        <w:t xml:space="preserve">, </w:t>
      </w:r>
      <w:r>
        <w:rPr>
          <w:rFonts w:ascii="Times New Roman" w:hAnsi="Times New Roman" w:cs="Times New Roman"/>
          <w:sz w:val="24"/>
        </w:rPr>
        <w:t>vykdant nuolatinius stebėjimus ir įvertinus namus, kurių gyventojai atsisakė ar nepareišk</w:t>
      </w:r>
      <w:r w:rsidR="003329DC">
        <w:rPr>
          <w:rFonts w:ascii="Times New Roman" w:hAnsi="Times New Roman" w:cs="Times New Roman"/>
          <w:sz w:val="24"/>
        </w:rPr>
        <w:t>ė noro atnaujinti būstus pagal V</w:t>
      </w:r>
      <w:r>
        <w:rPr>
          <w:rFonts w:ascii="Times New Roman" w:hAnsi="Times New Roman" w:cs="Times New Roman"/>
          <w:sz w:val="24"/>
        </w:rPr>
        <w:t>alstybės vykdomą programą, organizuoti šių namų gyventojų susirinkimus ir rekomenduoti atlikti būtiniausius namų atnaujinimo darbus.</w:t>
      </w:r>
    </w:p>
    <w:p w:rsidR="00292D5F" w:rsidRDefault="00292D5F" w:rsidP="00BD0C02">
      <w:pPr>
        <w:spacing w:after="0"/>
        <w:ind w:firstLine="567"/>
        <w:jc w:val="both"/>
        <w:rPr>
          <w:rFonts w:ascii="Times New Roman" w:hAnsi="Times New Roman" w:cs="Times New Roman"/>
          <w:sz w:val="24"/>
        </w:rPr>
      </w:pPr>
      <w:r>
        <w:rPr>
          <w:rFonts w:ascii="Times New Roman" w:hAnsi="Times New Roman" w:cs="Times New Roman"/>
          <w:sz w:val="24"/>
        </w:rPr>
        <w:t xml:space="preserve">Bendrovė, kaip Prienų rajono savivaldybės tarybos paskirtas projekto administratorius, ir toliau dės visas pastangas įgyvendinant daugiabučių namų atnaujinimo (modernizavimo) patvirtintą programą. </w:t>
      </w:r>
    </w:p>
    <w:p w:rsidR="00911AD0" w:rsidRDefault="00911AD0" w:rsidP="00BD0C02">
      <w:pPr>
        <w:spacing w:after="0"/>
        <w:ind w:firstLine="567"/>
        <w:jc w:val="both"/>
        <w:rPr>
          <w:rFonts w:ascii="Times New Roman" w:hAnsi="Times New Roman" w:cs="Times New Roman"/>
          <w:sz w:val="24"/>
        </w:rPr>
      </w:pPr>
    </w:p>
    <w:p w:rsidR="00911AD0" w:rsidRDefault="00911AD0" w:rsidP="00BD0C02">
      <w:pPr>
        <w:spacing w:after="0"/>
        <w:ind w:firstLine="567"/>
        <w:jc w:val="both"/>
        <w:rPr>
          <w:rFonts w:ascii="Times New Roman" w:hAnsi="Times New Roman" w:cs="Times New Roman"/>
          <w:sz w:val="24"/>
        </w:rPr>
      </w:pPr>
      <w:r>
        <w:rPr>
          <w:rFonts w:ascii="Times New Roman" w:hAnsi="Times New Roman" w:cs="Times New Roman"/>
          <w:sz w:val="24"/>
        </w:rPr>
        <w:t>Įvertinus 2015 metų veiklos rodiklius ir ank</w:t>
      </w:r>
      <w:r w:rsidR="003329DC">
        <w:rPr>
          <w:rFonts w:ascii="Times New Roman" w:hAnsi="Times New Roman" w:cs="Times New Roman"/>
          <w:sz w:val="24"/>
        </w:rPr>
        <w:t>s</w:t>
      </w:r>
      <w:r>
        <w:rPr>
          <w:rFonts w:ascii="Times New Roman" w:hAnsi="Times New Roman" w:cs="Times New Roman"/>
          <w:sz w:val="24"/>
        </w:rPr>
        <w:t>čiau išdėstytas veiklos gerinimo priemones</w:t>
      </w:r>
      <w:r w:rsidR="003329DC">
        <w:rPr>
          <w:rFonts w:ascii="Times New Roman" w:hAnsi="Times New Roman" w:cs="Times New Roman"/>
          <w:sz w:val="24"/>
        </w:rPr>
        <w:t xml:space="preserve">, </w:t>
      </w:r>
      <w:r>
        <w:rPr>
          <w:rFonts w:ascii="Times New Roman" w:hAnsi="Times New Roman" w:cs="Times New Roman"/>
          <w:sz w:val="24"/>
        </w:rPr>
        <w:t>201</w:t>
      </w:r>
      <w:r w:rsidR="00421595">
        <w:rPr>
          <w:rFonts w:ascii="Times New Roman" w:hAnsi="Times New Roman" w:cs="Times New Roman"/>
          <w:sz w:val="24"/>
        </w:rPr>
        <w:t>6 metus bendrovė planuoja</w:t>
      </w:r>
      <w:r>
        <w:rPr>
          <w:rFonts w:ascii="Times New Roman" w:hAnsi="Times New Roman" w:cs="Times New Roman"/>
          <w:sz w:val="24"/>
        </w:rPr>
        <w:t>:</w:t>
      </w:r>
    </w:p>
    <w:p w:rsidR="00421595" w:rsidRDefault="00421595" w:rsidP="00BD0C02">
      <w:pPr>
        <w:spacing w:after="0"/>
        <w:ind w:firstLine="567"/>
        <w:jc w:val="both"/>
        <w:rPr>
          <w:rFonts w:ascii="Times New Roman" w:hAnsi="Times New Roman" w:cs="Times New Roman"/>
          <w:sz w:val="24"/>
        </w:rPr>
      </w:pPr>
      <w:r>
        <w:rPr>
          <w:rFonts w:ascii="Times New Roman" w:hAnsi="Times New Roman" w:cs="Times New Roman"/>
          <w:sz w:val="24"/>
        </w:rPr>
        <w:t xml:space="preserve">1. Gauti pajamų – </w:t>
      </w:r>
      <w:r w:rsidR="002D5F07">
        <w:rPr>
          <w:rFonts w:ascii="Times New Roman" w:hAnsi="Times New Roman" w:cs="Times New Roman"/>
          <w:sz w:val="24"/>
        </w:rPr>
        <w:t>575.000 EUR</w:t>
      </w:r>
      <w:r>
        <w:rPr>
          <w:rFonts w:ascii="Times New Roman" w:hAnsi="Times New Roman" w:cs="Times New Roman"/>
          <w:sz w:val="24"/>
        </w:rPr>
        <w:t>:</w:t>
      </w:r>
    </w:p>
    <w:p w:rsidR="00421595" w:rsidRDefault="00421595" w:rsidP="00421595">
      <w:pPr>
        <w:spacing w:after="0"/>
        <w:ind w:left="567" w:firstLine="567"/>
        <w:jc w:val="both"/>
        <w:rPr>
          <w:rFonts w:ascii="Times New Roman" w:hAnsi="Times New Roman" w:cs="Times New Roman"/>
          <w:sz w:val="24"/>
        </w:rPr>
      </w:pPr>
      <w:r>
        <w:rPr>
          <w:rFonts w:ascii="Times New Roman" w:hAnsi="Times New Roman" w:cs="Times New Roman"/>
          <w:sz w:val="24"/>
        </w:rPr>
        <w:t>1.1. Daugiabučių gyvenamųjų namų administravim</w:t>
      </w:r>
      <w:r w:rsidR="002D5F07">
        <w:rPr>
          <w:rFonts w:ascii="Times New Roman" w:hAnsi="Times New Roman" w:cs="Times New Roman"/>
          <w:sz w:val="24"/>
        </w:rPr>
        <w:t>as</w:t>
      </w:r>
      <w:r>
        <w:rPr>
          <w:rFonts w:ascii="Times New Roman" w:hAnsi="Times New Roman" w:cs="Times New Roman"/>
          <w:sz w:val="24"/>
        </w:rPr>
        <w:t xml:space="preserve"> – </w:t>
      </w:r>
      <w:r w:rsidR="002D5F07">
        <w:rPr>
          <w:rFonts w:ascii="Times New Roman" w:hAnsi="Times New Roman" w:cs="Times New Roman"/>
          <w:sz w:val="24"/>
        </w:rPr>
        <w:tab/>
        <w:t xml:space="preserve">  84.000 EUR;</w:t>
      </w:r>
    </w:p>
    <w:p w:rsidR="002D5F07" w:rsidRDefault="00421595" w:rsidP="00421595">
      <w:pPr>
        <w:spacing w:after="0"/>
        <w:ind w:left="567" w:firstLine="567"/>
        <w:jc w:val="both"/>
        <w:rPr>
          <w:rFonts w:ascii="Times New Roman" w:hAnsi="Times New Roman" w:cs="Times New Roman"/>
          <w:sz w:val="24"/>
        </w:rPr>
      </w:pPr>
      <w:r>
        <w:rPr>
          <w:rFonts w:ascii="Times New Roman" w:hAnsi="Times New Roman" w:cs="Times New Roman"/>
          <w:sz w:val="24"/>
        </w:rPr>
        <w:t>1.2. Daugiabučių gyvenamųjų namų atnaujinimo</w:t>
      </w:r>
    </w:p>
    <w:p w:rsidR="00421595" w:rsidRDefault="00421595" w:rsidP="00421595">
      <w:pPr>
        <w:spacing w:after="0"/>
        <w:ind w:left="567" w:firstLine="567"/>
        <w:jc w:val="both"/>
        <w:rPr>
          <w:rFonts w:ascii="Times New Roman" w:hAnsi="Times New Roman" w:cs="Times New Roman"/>
          <w:sz w:val="24"/>
        </w:rPr>
      </w:pPr>
      <w:r>
        <w:rPr>
          <w:rFonts w:ascii="Times New Roman" w:hAnsi="Times New Roman" w:cs="Times New Roman"/>
          <w:sz w:val="24"/>
        </w:rPr>
        <w:t>(modernizavimo) projektų administravimas –</w:t>
      </w:r>
      <w:r w:rsidR="002D5F07">
        <w:rPr>
          <w:rFonts w:ascii="Times New Roman" w:hAnsi="Times New Roman" w:cs="Times New Roman"/>
          <w:sz w:val="24"/>
        </w:rPr>
        <w:tab/>
      </w:r>
      <w:r w:rsidR="002D5F07">
        <w:rPr>
          <w:rFonts w:ascii="Times New Roman" w:hAnsi="Times New Roman" w:cs="Times New Roman"/>
          <w:sz w:val="24"/>
        </w:rPr>
        <w:tab/>
        <w:t xml:space="preserve">  24.000 EUR;</w:t>
      </w:r>
    </w:p>
    <w:p w:rsidR="00421595" w:rsidRDefault="00421595" w:rsidP="00421595">
      <w:pPr>
        <w:spacing w:after="0"/>
        <w:ind w:left="567" w:firstLine="567"/>
        <w:jc w:val="both"/>
        <w:rPr>
          <w:rFonts w:ascii="Times New Roman" w:hAnsi="Times New Roman" w:cs="Times New Roman"/>
          <w:sz w:val="24"/>
        </w:rPr>
      </w:pPr>
      <w:r>
        <w:rPr>
          <w:rFonts w:ascii="Times New Roman" w:hAnsi="Times New Roman" w:cs="Times New Roman"/>
          <w:sz w:val="24"/>
        </w:rPr>
        <w:t xml:space="preserve">1.3. Daugiabučių gyvenamųjų namų priežiūra – </w:t>
      </w:r>
      <w:r w:rsidR="002D5F07">
        <w:rPr>
          <w:rFonts w:ascii="Times New Roman" w:hAnsi="Times New Roman" w:cs="Times New Roman"/>
          <w:sz w:val="24"/>
        </w:rPr>
        <w:tab/>
      </w:r>
      <w:r w:rsidR="002D5F07">
        <w:rPr>
          <w:rFonts w:ascii="Times New Roman" w:hAnsi="Times New Roman" w:cs="Times New Roman"/>
          <w:sz w:val="24"/>
        </w:rPr>
        <w:tab/>
        <w:t>210.000 EUR;</w:t>
      </w:r>
    </w:p>
    <w:p w:rsidR="00421595" w:rsidRDefault="00421595" w:rsidP="00421595">
      <w:pPr>
        <w:spacing w:after="0"/>
        <w:ind w:left="567" w:firstLine="567"/>
        <w:jc w:val="both"/>
        <w:rPr>
          <w:rFonts w:ascii="Times New Roman" w:hAnsi="Times New Roman" w:cs="Times New Roman"/>
          <w:sz w:val="24"/>
        </w:rPr>
      </w:pPr>
      <w:r>
        <w:rPr>
          <w:rFonts w:ascii="Times New Roman" w:hAnsi="Times New Roman" w:cs="Times New Roman"/>
          <w:sz w:val="24"/>
        </w:rPr>
        <w:t xml:space="preserve">1.4. Sanitarija ir komunalinis ūkis – </w:t>
      </w:r>
      <w:r w:rsidR="002D5F07">
        <w:rPr>
          <w:rFonts w:ascii="Times New Roman" w:hAnsi="Times New Roman" w:cs="Times New Roman"/>
          <w:sz w:val="24"/>
        </w:rPr>
        <w:tab/>
      </w:r>
      <w:r w:rsidR="002D5F07">
        <w:rPr>
          <w:rFonts w:ascii="Times New Roman" w:hAnsi="Times New Roman" w:cs="Times New Roman"/>
          <w:sz w:val="24"/>
        </w:rPr>
        <w:tab/>
      </w:r>
      <w:r w:rsidR="002D5F07">
        <w:rPr>
          <w:rFonts w:ascii="Times New Roman" w:hAnsi="Times New Roman" w:cs="Times New Roman"/>
          <w:sz w:val="24"/>
        </w:rPr>
        <w:tab/>
        <w:t>120.000 EUR;</w:t>
      </w:r>
    </w:p>
    <w:p w:rsidR="00421595" w:rsidRDefault="00421595" w:rsidP="00421595">
      <w:pPr>
        <w:spacing w:after="0"/>
        <w:ind w:left="567" w:firstLine="567"/>
        <w:jc w:val="both"/>
        <w:rPr>
          <w:rFonts w:ascii="Times New Roman" w:hAnsi="Times New Roman" w:cs="Times New Roman"/>
          <w:sz w:val="24"/>
        </w:rPr>
      </w:pPr>
      <w:r>
        <w:rPr>
          <w:rFonts w:ascii="Times New Roman" w:hAnsi="Times New Roman" w:cs="Times New Roman"/>
          <w:sz w:val="24"/>
        </w:rPr>
        <w:t xml:space="preserve">1.5. Kapinių priežiūra – </w:t>
      </w:r>
      <w:r w:rsidR="002D5F07">
        <w:rPr>
          <w:rFonts w:ascii="Times New Roman" w:hAnsi="Times New Roman" w:cs="Times New Roman"/>
          <w:sz w:val="24"/>
        </w:rPr>
        <w:tab/>
      </w:r>
      <w:r w:rsidR="002D5F07">
        <w:rPr>
          <w:rFonts w:ascii="Times New Roman" w:hAnsi="Times New Roman" w:cs="Times New Roman"/>
          <w:sz w:val="24"/>
        </w:rPr>
        <w:tab/>
      </w:r>
      <w:r w:rsidR="002D5F07">
        <w:rPr>
          <w:rFonts w:ascii="Times New Roman" w:hAnsi="Times New Roman" w:cs="Times New Roman"/>
          <w:sz w:val="24"/>
        </w:rPr>
        <w:tab/>
      </w:r>
      <w:r w:rsidR="002D5F07">
        <w:rPr>
          <w:rFonts w:ascii="Times New Roman" w:hAnsi="Times New Roman" w:cs="Times New Roman"/>
          <w:sz w:val="24"/>
        </w:rPr>
        <w:tab/>
        <w:t xml:space="preserve">  20.000 EUR;</w:t>
      </w:r>
    </w:p>
    <w:p w:rsidR="00421595" w:rsidRDefault="00421595" w:rsidP="00421595">
      <w:pPr>
        <w:spacing w:after="0"/>
        <w:ind w:left="567" w:firstLine="567"/>
        <w:jc w:val="both"/>
        <w:rPr>
          <w:rFonts w:ascii="Times New Roman" w:hAnsi="Times New Roman" w:cs="Times New Roman"/>
          <w:sz w:val="24"/>
        </w:rPr>
      </w:pPr>
      <w:r>
        <w:rPr>
          <w:rFonts w:ascii="Times New Roman" w:hAnsi="Times New Roman" w:cs="Times New Roman"/>
          <w:sz w:val="24"/>
        </w:rPr>
        <w:t xml:space="preserve">1.6. Papildomi remonto ir kiti darbai – </w:t>
      </w:r>
      <w:r w:rsidR="002D5F07">
        <w:rPr>
          <w:rFonts w:ascii="Times New Roman" w:hAnsi="Times New Roman" w:cs="Times New Roman"/>
          <w:sz w:val="24"/>
        </w:rPr>
        <w:tab/>
      </w:r>
      <w:r w:rsidR="002D5F07">
        <w:rPr>
          <w:rFonts w:ascii="Times New Roman" w:hAnsi="Times New Roman" w:cs="Times New Roman"/>
          <w:sz w:val="24"/>
        </w:rPr>
        <w:tab/>
      </w:r>
      <w:r w:rsidR="002D5F07">
        <w:rPr>
          <w:rFonts w:ascii="Times New Roman" w:hAnsi="Times New Roman" w:cs="Times New Roman"/>
          <w:sz w:val="24"/>
        </w:rPr>
        <w:tab/>
        <w:t>112.000 EUR;</w:t>
      </w:r>
    </w:p>
    <w:p w:rsidR="00421595" w:rsidRDefault="00421595" w:rsidP="00421595">
      <w:pPr>
        <w:spacing w:after="0"/>
        <w:ind w:left="567" w:firstLine="567"/>
        <w:jc w:val="both"/>
        <w:rPr>
          <w:rFonts w:ascii="Times New Roman" w:hAnsi="Times New Roman" w:cs="Times New Roman"/>
          <w:sz w:val="24"/>
        </w:rPr>
      </w:pPr>
      <w:r>
        <w:rPr>
          <w:rFonts w:ascii="Times New Roman" w:hAnsi="Times New Roman" w:cs="Times New Roman"/>
          <w:sz w:val="24"/>
        </w:rPr>
        <w:t xml:space="preserve">1.7. Kitos pajamos – </w:t>
      </w:r>
      <w:r w:rsidR="002D5F07">
        <w:rPr>
          <w:rFonts w:ascii="Times New Roman" w:hAnsi="Times New Roman" w:cs="Times New Roman"/>
          <w:sz w:val="24"/>
        </w:rPr>
        <w:tab/>
      </w:r>
      <w:r w:rsidR="002D5F07">
        <w:rPr>
          <w:rFonts w:ascii="Times New Roman" w:hAnsi="Times New Roman" w:cs="Times New Roman"/>
          <w:sz w:val="24"/>
        </w:rPr>
        <w:tab/>
      </w:r>
      <w:r w:rsidR="002D5F07">
        <w:rPr>
          <w:rFonts w:ascii="Times New Roman" w:hAnsi="Times New Roman" w:cs="Times New Roman"/>
          <w:sz w:val="24"/>
        </w:rPr>
        <w:tab/>
      </w:r>
      <w:r w:rsidR="002D5F07">
        <w:rPr>
          <w:rFonts w:ascii="Times New Roman" w:hAnsi="Times New Roman" w:cs="Times New Roman"/>
          <w:sz w:val="24"/>
        </w:rPr>
        <w:tab/>
        <w:t xml:space="preserve">    5.000 EUR;</w:t>
      </w:r>
    </w:p>
    <w:p w:rsidR="002D5F07" w:rsidRDefault="002D5F07" w:rsidP="00421595">
      <w:pPr>
        <w:spacing w:after="0"/>
        <w:ind w:left="567" w:firstLine="567"/>
        <w:jc w:val="both"/>
        <w:rPr>
          <w:rFonts w:ascii="Times New Roman" w:hAnsi="Times New Roman" w:cs="Times New Roman"/>
          <w:sz w:val="24"/>
        </w:rPr>
      </w:pPr>
    </w:p>
    <w:p w:rsidR="00421595" w:rsidRDefault="00421595" w:rsidP="00421595">
      <w:pPr>
        <w:spacing w:after="0"/>
        <w:ind w:firstLine="567"/>
        <w:jc w:val="both"/>
        <w:rPr>
          <w:rFonts w:ascii="Times New Roman" w:hAnsi="Times New Roman" w:cs="Times New Roman"/>
          <w:sz w:val="24"/>
        </w:rPr>
      </w:pPr>
      <w:r>
        <w:rPr>
          <w:rFonts w:ascii="Times New Roman" w:hAnsi="Times New Roman" w:cs="Times New Roman"/>
          <w:sz w:val="24"/>
        </w:rPr>
        <w:t xml:space="preserve">2. Patirti sąnaudų – </w:t>
      </w:r>
      <w:r w:rsidR="002D5F07">
        <w:rPr>
          <w:rFonts w:ascii="Times New Roman" w:hAnsi="Times New Roman" w:cs="Times New Roman"/>
          <w:sz w:val="24"/>
        </w:rPr>
        <w:tab/>
      </w:r>
      <w:r w:rsidR="002D5F07">
        <w:rPr>
          <w:rFonts w:ascii="Times New Roman" w:hAnsi="Times New Roman" w:cs="Times New Roman"/>
          <w:sz w:val="24"/>
        </w:rPr>
        <w:tab/>
      </w:r>
      <w:r w:rsidR="002D5F07">
        <w:rPr>
          <w:rFonts w:ascii="Times New Roman" w:hAnsi="Times New Roman" w:cs="Times New Roman"/>
          <w:sz w:val="24"/>
        </w:rPr>
        <w:tab/>
      </w:r>
      <w:r w:rsidR="002D5F07">
        <w:rPr>
          <w:rFonts w:ascii="Times New Roman" w:hAnsi="Times New Roman" w:cs="Times New Roman"/>
          <w:sz w:val="24"/>
        </w:rPr>
        <w:tab/>
      </w:r>
      <w:r w:rsidR="002D5F07">
        <w:rPr>
          <w:rFonts w:ascii="Times New Roman" w:hAnsi="Times New Roman" w:cs="Times New Roman"/>
          <w:sz w:val="24"/>
        </w:rPr>
        <w:tab/>
        <w:t>572.000 EUR</w:t>
      </w:r>
      <w:r>
        <w:rPr>
          <w:rFonts w:ascii="Times New Roman" w:hAnsi="Times New Roman" w:cs="Times New Roman"/>
          <w:sz w:val="24"/>
        </w:rPr>
        <w:t>:</w:t>
      </w:r>
    </w:p>
    <w:p w:rsidR="00421595" w:rsidRDefault="00421595" w:rsidP="00421595">
      <w:pPr>
        <w:spacing w:after="0"/>
        <w:ind w:left="567" w:firstLine="567"/>
        <w:jc w:val="both"/>
        <w:rPr>
          <w:rFonts w:ascii="Times New Roman" w:hAnsi="Times New Roman" w:cs="Times New Roman"/>
          <w:sz w:val="24"/>
        </w:rPr>
      </w:pPr>
      <w:r>
        <w:rPr>
          <w:rFonts w:ascii="Times New Roman" w:hAnsi="Times New Roman" w:cs="Times New Roman"/>
          <w:sz w:val="24"/>
        </w:rPr>
        <w:t xml:space="preserve">2.1. Gyvenamųjų namų priežiūra </w:t>
      </w:r>
      <w:r w:rsidR="002D5F07">
        <w:rPr>
          <w:rFonts w:ascii="Times New Roman" w:hAnsi="Times New Roman" w:cs="Times New Roman"/>
          <w:sz w:val="24"/>
        </w:rPr>
        <w:t>–</w:t>
      </w:r>
      <w:r>
        <w:rPr>
          <w:rFonts w:ascii="Times New Roman" w:hAnsi="Times New Roman" w:cs="Times New Roman"/>
          <w:sz w:val="24"/>
        </w:rPr>
        <w:t xml:space="preserve"> </w:t>
      </w:r>
      <w:r w:rsidR="002D5F07">
        <w:rPr>
          <w:rFonts w:ascii="Times New Roman" w:hAnsi="Times New Roman" w:cs="Times New Roman"/>
          <w:sz w:val="24"/>
        </w:rPr>
        <w:tab/>
      </w:r>
      <w:r w:rsidR="002D5F07">
        <w:rPr>
          <w:rFonts w:ascii="Times New Roman" w:hAnsi="Times New Roman" w:cs="Times New Roman"/>
          <w:sz w:val="24"/>
        </w:rPr>
        <w:tab/>
      </w:r>
      <w:r w:rsidR="002D5F07">
        <w:rPr>
          <w:rFonts w:ascii="Times New Roman" w:hAnsi="Times New Roman" w:cs="Times New Roman"/>
          <w:sz w:val="24"/>
        </w:rPr>
        <w:tab/>
        <w:t>230.000 EUR;</w:t>
      </w:r>
    </w:p>
    <w:p w:rsidR="00421595" w:rsidRDefault="00421595" w:rsidP="00421595">
      <w:pPr>
        <w:spacing w:after="0"/>
        <w:ind w:left="567" w:firstLine="567"/>
        <w:jc w:val="both"/>
        <w:rPr>
          <w:rFonts w:ascii="Times New Roman" w:hAnsi="Times New Roman" w:cs="Times New Roman"/>
          <w:sz w:val="24"/>
        </w:rPr>
      </w:pPr>
      <w:r>
        <w:rPr>
          <w:rFonts w:ascii="Times New Roman" w:hAnsi="Times New Roman" w:cs="Times New Roman"/>
          <w:sz w:val="24"/>
        </w:rPr>
        <w:t xml:space="preserve">2.2. Sanitarija ir komunalinis ūkis – </w:t>
      </w:r>
      <w:r w:rsidR="002D5F07">
        <w:rPr>
          <w:rFonts w:ascii="Times New Roman" w:hAnsi="Times New Roman" w:cs="Times New Roman"/>
          <w:sz w:val="24"/>
        </w:rPr>
        <w:tab/>
      </w:r>
      <w:r w:rsidR="002D5F07">
        <w:rPr>
          <w:rFonts w:ascii="Times New Roman" w:hAnsi="Times New Roman" w:cs="Times New Roman"/>
          <w:sz w:val="24"/>
        </w:rPr>
        <w:tab/>
      </w:r>
      <w:r w:rsidR="002D5F07">
        <w:rPr>
          <w:rFonts w:ascii="Times New Roman" w:hAnsi="Times New Roman" w:cs="Times New Roman"/>
          <w:sz w:val="24"/>
        </w:rPr>
        <w:tab/>
        <w:t xml:space="preserve">  87.000 EUR;</w:t>
      </w:r>
    </w:p>
    <w:p w:rsidR="00421595" w:rsidRDefault="00421595" w:rsidP="00421595">
      <w:pPr>
        <w:spacing w:after="0"/>
        <w:ind w:left="567" w:firstLine="567"/>
        <w:jc w:val="both"/>
        <w:rPr>
          <w:rFonts w:ascii="Times New Roman" w:hAnsi="Times New Roman" w:cs="Times New Roman"/>
          <w:sz w:val="24"/>
        </w:rPr>
      </w:pPr>
      <w:r>
        <w:rPr>
          <w:rFonts w:ascii="Times New Roman" w:hAnsi="Times New Roman" w:cs="Times New Roman"/>
          <w:sz w:val="24"/>
        </w:rPr>
        <w:t xml:space="preserve">2.3. Valdymo ir finansinės sąnaudos – </w:t>
      </w:r>
      <w:r w:rsidR="002D5F07">
        <w:rPr>
          <w:rFonts w:ascii="Times New Roman" w:hAnsi="Times New Roman" w:cs="Times New Roman"/>
          <w:sz w:val="24"/>
        </w:rPr>
        <w:tab/>
      </w:r>
      <w:r w:rsidR="002D5F07">
        <w:rPr>
          <w:rFonts w:ascii="Times New Roman" w:hAnsi="Times New Roman" w:cs="Times New Roman"/>
          <w:sz w:val="24"/>
        </w:rPr>
        <w:tab/>
      </w:r>
      <w:r w:rsidR="002D5F07">
        <w:rPr>
          <w:rFonts w:ascii="Times New Roman" w:hAnsi="Times New Roman" w:cs="Times New Roman"/>
          <w:sz w:val="24"/>
        </w:rPr>
        <w:tab/>
        <w:t>250.000 EUR;</w:t>
      </w:r>
    </w:p>
    <w:p w:rsidR="00911AD0" w:rsidRDefault="00421595" w:rsidP="00421595">
      <w:pPr>
        <w:spacing w:after="0"/>
        <w:ind w:left="567" w:firstLine="567"/>
        <w:jc w:val="both"/>
        <w:rPr>
          <w:rFonts w:ascii="Times New Roman" w:hAnsi="Times New Roman" w:cs="Times New Roman"/>
          <w:sz w:val="24"/>
        </w:rPr>
      </w:pPr>
      <w:r>
        <w:rPr>
          <w:rFonts w:ascii="Times New Roman" w:hAnsi="Times New Roman" w:cs="Times New Roman"/>
          <w:sz w:val="24"/>
        </w:rPr>
        <w:t xml:space="preserve">2.4. Mokesčių sąnaudos </w:t>
      </w:r>
      <w:r w:rsidR="002D5F07">
        <w:rPr>
          <w:rFonts w:ascii="Times New Roman" w:hAnsi="Times New Roman" w:cs="Times New Roman"/>
          <w:sz w:val="24"/>
        </w:rPr>
        <w:t>–</w:t>
      </w:r>
      <w:r>
        <w:rPr>
          <w:rFonts w:ascii="Times New Roman" w:hAnsi="Times New Roman" w:cs="Times New Roman"/>
          <w:sz w:val="24"/>
        </w:rPr>
        <w:t xml:space="preserve"> </w:t>
      </w:r>
      <w:r w:rsidR="002D5F07">
        <w:rPr>
          <w:rFonts w:ascii="Times New Roman" w:hAnsi="Times New Roman" w:cs="Times New Roman"/>
          <w:sz w:val="24"/>
        </w:rPr>
        <w:tab/>
      </w:r>
      <w:r w:rsidR="002D5F07">
        <w:rPr>
          <w:rFonts w:ascii="Times New Roman" w:hAnsi="Times New Roman" w:cs="Times New Roman"/>
          <w:sz w:val="24"/>
        </w:rPr>
        <w:tab/>
      </w:r>
      <w:r w:rsidR="002D5F07">
        <w:rPr>
          <w:rFonts w:ascii="Times New Roman" w:hAnsi="Times New Roman" w:cs="Times New Roman"/>
          <w:sz w:val="24"/>
        </w:rPr>
        <w:tab/>
      </w:r>
      <w:r w:rsidR="002D5F07">
        <w:rPr>
          <w:rFonts w:ascii="Times New Roman" w:hAnsi="Times New Roman" w:cs="Times New Roman"/>
          <w:sz w:val="24"/>
        </w:rPr>
        <w:tab/>
        <w:t xml:space="preserve">    5.000 EUR;</w:t>
      </w:r>
    </w:p>
    <w:p w:rsidR="00911AD0" w:rsidRDefault="00911AD0" w:rsidP="00BD0C02">
      <w:pPr>
        <w:spacing w:after="0"/>
        <w:ind w:firstLine="567"/>
        <w:jc w:val="both"/>
        <w:rPr>
          <w:rFonts w:ascii="Times New Roman" w:hAnsi="Times New Roman" w:cs="Times New Roman"/>
          <w:sz w:val="24"/>
        </w:rPr>
      </w:pPr>
    </w:p>
    <w:p w:rsidR="00911AD0" w:rsidRDefault="00911AD0" w:rsidP="00BD0C02">
      <w:pPr>
        <w:spacing w:after="0"/>
        <w:ind w:firstLine="567"/>
        <w:jc w:val="both"/>
        <w:rPr>
          <w:rFonts w:ascii="Times New Roman" w:hAnsi="Times New Roman" w:cs="Times New Roman"/>
          <w:sz w:val="24"/>
        </w:rPr>
      </w:pPr>
    </w:p>
    <w:p w:rsidR="00A62576" w:rsidRDefault="00A62576" w:rsidP="00BD0C02">
      <w:pPr>
        <w:spacing w:after="0"/>
        <w:ind w:firstLine="567"/>
        <w:jc w:val="both"/>
        <w:rPr>
          <w:rFonts w:ascii="Times New Roman" w:hAnsi="Times New Roman" w:cs="Times New Roman"/>
          <w:sz w:val="24"/>
        </w:rPr>
      </w:pPr>
      <w:r>
        <w:rPr>
          <w:rFonts w:ascii="Times New Roman" w:hAnsi="Times New Roman" w:cs="Times New Roman"/>
          <w:sz w:val="24"/>
        </w:rPr>
        <w:t>Bendrovė 201</w:t>
      </w:r>
      <w:r w:rsidR="003329DC">
        <w:rPr>
          <w:rFonts w:ascii="Times New Roman" w:hAnsi="Times New Roman" w:cs="Times New Roman"/>
          <w:sz w:val="24"/>
        </w:rPr>
        <w:t>6</w:t>
      </w:r>
      <w:r>
        <w:rPr>
          <w:rFonts w:ascii="Times New Roman" w:hAnsi="Times New Roman" w:cs="Times New Roman"/>
          <w:sz w:val="24"/>
        </w:rPr>
        <w:t xml:space="preserve"> m. planuoja </w:t>
      </w:r>
      <w:r w:rsidR="00421595">
        <w:rPr>
          <w:rFonts w:ascii="Times New Roman" w:hAnsi="Times New Roman" w:cs="Times New Roman"/>
          <w:sz w:val="24"/>
        </w:rPr>
        <w:t xml:space="preserve">gauti </w:t>
      </w:r>
      <w:r w:rsidR="002D5F07">
        <w:rPr>
          <w:rFonts w:ascii="Times New Roman" w:hAnsi="Times New Roman" w:cs="Times New Roman"/>
          <w:sz w:val="24"/>
        </w:rPr>
        <w:t>3.000 EUR</w:t>
      </w:r>
      <w:r w:rsidR="00421595">
        <w:rPr>
          <w:rFonts w:ascii="Times New Roman" w:hAnsi="Times New Roman" w:cs="Times New Roman"/>
          <w:sz w:val="24"/>
        </w:rPr>
        <w:t xml:space="preserve"> pelno. </w:t>
      </w:r>
    </w:p>
    <w:p w:rsidR="00CD7D37" w:rsidRDefault="00CD7D37" w:rsidP="00CD7D37">
      <w:pPr>
        <w:spacing w:after="0"/>
        <w:jc w:val="both"/>
        <w:rPr>
          <w:rFonts w:ascii="Times New Roman" w:hAnsi="Times New Roman" w:cs="Times New Roman"/>
          <w:sz w:val="24"/>
        </w:rPr>
      </w:pPr>
    </w:p>
    <w:p w:rsidR="00CD7D37" w:rsidRDefault="00897B4A" w:rsidP="00897B4A">
      <w:pPr>
        <w:spacing w:after="0"/>
        <w:jc w:val="center"/>
        <w:rPr>
          <w:rFonts w:ascii="Times New Roman" w:hAnsi="Times New Roman" w:cs="Times New Roman"/>
          <w:sz w:val="24"/>
        </w:rPr>
      </w:pPr>
      <w:r>
        <w:rPr>
          <w:rFonts w:ascii="Times New Roman" w:hAnsi="Times New Roman" w:cs="Times New Roman"/>
          <w:sz w:val="24"/>
        </w:rPr>
        <w:t>__________________</w:t>
      </w:r>
    </w:p>
    <w:sectPr w:rsidR="00CD7D37" w:rsidSect="0061034A">
      <w:footerReference w:type="default" r:id="rId14"/>
      <w:pgSz w:w="11906" w:h="16838"/>
      <w:pgMar w:top="1151" w:right="849" w:bottom="993" w:left="1701" w:header="561" w:footer="561"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930" w:rsidRDefault="00796930" w:rsidP="00273FEF">
      <w:pPr>
        <w:spacing w:after="0" w:line="240" w:lineRule="auto"/>
      </w:pPr>
      <w:r>
        <w:separator/>
      </w:r>
    </w:p>
  </w:endnote>
  <w:endnote w:type="continuationSeparator" w:id="1">
    <w:p w:rsidR="00796930" w:rsidRDefault="00796930" w:rsidP="00273F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2679"/>
      <w:docPartObj>
        <w:docPartGallery w:val="Page Numbers (Bottom of Page)"/>
        <w:docPartUnique/>
      </w:docPartObj>
    </w:sdtPr>
    <w:sdtContent>
      <w:p w:rsidR="00615A7C" w:rsidRDefault="00B60957">
        <w:pPr>
          <w:pStyle w:val="Footer"/>
          <w:jc w:val="center"/>
        </w:pPr>
        <w:r>
          <w:fldChar w:fldCharType="begin"/>
        </w:r>
        <w:r w:rsidR="00615A7C">
          <w:instrText>PAGE   \* MERGEFORMAT</w:instrText>
        </w:r>
        <w:r>
          <w:fldChar w:fldCharType="separate"/>
        </w:r>
        <w:r w:rsidR="00897B4A">
          <w:rPr>
            <w:noProof/>
          </w:rPr>
          <w:t>13</w:t>
        </w:r>
        <w:r>
          <w:fldChar w:fldCharType="end"/>
        </w:r>
      </w:p>
    </w:sdtContent>
  </w:sdt>
  <w:p w:rsidR="00615A7C" w:rsidRDefault="00615A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930" w:rsidRDefault="00796930" w:rsidP="00273FEF">
      <w:pPr>
        <w:spacing w:after="0" w:line="240" w:lineRule="auto"/>
      </w:pPr>
      <w:r>
        <w:separator/>
      </w:r>
    </w:p>
  </w:footnote>
  <w:footnote w:type="continuationSeparator" w:id="1">
    <w:p w:rsidR="00796930" w:rsidRDefault="00796930" w:rsidP="00273F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87496"/>
    <w:multiLevelType w:val="hybridMultilevel"/>
    <w:tmpl w:val="CC08CD9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
    <w:nsid w:val="3B6A2087"/>
    <w:multiLevelType w:val="hybridMultilevel"/>
    <w:tmpl w:val="9768F3F2"/>
    <w:lvl w:ilvl="0" w:tplc="04270001">
      <w:start w:val="1"/>
      <w:numFmt w:val="bullet"/>
      <w:lvlText w:val=""/>
      <w:lvlJc w:val="left"/>
      <w:pPr>
        <w:ind w:left="2204" w:hanging="360"/>
      </w:pPr>
      <w:rPr>
        <w:rFonts w:ascii="Symbol" w:hAnsi="Symbol" w:hint="default"/>
      </w:rPr>
    </w:lvl>
    <w:lvl w:ilvl="1" w:tplc="04270003" w:tentative="1">
      <w:start w:val="1"/>
      <w:numFmt w:val="bullet"/>
      <w:lvlText w:val="o"/>
      <w:lvlJc w:val="left"/>
      <w:pPr>
        <w:ind w:left="2924" w:hanging="360"/>
      </w:pPr>
      <w:rPr>
        <w:rFonts w:ascii="Courier New" w:hAnsi="Courier New" w:cs="Courier New" w:hint="default"/>
      </w:rPr>
    </w:lvl>
    <w:lvl w:ilvl="2" w:tplc="04270005" w:tentative="1">
      <w:start w:val="1"/>
      <w:numFmt w:val="bullet"/>
      <w:lvlText w:val=""/>
      <w:lvlJc w:val="left"/>
      <w:pPr>
        <w:ind w:left="3644" w:hanging="360"/>
      </w:pPr>
      <w:rPr>
        <w:rFonts w:ascii="Wingdings" w:hAnsi="Wingdings" w:hint="default"/>
      </w:rPr>
    </w:lvl>
    <w:lvl w:ilvl="3" w:tplc="04270001" w:tentative="1">
      <w:start w:val="1"/>
      <w:numFmt w:val="bullet"/>
      <w:lvlText w:val=""/>
      <w:lvlJc w:val="left"/>
      <w:pPr>
        <w:ind w:left="4364" w:hanging="360"/>
      </w:pPr>
      <w:rPr>
        <w:rFonts w:ascii="Symbol" w:hAnsi="Symbol" w:hint="default"/>
      </w:rPr>
    </w:lvl>
    <w:lvl w:ilvl="4" w:tplc="04270003" w:tentative="1">
      <w:start w:val="1"/>
      <w:numFmt w:val="bullet"/>
      <w:lvlText w:val="o"/>
      <w:lvlJc w:val="left"/>
      <w:pPr>
        <w:ind w:left="5084" w:hanging="360"/>
      </w:pPr>
      <w:rPr>
        <w:rFonts w:ascii="Courier New" w:hAnsi="Courier New" w:cs="Courier New" w:hint="default"/>
      </w:rPr>
    </w:lvl>
    <w:lvl w:ilvl="5" w:tplc="04270005" w:tentative="1">
      <w:start w:val="1"/>
      <w:numFmt w:val="bullet"/>
      <w:lvlText w:val=""/>
      <w:lvlJc w:val="left"/>
      <w:pPr>
        <w:ind w:left="5804" w:hanging="360"/>
      </w:pPr>
      <w:rPr>
        <w:rFonts w:ascii="Wingdings" w:hAnsi="Wingdings" w:hint="default"/>
      </w:rPr>
    </w:lvl>
    <w:lvl w:ilvl="6" w:tplc="04270001" w:tentative="1">
      <w:start w:val="1"/>
      <w:numFmt w:val="bullet"/>
      <w:lvlText w:val=""/>
      <w:lvlJc w:val="left"/>
      <w:pPr>
        <w:ind w:left="6524" w:hanging="360"/>
      </w:pPr>
      <w:rPr>
        <w:rFonts w:ascii="Symbol" w:hAnsi="Symbol" w:hint="default"/>
      </w:rPr>
    </w:lvl>
    <w:lvl w:ilvl="7" w:tplc="04270003" w:tentative="1">
      <w:start w:val="1"/>
      <w:numFmt w:val="bullet"/>
      <w:lvlText w:val="o"/>
      <w:lvlJc w:val="left"/>
      <w:pPr>
        <w:ind w:left="7244" w:hanging="360"/>
      </w:pPr>
      <w:rPr>
        <w:rFonts w:ascii="Courier New" w:hAnsi="Courier New" w:cs="Courier New" w:hint="default"/>
      </w:rPr>
    </w:lvl>
    <w:lvl w:ilvl="8" w:tplc="04270005" w:tentative="1">
      <w:start w:val="1"/>
      <w:numFmt w:val="bullet"/>
      <w:lvlText w:val=""/>
      <w:lvlJc w:val="left"/>
      <w:pPr>
        <w:ind w:left="7964" w:hanging="360"/>
      </w:pPr>
      <w:rPr>
        <w:rFonts w:ascii="Wingdings" w:hAnsi="Wingdings" w:hint="default"/>
      </w:rPr>
    </w:lvl>
  </w:abstractNum>
  <w:abstractNum w:abstractNumId="2">
    <w:nsid w:val="41440394"/>
    <w:multiLevelType w:val="multilevel"/>
    <w:tmpl w:val="747088FE"/>
    <w:lvl w:ilvl="0">
      <w:start w:val="4"/>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C576327"/>
    <w:multiLevelType w:val="hybridMultilevel"/>
    <w:tmpl w:val="943AFB90"/>
    <w:lvl w:ilvl="0" w:tplc="B090266E">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FFD55F1"/>
    <w:multiLevelType w:val="hybridMultilevel"/>
    <w:tmpl w:val="A7AE3F6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
    <w:nsid w:val="5138284E"/>
    <w:multiLevelType w:val="multilevel"/>
    <w:tmpl w:val="C0E2425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656C3A2B"/>
    <w:multiLevelType w:val="hybridMultilevel"/>
    <w:tmpl w:val="A27CDC62"/>
    <w:lvl w:ilvl="0" w:tplc="39667136">
      <w:start w:val="2"/>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nsid w:val="67253E9A"/>
    <w:multiLevelType w:val="hybridMultilevel"/>
    <w:tmpl w:val="0E7275F4"/>
    <w:lvl w:ilvl="0" w:tplc="723C0234">
      <w:start w:val="2"/>
      <w:numFmt w:val="bullet"/>
      <w:lvlText w:val="-"/>
      <w:lvlJc w:val="left"/>
      <w:pPr>
        <w:ind w:left="927" w:hanging="360"/>
      </w:pPr>
      <w:rPr>
        <w:rFonts w:ascii="Times New Roman" w:eastAsiaTheme="minorHAns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nsid w:val="70536E91"/>
    <w:multiLevelType w:val="hybridMultilevel"/>
    <w:tmpl w:val="E1121FF8"/>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9">
    <w:nsid w:val="7682348F"/>
    <w:multiLevelType w:val="hybridMultilevel"/>
    <w:tmpl w:val="33D4CDEC"/>
    <w:lvl w:ilvl="0" w:tplc="04270001">
      <w:start w:val="1"/>
      <w:numFmt w:val="bullet"/>
      <w:lvlText w:val=""/>
      <w:lvlJc w:val="left"/>
      <w:pPr>
        <w:ind w:left="2220" w:hanging="360"/>
      </w:pPr>
      <w:rPr>
        <w:rFonts w:ascii="Symbol" w:hAnsi="Symbol"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num w:numId="1">
    <w:abstractNumId w:val="7"/>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9"/>
  </w:num>
  <w:num w:numId="7">
    <w:abstractNumId w:val="0"/>
  </w:num>
  <w:num w:numId="8">
    <w:abstractNumId w:val="8"/>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296"/>
  <w:hyphenationZone w:val="396"/>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D1DB3"/>
    <w:rsid w:val="0000348D"/>
    <w:rsid w:val="00062AD0"/>
    <w:rsid w:val="000756E5"/>
    <w:rsid w:val="000C518D"/>
    <w:rsid w:val="00103804"/>
    <w:rsid w:val="00110FC6"/>
    <w:rsid w:val="00115241"/>
    <w:rsid w:val="001236CF"/>
    <w:rsid w:val="00130EC9"/>
    <w:rsid w:val="001C4D3C"/>
    <w:rsid w:val="001D4EBA"/>
    <w:rsid w:val="002022C5"/>
    <w:rsid w:val="00207F6C"/>
    <w:rsid w:val="00217477"/>
    <w:rsid w:val="002276BA"/>
    <w:rsid w:val="00233521"/>
    <w:rsid w:val="002425AC"/>
    <w:rsid w:val="002656C0"/>
    <w:rsid w:val="00273FEF"/>
    <w:rsid w:val="00280D92"/>
    <w:rsid w:val="00291BF0"/>
    <w:rsid w:val="00292D5F"/>
    <w:rsid w:val="002B6F2B"/>
    <w:rsid w:val="002C0568"/>
    <w:rsid w:val="002C36DD"/>
    <w:rsid w:val="002D1F62"/>
    <w:rsid w:val="002D5F07"/>
    <w:rsid w:val="0032408D"/>
    <w:rsid w:val="003329DC"/>
    <w:rsid w:val="003615E7"/>
    <w:rsid w:val="00382F1B"/>
    <w:rsid w:val="003931A4"/>
    <w:rsid w:val="003C7D9E"/>
    <w:rsid w:val="003E48DD"/>
    <w:rsid w:val="003F4472"/>
    <w:rsid w:val="00421595"/>
    <w:rsid w:val="0043661E"/>
    <w:rsid w:val="0046783D"/>
    <w:rsid w:val="0049617F"/>
    <w:rsid w:val="004A267C"/>
    <w:rsid w:val="004D7BBE"/>
    <w:rsid w:val="005134EE"/>
    <w:rsid w:val="00540E15"/>
    <w:rsid w:val="005560A8"/>
    <w:rsid w:val="00566AFD"/>
    <w:rsid w:val="0059662F"/>
    <w:rsid w:val="00596E29"/>
    <w:rsid w:val="005C0559"/>
    <w:rsid w:val="005D6297"/>
    <w:rsid w:val="0061034A"/>
    <w:rsid w:val="006159D3"/>
    <w:rsid w:val="00615A7C"/>
    <w:rsid w:val="006304A0"/>
    <w:rsid w:val="0064169E"/>
    <w:rsid w:val="0066698A"/>
    <w:rsid w:val="00670E79"/>
    <w:rsid w:val="006722AA"/>
    <w:rsid w:val="006775C2"/>
    <w:rsid w:val="0068270C"/>
    <w:rsid w:val="00690580"/>
    <w:rsid w:val="00696E0A"/>
    <w:rsid w:val="006A22A4"/>
    <w:rsid w:val="006B6584"/>
    <w:rsid w:val="006C78A8"/>
    <w:rsid w:val="006D1DB3"/>
    <w:rsid w:val="006D37B2"/>
    <w:rsid w:val="00704AFD"/>
    <w:rsid w:val="00734D1D"/>
    <w:rsid w:val="00772EE8"/>
    <w:rsid w:val="00783C68"/>
    <w:rsid w:val="00796930"/>
    <w:rsid w:val="007C271D"/>
    <w:rsid w:val="007C3B2F"/>
    <w:rsid w:val="007D11E6"/>
    <w:rsid w:val="007D63CC"/>
    <w:rsid w:val="007E235B"/>
    <w:rsid w:val="007E5581"/>
    <w:rsid w:val="008623AF"/>
    <w:rsid w:val="0087438F"/>
    <w:rsid w:val="00884F65"/>
    <w:rsid w:val="00897223"/>
    <w:rsid w:val="00897B4A"/>
    <w:rsid w:val="008A6D41"/>
    <w:rsid w:val="008B387A"/>
    <w:rsid w:val="008C19A9"/>
    <w:rsid w:val="008D35BA"/>
    <w:rsid w:val="008E13E7"/>
    <w:rsid w:val="008F3744"/>
    <w:rsid w:val="00900320"/>
    <w:rsid w:val="00907E1A"/>
    <w:rsid w:val="00911AD0"/>
    <w:rsid w:val="00963B49"/>
    <w:rsid w:val="00977F0F"/>
    <w:rsid w:val="00981917"/>
    <w:rsid w:val="00982AEC"/>
    <w:rsid w:val="009A1D19"/>
    <w:rsid w:val="009B5CE6"/>
    <w:rsid w:val="009D3D43"/>
    <w:rsid w:val="00A16E48"/>
    <w:rsid w:val="00A51062"/>
    <w:rsid w:val="00A62576"/>
    <w:rsid w:val="00AE0AE5"/>
    <w:rsid w:val="00B06297"/>
    <w:rsid w:val="00B146C7"/>
    <w:rsid w:val="00B1480A"/>
    <w:rsid w:val="00B16CA0"/>
    <w:rsid w:val="00B2229E"/>
    <w:rsid w:val="00B40647"/>
    <w:rsid w:val="00B41293"/>
    <w:rsid w:val="00B60957"/>
    <w:rsid w:val="00B7268E"/>
    <w:rsid w:val="00B7597D"/>
    <w:rsid w:val="00BD0C02"/>
    <w:rsid w:val="00C04011"/>
    <w:rsid w:val="00C2053A"/>
    <w:rsid w:val="00C71458"/>
    <w:rsid w:val="00CA05A0"/>
    <w:rsid w:val="00CC7421"/>
    <w:rsid w:val="00CD7D37"/>
    <w:rsid w:val="00D10C65"/>
    <w:rsid w:val="00D36A6C"/>
    <w:rsid w:val="00D45DFE"/>
    <w:rsid w:val="00D71B48"/>
    <w:rsid w:val="00D94C33"/>
    <w:rsid w:val="00DC1C68"/>
    <w:rsid w:val="00DD3B5C"/>
    <w:rsid w:val="00E17F2C"/>
    <w:rsid w:val="00E2315A"/>
    <w:rsid w:val="00E610E1"/>
    <w:rsid w:val="00E83EEF"/>
    <w:rsid w:val="00EE37DD"/>
    <w:rsid w:val="00F01C15"/>
    <w:rsid w:val="00F402DA"/>
    <w:rsid w:val="00F66D43"/>
    <w:rsid w:val="00F87CC7"/>
    <w:rsid w:val="00FB11B8"/>
    <w:rsid w:val="00FD343C"/>
    <w:rsid w:val="00FF029D"/>
    <w:rsid w:val="00FF568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223"/>
  </w:style>
  <w:style w:type="paragraph" w:styleId="Heading3">
    <w:name w:val="heading 3"/>
    <w:basedOn w:val="Normal"/>
    <w:link w:val="Heading3Char"/>
    <w:uiPriority w:val="9"/>
    <w:qFormat/>
    <w:rsid w:val="00D94C33"/>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DFE"/>
    <w:pPr>
      <w:ind w:left="720"/>
      <w:contextualSpacing/>
    </w:pPr>
  </w:style>
  <w:style w:type="paragraph" w:styleId="BalloonText">
    <w:name w:val="Balloon Text"/>
    <w:basedOn w:val="Normal"/>
    <w:link w:val="BalloonTextChar"/>
    <w:uiPriority w:val="99"/>
    <w:semiHidden/>
    <w:unhideWhenUsed/>
    <w:rsid w:val="00CC7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421"/>
    <w:rPr>
      <w:rFonts w:ascii="Segoe UI" w:hAnsi="Segoe UI" w:cs="Segoe UI"/>
      <w:sz w:val="18"/>
      <w:szCs w:val="18"/>
    </w:rPr>
  </w:style>
  <w:style w:type="table" w:styleId="TableGrid">
    <w:name w:val="Table Grid"/>
    <w:basedOn w:val="TableNormal"/>
    <w:uiPriority w:val="39"/>
    <w:rsid w:val="00110F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94C33"/>
    <w:rPr>
      <w:rFonts w:ascii="Times New Roman" w:eastAsia="Times New Roman" w:hAnsi="Times New Roman" w:cs="Times New Roman"/>
      <w:b/>
      <w:bCs/>
      <w:sz w:val="27"/>
      <w:szCs w:val="27"/>
      <w:lang w:eastAsia="lt-LT"/>
    </w:rPr>
  </w:style>
  <w:style w:type="character" w:styleId="Hyperlink">
    <w:name w:val="Hyperlink"/>
    <w:basedOn w:val="DefaultParagraphFont"/>
    <w:uiPriority w:val="99"/>
    <w:semiHidden/>
    <w:unhideWhenUsed/>
    <w:rsid w:val="00D94C33"/>
    <w:rPr>
      <w:color w:val="0000FF"/>
      <w:u w:val="single"/>
    </w:rPr>
  </w:style>
  <w:style w:type="paragraph" w:styleId="Header">
    <w:name w:val="header"/>
    <w:basedOn w:val="Normal"/>
    <w:link w:val="HeaderChar"/>
    <w:uiPriority w:val="99"/>
    <w:unhideWhenUsed/>
    <w:rsid w:val="00273FEF"/>
    <w:pPr>
      <w:tabs>
        <w:tab w:val="center" w:pos="4819"/>
        <w:tab w:val="right" w:pos="9638"/>
      </w:tabs>
      <w:spacing w:after="0" w:line="240" w:lineRule="auto"/>
    </w:pPr>
  </w:style>
  <w:style w:type="character" w:customStyle="1" w:styleId="HeaderChar">
    <w:name w:val="Header Char"/>
    <w:basedOn w:val="DefaultParagraphFont"/>
    <w:link w:val="Header"/>
    <w:uiPriority w:val="99"/>
    <w:rsid w:val="00273FEF"/>
  </w:style>
  <w:style w:type="paragraph" w:styleId="Footer">
    <w:name w:val="footer"/>
    <w:basedOn w:val="Normal"/>
    <w:link w:val="FooterChar"/>
    <w:uiPriority w:val="99"/>
    <w:unhideWhenUsed/>
    <w:rsid w:val="00273FE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73FEF"/>
  </w:style>
  <w:style w:type="character" w:styleId="Strong">
    <w:name w:val="Strong"/>
    <w:basedOn w:val="DefaultParagraphFont"/>
    <w:uiPriority w:val="22"/>
    <w:qFormat/>
    <w:rsid w:val="00615A7C"/>
    <w:rPr>
      <w:b/>
      <w:bCs/>
    </w:rPr>
  </w:style>
  <w:style w:type="paragraph" w:styleId="NormalWeb">
    <w:name w:val="Normal (Web)"/>
    <w:basedOn w:val="Normal"/>
    <w:uiPriority w:val="99"/>
    <w:semiHidden/>
    <w:unhideWhenUsed/>
    <w:rsid w:val="00977F0F"/>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r="http://schemas.openxmlformats.org/officeDocument/2006/relationships" xmlns:w="http://schemas.openxmlformats.org/wordprocessingml/2006/main">
  <w:divs>
    <w:div w:id="1078600849">
      <w:bodyDiv w:val="1"/>
      <w:marLeft w:val="0"/>
      <w:marRight w:val="0"/>
      <w:marTop w:val="0"/>
      <w:marBottom w:val="0"/>
      <w:divBdr>
        <w:top w:val="none" w:sz="0" w:space="0" w:color="auto"/>
        <w:left w:val="none" w:sz="0" w:space="0" w:color="auto"/>
        <w:bottom w:val="none" w:sz="0" w:space="0" w:color="auto"/>
        <w:right w:val="none" w:sz="0" w:space="0" w:color="auto"/>
      </w:divBdr>
    </w:div>
    <w:div w:id="1426029558">
      <w:bodyDiv w:val="1"/>
      <w:marLeft w:val="0"/>
      <w:marRight w:val="0"/>
      <w:marTop w:val="0"/>
      <w:marBottom w:val="0"/>
      <w:divBdr>
        <w:top w:val="none" w:sz="0" w:space="0" w:color="auto"/>
        <w:left w:val="none" w:sz="0" w:space="0" w:color="auto"/>
        <w:bottom w:val="none" w:sz="0" w:space="0" w:color="auto"/>
        <w:right w:val="none" w:sz="0" w:space="0" w:color="auto"/>
      </w:divBdr>
    </w:div>
    <w:div w:id="164504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001\Documents\Bendrov&#279;s%20dokumentai\Grafikai%20ataskaita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C-001\Documents\Bendrov&#279;s%20dokumentai\Grafikai%20ataskaita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C-001\Documents\Bendrov&#279;s%20dokumentai\Grafikai%20ataskaita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C-001\Documents\Bendrov&#279;s%20dokumentai\Grafikai%20ataskaita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UAB </a:t>
            </a:r>
            <a:r>
              <a:rPr lang="lt-LT"/>
              <a:t>„Prienų</a:t>
            </a:r>
            <a:r>
              <a:rPr lang="lt-LT" baseline="0"/>
              <a:t> butų ūkis“ pajamų struktūra</a:t>
            </a:r>
            <a:endParaRPr lang="en-US"/>
          </a:p>
        </c:rich>
      </c:tx>
      <c:spPr>
        <a:noFill/>
        <a:ln>
          <a:noFill/>
        </a:ln>
        <a:effectLst/>
      </c:sp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6799295000493616"/>
          <c:y val="0.24138988218409202"/>
          <c:w val="0.48100927769436558"/>
          <c:h val="0.59004367887821396"/>
        </c:manualLayout>
      </c:layout>
      <c:pie3DChart>
        <c:varyColors val="1"/>
        <c:ser>
          <c:idx val="0"/>
          <c:order val="0"/>
          <c:tx>
            <c:strRef>
              <c:f>Lapas2!$C$1</c:f>
              <c:strCache>
                <c:ptCount val="1"/>
                <c:pt idx="0">
                  <c:v>EUR</c:v>
                </c:pt>
              </c:strCache>
            </c:strRef>
          </c:tx>
          <c:spPr>
            <a:ln>
              <a:solidFill>
                <a:sysClr val="windowText" lastClr="000000"/>
              </a:solidFill>
            </a:ln>
          </c:spPr>
          <c:dPt>
            <c:idx val="0"/>
            <c:spPr>
              <a:solidFill>
                <a:srgbClr val="00B050"/>
              </a:solidFill>
              <a:ln>
                <a:solidFill>
                  <a:sysClr val="windowText" lastClr="000000"/>
                </a:solidFill>
              </a:ln>
              <a:effectLst>
                <a:outerShdw blurRad="254000" sx="102000" sy="102000" algn="ctr" rotWithShape="0">
                  <a:prstClr val="black">
                    <a:alpha val="20000"/>
                  </a:prstClr>
                </a:outerShdw>
              </a:effectLst>
              <a:sp3d>
                <a:contourClr>
                  <a:sysClr val="windowText" lastClr="000000"/>
                </a:contourClr>
              </a:sp3d>
            </c:spPr>
          </c:dPt>
          <c:dPt>
            <c:idx val="1"/>
            <c:spPr>
              <a:solidFill>
                <a:schemeClr val="tx1"/>
              </a:solidFill>
              <a:ln>
                <a:solidFill>
                  <a:sysClr val="windowText" lastClr="000000"/>
                </a:solidFill>
              </a:ln>
              <a:effectLst>
                <a:outerShdw blurRad="254000" sx="102000" sy="102000" algn="ctr" rotWithShape="0">
                  <a:prstClr val="black">
                    <a:alpha val="20000"/>
                  </a:prstClr>
                </a:outerShdw>
              </a:effectLst>
              <a:sp3d>
                <a:contourClr>
                  <a:sysClr val="windowText" lastClr="000000"/>
                </a:contourClr>
              </a:sp3d>
            </c:spPr>
          </c:dPt>
          <c:dPt>
            <c:idx val="2"/>
            <c:spPr>
              <a:solidFill>
                <a:srgbClr val="FF0000"/>
              </a:solidFill>
              <a:ln>
                <a:solidFill>
                  <a:sysClr val="windowText" lastClr="000000"/>
                </a:solidFill>
              </a:ln>
              <a:effectLst>
                <a:outerShdw blurRad="254000" sx="102000" sy="102000" algn="ctr" rotWithShape="0">
                  <a:prstClr val="black">
                    <a:alpha val="20000"/>
                  </a:prstClr>
                </a:outerShdw>
              </a:effectLst>
              <a:sp3d>
                <a:contourClr>
                  <a:sysClr val="windowText" lastClr="000000"/>
                </a:contourClr>
              </a:sp3d>
            </c:spPr>
          </c:dPt>
          <c:dPt>
            <c:idx val="3"/>
            <c:spPr>
              <a:solidFill>
                <a:srgbClr val="FFC000"/>
              </a:solidFill>
              <a:ln>
                <a:solidFill>
                  <a:sysClr val="windowText" lastClr="000000"/>
                </a:solidFill>
              </a:ln>
              <a:effectLst>
                <a:outerShdw blurRad="254000" sx="102000" sy="102000" algn="ctr" rotWithShape="0">
                  <a:prstClr val="black">
                    <a:alpha val="20000"/>
                  </a:prstClr>
                </a:outerShdw>
              </a:effectLst>
              <a:sp3d>
                <a:contourClr>
                  <a:sysClr val="windowText" lastClr="000000"/>
                </a:contourClr>
              </a:sp3d>
            </c:spPr>
          </c:dPt>
          <c:dPt>
            <c:idx val="4"/>
            <c:spPr>
              <a:solidFill>
                <a:srgbClr val="00B0F0"/>
              </a:solidFill>
              <a:ln>
                <a:solidFill>
                  <a:sysClr val="windowText" lastClr="000000"/>
                </a:solidFill>
              </a:ln>
              <a:effectLst>
                <a:outerShdw blurRad="254000" sx="102000" sy="102000" algn="ctr" rotWithShape="0">
                  <a:prstClr val="black">
                    <a:alpha val="20000"/>
                  </a:prstClr>
                </a:outerShdw>
              </a:effectLst>
              <a:sp3d>
                <a:contourClr>
                  <a:sysClr val="windowText" lastClr="000000"/>
                </a:contourClr>
              </a:sp3d>
            </c:spPr>
          </c:dPt>
          <c:dPt>
            <c:idx val="5"/>
            <c:spPr>
              <a:solidFill>
                <a:srgbClr val="FFFF00"/>
              </a:solidFill>
              <a:ln>
                <a:solidFill>
                  <a:sysClr val="windowText" lastClr="000000"/>
                </a:solidFill>
              </a:ln>
              <a:effectLst>
                <a:outerShdw blurRad="254000" sx="102000" sy="102000" algn="ctr" rotWithShape="0">
                  <a:prstClr val="black">
                    <a:alpha val="20000"/>
                  </a:prstClr>
                </a:outerShdw>
              </a:effectLst>
              <a:sp3d>
                <a:contourClr>
                  <a:sysClr val="windowText" lastClr="000000"/>
                </a:contourClr>
              </a:sp3d>
            </c:spPr>
          </c:dPt>
          <c:dPt>
            <c:idx val="6"/>
            <c:spPr>
              <a:solidFill>
                <a:srgbClr val="7030A0"/>
              </a:solidFill>
              <a:ln>
                <a:solidFill>
                  <a:sysClr val="windowText" lastClr="000000"/>
                </a:solidFill>
              </a:ln>
              <a:effectLst>
                <a:outerShdw blurRad="254000" sx="102000" sy="102000" algn="ctr" rotWithShape="0">
                  <a:prstClr val="black">
                    <a:alpha val="20000"/>
                  </a:prstClr>
                </a:outerShdw>
              </a:effectLst>
              <a:sp3d>
                <a:contourClr>
                  <a:sysClr val="windowText" lastClr="000000"/>
                </a:contourClr>
              </a:sp3d>
            </c:spPr>
          </c:dPt>
          <c:dLbls>
            <c:dLbl>
              <c:idx val="0"/>
              <c:layout>
                <c:manualLayout>
                  <c:x val="-0.19673986462260631"/>
                  <c:y val="-5.9289937904995753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0EBDF038-C889-4510-A9E7-A5FD2EDB6D28}" type="CATEGORYNAME">
                      <a:rPr lang="lt-LT"/>
                      <a:pPr>
                        <a:defRPr sz="1000" b="1" i="0" u="none" strike="noStrike" kern="1200" baseline="0">
                          <a:solidFill>
                            <a:schemeClr val="lt1"/>
                          </a:solidFill>
                          <a:latin typeface="+mn-lt"/>
                          <a:ea typeface="+mn-ea"/>
                          <a:cs typeface="+mn-cs"/>
                        </a:defRPr>
                      </a:pPr>
                      <a:t>[KATEGORIJOS PAVADINIMAS]</a:t>
                    </a:fld>
                    <a:r>
                      <a:rPr lang="lt-LT" baseline="0"/>
                      <a:t>; </a:t>
                    </a:r>
                    <a:fld id="{31A4D853-DD1F-4067-801B-22DA5B805607}" type="VALUE">
                      <a:rPr lang="lt-LT" baseline="0"/>
                      <a:pPr>
                        <a:defRPr sz="1000" b="1" i="0" u="none" strike="noStrike" kern="1200" baseline="0">
                          <a:solidFill>
                            <a:schemeClr val="lt1"/>
                          </a:solidFill>
                          <a:latin typeface="+mn-lt"/>
                          <a:ea typeface="+mn-ea"/>
                          <a:cs typeface="+mn-cs"/>
                        </a:defRPr>
                      </a:pPr>
                      <a:t>[REIKŠMĖ]</a:t>
                    </a:fld>
                    <a:r>
                      <a:rPr lang="lt-LT" baseline="0"/>
                      <a:t> EUR; </a:t>
                    </a:r>
                    <a:fld id="{813BA5D4-B63B-4EEA-AD8D-EB3C3529CCCB}" type="PERCENTAGE">
                      <a:rPr lang="lt-LT" baseline="0"/>
                      <a:pPr>
                        <a:defRPr sz="1000" b="1" i="0" u="none" strike="noStrike" kern="1200" baseline="0">
                          <a:solidFill>
                            <a:schemeClr val="lt1"/>
                          </a:solidFill>
                          <a:latin typeface="+mn-lt"/>
                          <a:ea typeface="+mn-ea"/>
                          <a:cs typeface="+mn-cs"/>
                        </a:defRPr>
                      </a:pPr>
                      <a:t>[PROCENTAI]</a:t>
                    </a:fld>
                    <a:endParaRPr lang="lt-LT" baseline="0"/>
                  </a:p>
                </c:rich>
              </c:tx>
              <c:spPr>
                <a:solidFill>
                  <a:srgbClr val="00B050"/>
                </a:solidFill>
                <a:ln>
                  <a:noFill/>
                </a:ln>
                <a:effectLst>
                  <a:outerShdw blurRad="50800" dist="38100" dir="2700000" algn="tl" rotWithShape="0">
                    <a:prstClr val="black">
                      <a:alpha val="40000"/>
                    </a:prstClr>
                  </a:outerShdw>
                </a:effectLst>
              </c:spPr>
              <c:dLblPos val="bestFit"/>
              <c:showVal val="1"/>
              <c:showCatName val="1"/>
              <c:showPercent val="1"/>
              <c:extLst>
                <c:ext xmlns:c15="http://schemas.microsoft.com/office/drawing/2012/chart" uri="{CE6537A1-D6FC-4f65-9D91-7224C49458BB}">
                  <c15:dlblFieldTable/>
                  <c15:showDataLabelsRange val="0"/>
                </c:ext>
              </c:extLst>
            </c:dLbl>
            <c:dLbl>
              <c:idx val="1"/>
              <c:layout>
                <c:manualLayout>
                  <c:x val="-6.2316403477711814E-2"/>
                  <c:y val="-0.10278612760852762"/>
                </c:manualLayout>
              </c:layout>
              <c:tx>
                <c:rich>
                  <a:bodyPr/>
                  <a:lstStyle/>
                  <a:p>
                    <a:fld id="{57076395-7FF5-4F93-8700-FFC62C8B0722}" type="CATEGORYNAME">
                      <a:rPr lang="lt-LT"/>
                      <a:pPr/>
                      <a:t>[KATEGORIJOS PAVADINIMAS]</a:t>
                    </a:fld>
                    <a:r>
                      <a:rPr lang="lt-LT" baseline="0"/>
                      <a:t>; </a:t>
                    </a:r>
                    <a:fld id="{8F71C65D-8BF4-4D8F-B3F3-0A3C7977F9C7}" type="VALUE">
                      <a:rPr lang="lt-LT" baseline="0"/>
                      <a:pPr/>
                      <a:t>[REIKŠMĖ]</a:t>
                    </a:fld>
                    <a:r>
                      <a:rPr lang="lt-LT" baseline="0"/>
                      <a:t> EUR; </a:t>
                    </a:r>
                    <a:fld id="{0CF4DADC-46B8-4EC4-9CE2-7F971F1D33E8}" type="PERCENTAGE">
                      <a:rPr lang="lt-LT" baseline="0"/>
                      <a:pPr/>
                      <a:t>[PROCENTAI]</a:t>
                    </a:fld>
                    <a:endParaRPr lang="lt-LT" baseline="0"/>
                  </a:p>
                </c:rich>
              </c:tx>
              <c:dLblPos val="bestFit"/>
              <c:showVal val="1"/>
              <c:showCatName val="1"/>
              <c:showPercent val="1"/>
              <c:extLst>
                <c:ext xmlns:c15="http://schemas.microsoft.com/office/drawing/2012/chart" uri="{CE6537A1-D6FC-4f65-9D91-7224C49458BB}">
                  <c15:dlblFieldTable/>
                  <c15:showDataLabelsRange val="0"/>
                </c:ext>
              </c:extLst>
            </c:dLbl>
            <c:dLbl>
              <c:idx val="2"/>
              <c:layout>
                <c:manualLayout>
                  <c:x val="-9.4522176670659722E-2"/>
                  <c:y val="0.11881442547500846"/>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7AE382B6-09C5-4E2B-90A8-860D42500F8B}" type="CATEGORYNAME">
                      <a:rPr lang="lt-LT">
                        <a:solidFill>
                          <a:sysClr val="windowText" lastClr="000000"/>
                        </a:solidFill>
                      </a:rPr>
                      <a:pPr>
                        <a:defRPr sz="1000" b="1" i="0" u="none" strike="noStrike" kern="1200" baseline="0">
                          <a:solidFill>
                            <a:schemeClr val="lt1"/>
                          </a:solidFill>
                          <a:latin typeface="+mn-lt"/>
                          <a:ea typeface="+mn-ea"/>
                          <a:cs typeface="+mn-cs"/>
                        </a:defRPr>
                      </a:pPr>
                      <a:t>[KATEGORIJOS PAVADINIMAS]</a:t>
                    </a:fld>
                    <a:r>
                      <a:rPr lang="lt-LT" baseline="0">
                        <a:solidFill>
                          <a:sysClr val="windowText" lastClr="000000"/>
                        </a:solidFill>
                      </a:rPr>
                      <a:t>; </a:t>
                    </a:r>
                    <a:fld id="{1B92FB2E-F165-42C4-A57E-E4FE66C075A5}" type="VALUE">
                      <a:rPr lang="lt-LT" baseline="0">
                        <a:solidFill>
                          <a:sysClr val="windowText" lastClr="000000"/>
                        </a:solidFill>
                      </a:rPr>
                      <a:pPr>
                        <a:defRPr sz="1000" b="1" i="0" u="none" strike="noStrike" kern="1200" baseline="0">
                          <a:solidFill>
                            <a:schemeClr val="lt1"/>
                          </a:solidFill>
                          <a:latin typeface="+mn-lt"/>
                          <a:ea typeface="+mn-ea"/>
                          <a:cs typeface="+mn-cs"/>
                        </a:defRPr>
                      </a:pPr>
                      <a:t>[REIKŠMĖ]</a:t>
                    </a:fld>
                    <a:r>
                      <a:rPr lang="lt-LT" baseline="0">
                        <a:solidFill>
                          <a:sysClr val="windowText" lastClr="000000"/>
                        </a:solidFill>
                      </a:rPr>
                      <a:t> EUR; </a:t>
                    </a:r>
                    <a:fld id="{AFB56EC7-1C90-40FE-87A2-9E6389FFE6FB}" type="PERCENTAGE">
                      <a:rPr lang="lt-LT" baseline="0">
                        <a:solidFill>
                          <a:sysClr val="windowText" lastClr="000000"/>
                        </a:solidFill>
                      </a:rPr>
                      <a:pPr>
                        <a:defRPr sz="1000" b="1" i="0" u="none" strike="noStrike" kern="1200" baseline="0">
                          <a:solidFill>
                            <a:schemeClr val="lt1"/>
                          </a:solidFill>
                          <a:latin typeface="+mn-lt"/>
                          <a:ea typeface="+mn-ea"/>
                          <a:cs typeface="+mn-cs"/>
                        </a:defRPr>
                      </a:pPr>
                      <a:t>[PROCENTAI]</a:t>
                    </a:fld>
                    <a:endParaRPr lang="lt-LT" baseline="0">
                      <a:solidFill>
                        <a:sysClr val="windowText" lastClr="000000"/>
                      </a:solidFill>
                    </a:endParaRPr>
                  </a:p>
                </c:rich>
              </c:tx>
              <c:spPr>
                <a:solidFill>
                  <a:srgbClr val="FF0000"/>
                </a:solidFill>
                <a:ln>
                  <a:noFill/>
                </a:ln>
                <a:effectLst>
                  <a:outerShdw blurRad="50800" dist="38100" dir="2700000" algn="tl" rotWithShape="0">
                    <a:prstClr val="black">
                      <a:alpha val="40000"/>
                    </a:prstClr>
                  </a:outerShdw>
                </a:effectLst>
              </c:spPr>
              <c:dLblPos val="bestFit"/>
              <c:showVal val="1"/>
              <c:showCatName val="1"/>
              <c:showPercent val="1"/>
              <c:extLst>
                <c:ext xmlns:c15="http://schemas.microsoft.com/office/drawing/2012/chart" uri="{CE6537A1-D6FC-4f65-9D91-7224C49458BB}">
                  <c15:dlblFieldTable/>
                  <c15:showDataLabelsRange val="0"/>
                </c:ext>
              </c:extLst>
            </c:dLbl>
            <c:dLbl>
              <c:idx val="3"/>
              <c:layout>
                <c:manualLayout>
                  <c:x val="1.1997328264629341E-2"/>
                  <c:y val="0.10395002930928014"/>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FDA96A26-1820-41A0-9899-168754563786}" type="CATEGORYNAME">
                      <a:rPr lang="lt-LT">
                        <a:solidFill>
                          <a:sysClr val="windowText" lastClr="000000"/>
                        </a:solidFill>
                      </a:rPr>
                      <a:pPr>
                        <a:defRPr sz="1000" b="1" i="0" u="none" strike="noStrike" kern="1200" baseline="0">
                          <a:solidFill>
                            <a:schemeClr val="lt1"/>
                          </a:solidFill>
                          <a:latin typeface="+mn-lt"/>
                          <a:ea typeface="+mn-ea"/>
                          <a:cs typeface="+mn-cs"/>
                        </a:defRPr>
                      </a:pPr>
                      <a:t>[KATEGORIJOS PAVADINIMAS]</a:t>
                    </a:fld>
                    <a:r>
                      <a:rPr lang="lt-LT" baseline="0">
                        <a:solidFill>
                          <a:sysClr val="windowText" lastClr="000000"/>
                        </a:solidFill>
                      </a:rPr>
                      <a:t>; </a:t>
                    </a:r>
                    <a:fld id="{9CE6A94E-EE46-42CB-BF2A-E5A21B5E6E78}" type="VALUE">
                      <a:rPr lang="lt-LT" baseline="0">
                        <a:solidFill>
                          <a:sysClr val="windowText" lastClr="000000"/>
                        </a:solidFill>
                      </a:rPr>
                      <a:pPr>
                        <a:defRPr sz="1000" b="1" i="0" u="none" strike="noStrike" kern="1200" baseline="0">
                          <a:solidFill>
                            <a:schemeClr val="lt1"/>
                          </a:solidFill>
                          <a:latin typeface="+mn-lt"/>
                          <a:ea typeface="+mn-ea"/>
                          <a:cs typeface="+mn-cs"/>
                        </a:defRPr>
                      </a:pPr>
                      <a:t>[REIKŠMĖ]</a:t>
                    </a:fld>
                    <a:r>
                      <a:rPr lang="lt-LT" baseline="0">
                        <a:solidFill>
                          <a:sysClr val="windowText" lastClr="000000"/>
                        </a:solidFill>
                      </a:rPr>
                      <a:t> EUR; </a:t>
                    </a:r>
                    <a:fld id="{645F07BB-B6C4-4768-BBFA-B877808FE65B}" type="PERCENTAGE">
                      <a:rPr lang="lt-LT" baseline="0">
                        <a:solidFill>
                          <a:sysClr val="windowText" lastClr="000000"/>
                        </a:solidFill>
                      </a:rPr>
                      <a:pPr>
                        <a:defRPr sz="1000" b="1" i="0" u="none" strike="noStrike" kern="1200" baseline="0">
                          <a:solidFill>
                            <a:schemeClr val="lt1"/>
                          </a:solidFill>
                          <a:latin typeface="+mn-lt"/>
                          <a:ea typeface="+mn-ea"/>
                          <a:cs typeface="+mn-cs"/>
                        </a:defRPr>
                      </a:pPr>
                      <a:t>[PROCENTAI]</a:t>
                    </a:fld>
                    <a:endParaRPr lang="lt-LT" baseline="0">
                      <a:solidFill>
                        <a:sysClr val="windowText" lastClr="000000"/>
                      </a:solidFill>
                    </a:endParaRPr>
                  </a:p>
                </c:rich>
              </c:tx>
              <c:spPr>
                <a:solidFill>
                  <a:srgbClr val="FFC000"/>
                </a:solidFill>
                <a:ln>
                  <a:noFill/>
                </a:ln>
                <a:effectLst>
                  <a:outerShdw blurRad="50800" dist="38100" dir="2700000" algn="tl" rotWithShape="0">
                    <a:prstClr val="black">
                      <a:alpha val="40000"/>
                    </a:prstClr>
                  </a:outerShdw>
                </a:effectLst>
              </c:spPr>
              <c:dLblPos val="bestFit"/>
              <c:showVal val="1"/>
              <c:showCatName val="1"/>
              <c:showPercent val="1"/>
              <c:extLst>
                <c:ext xmlns:c15="http://schemas.microsoft.com/office/drawing/2012/chart" uri="{CE6537A1-D6FC-4f65-9D91-7224C49458BB}">
                  <c15:dlblFieldTable/>
                  <c15:showDataLabelsRange val="0"/>
                </c:ext>
              </c:extLst>
            </c:dLbl>
            <c:dLbl>
              <c:idx val="4"/>
              <c:layout>
                <c:manualLayout>
                  <c:x val="5.512507990630233E-4"/>
                  <c:y val="-4.0335618456273432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DC66042F-E48A-4FD6-ABF5-363EB1142901}" type="CATEGORYNAME">
                      <a:rPr lang="en-US">
                        <a:solidFill>
                          <a:sysClr val="windowText" lastClr="000000"/>
                        </a:solidFill>
                      </a:rPr>
                      <a:pPr>
                        <a:defRPr sz="1000" b="1" i="0" u="none" strike="noStrike" kern="1200" baseline="0">
                          <a:solidFill>
                            <a:schemeClr val="lt1"/>
                          </a:solidFill>
                          <a:latin typeface="+mn-lt"/>
                          <a:ea typeface="+mn-ea"/>
                          <a:cs typeface="+mn-cs"/>
                        </a:defRPr>
                      </a:pPr>
                      <a:t>[KATEGORIJOS PAVADINIMAS]</a:t>
                    </a:fld>
                    <a:r>
                      <a:rPr lang="en-US" baseline="0">
                        <a:solidFill>
                          <a:sysClr val="windowText" lastClr="000000"/>
                        </a:solidFill>
                      </a:rPr>
                      <a:t>; </a:t>
                    </a:r>
                    <a:fld id="{7BF491CE-19BA-47BE-97C1-B48B68C97244}" type="VALUE">
                      <a:rPr lang="en-US" baseline="0">
                        <a:solidFill>
                          <a:sysClr val="windowText" lastClr="000000"/>
                        </a:solidFill>
                      </a:rPr>
                      <a:pPr>
                        <a:defRPr sz="1000" b="1" i="0" u="none" strike="noStrike" kern="1200" baseline="0">
                          <a:solidFill>
                            <a:schemeClr val="lt1"/>
                          </a:solidFill>
                          <a:latin typeface="+mn-lt"/>
                          <a:ea typeface="+mn-ea"/>
                          <a:cs typeface="+mn-cs"/>
                        </a:defRPr>
                      </a:pPr>
                      <a:t>[REIKŠMĖ]</a:t>
                    </a:fld>
                    <a:r>
                      <a:rPr lang="en-US" baseline="0">
                        <a:solidFill>
                          <a:sysClr val="windowText" lastClr="000000"/>
                        </a:solidFill>
                      </a:rPr>
                      <a:t> EUR; </a:t>
                    </a:r>
                    <a:fld id="{43CC9546-20EC-40B4-82C2-BA49B083C4CA}" type="PERCENTAGE">
                      <a:rPr lang="en-US" baseline="0">
                        <a:solidFill>
                          <a:sysClr val="windowText" lastClr="000000"/>
                        </a:solidFill>
                      </a:rPr>
                      <a:pPr>
                        <a:defRPr sz="1000" b="1" i="0" u="none" strike="noStrike" kern="1200" baseline="0">
                          <a:solidFill>
                            <a:schemeClr val="lt1"/>
                          </a:solidFill>
                          <a:latin typeface="+mn-lt"/>
                          <a:ea typeface="+mn-ea"/>
                          <a:cs typeface="+mn-cs"/>
                        </a:defRPr>
                      </a:pPr>
                      <a:t>[PROCENTAI]</a:t>
                    </a:fld>
                    <a:endParaRPr lang="en-US" baseline="0">
                      <a:solidFill>
                        <a:sysClr val="windowText" lastClr="000000"/>
                      </a:solidFill>
                    </a:endParaRPr>
                  </a:p>
                </c:rich>
              </c:tx>
              <c:spPr>
                <a:solidFill>
                  <a:srgbClr val="00B0F0"/>
                </a:solidFill>
                <a:ln>
                  <a:noFill/>
                </a:ln>
                <a:effectLst>
                  <a:outerShdw blurRad="50800" dist="38100" dir="2700000" algn="tl" rotWithShape="0">
                    <a:prstClr val="black">
                      <a:alpha val="40000"/>
                    </a:prstClr>
                  </a:outerShdw>
                </a:effectLst>
              </c:spPr>
              <c:dLblPos val="bestFit"/>
              <c:showVal val="1"/>
              <c:showCatName val="1"/>
              <c:showPercent val="1"/>
              <c:extLst>
                <c:ext xmlns:c15="http://schemas.microsoft.com/office/drawing/2012/chart" uri="{CE6537A1-D6FC-4f65-9D91-7224C49458BB}">
                  <c15:dlblFieldTable/>
                  <c15:showDataLabelsRange val="0"/>
                </c:ext>
              </c:extLst>
            </c:dLbl>
            <c:dLbl>
              <c:idx val="5"/>
              <c:layout>
                <c:manualLayout>
                  <c:x val="-9.4240355095185149E-2"/>
                  <c:y val="0.13092108456500576"/>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D6461863-0C68-448F-9413-2A3EAA3992E3}" type="CATEGORYNAME">
                      <a:rPr lang="en-US">
                        <a:solidFill>
                          <a:sysClr val="windowText" lastClr="000000"/>
                        </a:solidFill>
                      </a:rPr>
                      <a:pPr>
                        <a:defRPr sz="1000" b="1" i="0" u="none" strike="noStrike" kern="1200" baseline="0">
                          <a:solidFill>
                            <a:schemeClr val="lt1"/>
                          </a:solidFill>
                          <a:latin typeface="+mn-lt"/>
                          <a:ea typeface="+mn-ea"/>
                          <a:cs typeface="+mn-cs"/>
                        </a:defRPr>
                      </a:pPr>
                      <a:t>[KATEGORIJOS PAVADINIMAS]</a:t>
                    </a:fld>
                    <a:r>
                      <a:rPr lang="en-US" baseline="0">
                        <a:solidFill>
                          <a:sysClr val="windowText" lastClr="000000"/>
                        </a:solidFill>
                      </a:rPr>
                      <a:t>; </a:t>
                    </a:r>
                    <a:fld id="{A5828ABA-B929-4961-99D4-6CA3866AF50F}" type="VALUE">
                      <a:rPr lang="en-US" baseline="0">
                        <a:solidFill>
                          <a:sysClr val="windowText" lastClr="000000"/>
                        </a:solidFill>
                      </a:rPr>
                      <a:pPr>
                        <a:defRPr sz="1000" b="1" i="0" u="none" strike="noStrike" kern="1200" baseline="0">
                          <a:solidFill>
                            <a:schemeClr val="lt1"/>
                          </a:solidFill>
                          <a:latin typeface="+mn-lt"/>
                          <a:ea typeface="+mn-ea"/>
                          <a:cs typeface="+mn-cs"/>
                        </a:defRPr>
                      </a:pPr>
                      <a:t>[REIKŠMĖ]</a:t>
                    </a:fld>
                    <a:r>
                      <a:rPr lang="en-US" baseline="0">
                        <a:solidFill>
                          <a:sysClr val="windowText" lastClr="000000"/>
                        </a:solidFill>
                      </a:rPr>
                      <a:t> EUR; </a:t>
                    </a:r>
                    <a:fld id="{77808900-18AB-47FB-AADE-A98E8C5C071C}" type="PERCENTAGE">
                      <a:rPr lang="en-US" baseline="0">
                        <a:solidFill>
                          <a:sysClr val="windowText" lastClr="000000"/>
                        </a:solidFill>
                      </a:rPr>
                      <a:pPr>
                        <a:defRPr sz="1000" b="1" i="0" u="none" strike="noStrike" kern="1200" baseline="0">
                          <a:solidFill>
                            <a:schemeClr val="lt1"/>
                          </a:solidFill>
                          <a:latin typeface="+mn-lt"/>
                          <a:ea typeface="+mn-ea"/>
                          <a:cs typeface="+mn-cs"/>
                        </a:defRPr>
                      </a:pPr>
                      <a:t>[PROCENTAI]</a:t>
                    </a:fld>
                    <a:endParaRPr lang="en-US" baseline="0">
                      <a:solidFill>
                        <a:sysClr val="windowText" lastClr="000000"/>
                      </a:solidFill>
                    </a:endParaRPr>
                  </a:p>
                </c:rich>
              </c:tx>
              <c:spPr>
                <a:solidFill>
                  <a:srgbClr val="FFFF00"/>
                </a:solidFill>
                <a:ln>
                  <a:noFill/>
                </a:ln>
                <a:effectLst>
                  <a:outerShdw blurRad="50800" dist="38100" dir="2700000" algn="tl" rotWithShape="0">
                    <a:prstClr val="black">
                      <a:alpha val="40000"/>
                    </a:prstClr>
                  </a:outerShdw>
                </a:effectLst>
              </c:spPr>
              <c:dLblPos val="bestFit"/>
              <c:showVal val="1"/>
              <c:showCatName val="1"/>
              <c:showPercent val="1"/>
              <c:extLst>
                <c:ext xmlns:c15="http://schemas.microsoft.com/office/drawing/2012/chart" uri="{CE6537A1-D6FC-4f65-9D91-7224C49458BB}">
                  <c15:dlblFieldTable/>
                  <c15:showDataLabelsRange val="0"/>
                </c:ext>
              </c:extLst>
            </c:dLbl>
            <c:dLbl>
              <c:idx val="6"/>
              <c:layout>
                <c:manualLayout>
                  <c:x val="-0.27468859342489693"/>
                  <c:y val="-2.365161790249945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70EE8E23-CFC1-426A-A023-E38E6B8681D3}" type="CATEGORYNAME">
                      <a:rPr lang="en-US"/>
                      <a:pPr>
                        <a:defRPr sz="1000" b="1" i="0" u="none" strike="noStrike" kern="1200" baseline="0">
                          <a:solidFill>
                            <a:schemeClr val="lt1"/>
                          </a:solidFill>
                          <a:latin typeface="+mn-lt"/>
                          <a:ea typeface="+mn-ea"/>
                          <a:cs typeface="+mn-cs"/>
                        </a:defRPr>
                      </a:pPr>
                      <a:t>[KATEGORIJOS PAVADINIMAS]</a:t>
                    </a:fld>
                    <a:r>
                      <a:rPr lang="en-US" baseline="0"/>
                      <a:t>; </a:t>
                    </a:r>
                    <a:fld id="{D3384DBF-4C2E-4198-AF82-4ADB5CF631CA}" type="VALUE">
                      <a:rPr lang="en-US" baseline="0"/>
                      <a:pPr>
                        <a:defRPr sz="1000" b="1" i="0" u="none" strike="noStrike" kern="1200" baseline="0">
                          <a:solidFill>
                            <a:schemeClr val="lt1"/>
                          </a:solidFill>
                          <a:latin typeface="+mn-lt"/>
                          <a:ea typeface="+mn-ea"/>
                          <a:cs typeface="+mn-cs"/>
                        </a:defRPr>
                      </a:pPr>
                      <a:t>[REIKŠMĖ]</a:t>
                    </a:fld>
                    <a:r>
                      <a:rPr lang="en-US" baseline="0"/>
                      <a:t> EUR; </a:t>
                    </a:r>
                    <a:fld id="{225B4986-8CA7-4529-B8AB-EC3D7B5CD449}" type="PERCENTAGE">
                      <a:rPr lang="en-US" baseline="0"/>
                      <a:pPr>
                        <a:defRPr sz="1000" b="1" i="0" u="none" strike="noStrike" kern="1200" baseline="0">
                          <a:solidFill>
                            <a:schemeClr val="lt1"/>
                          </a:solidFill>
                          <a:latin typeface="+mn-lt"/>
                          <a:ea typeface="+mn-ea"/>
                          <a:cs typeface="+mn-cs"/>
                        </a:defRPr>
                      </a:pPr>
                      <a:t>[PROCENTAI]</a:t>
                    </a:fld>
                    <a:endParaRPr lang="en-US" baseline="0"/>
                  </a:p>
                </c:rich>
              </c:tx>
              <c:spPr>
                <a:solidFill>
                  <a:srgbClr val="7030A0"/>
                </a:solidFill>
                <a:ln>
                  <a:noFill/>
                </a:ln>
                <a:effectLst>
                  <a:outerShdw blurRad="50800" dist="38100" dir="2700000" algn="tl" rotWithShape="0">
                    <a:prstClr val="black">
                      <a:alpha val="40000"/>
                    </a:prstClr>
                  </a:outerShdw>
                </a:effectLst>
              </c:spPr>
              <c:dLblPos val="bestFit"/>
              <c:showVal val="1"/>
              <c:showCatName val="1"/>
              <c:showPercent val="1"/>
              <c:extLst>
                <c:ext xmlns:c15="http://schemas.microsoft.com/office/drawing/2012/chart" uri="{CE6537A1-D6FC-4f65-9D91-7224C49458BB}">
                  <c15:dlblFieldTable/>
                  <c15:showDataLabelsRange val="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Val val="1"/>
            <c:showCatName val="1"/>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Lapas2!$A$2:$B$8</c:f>
              <c:strCache>
                <c:ptCount val="7"/>
                <c:pt idx="0">
                  <c:v>Daugiabučių namų administravimas</c:v>
                </c:pt>
                <c:pt idx="1">
                  <c:v>Daugiabučių namų atnaujinimo (modernizavimo) projektų administravimas</c:v>
                </c:pt>
                <c:pt idx="2">
                  <c:v>Daugiabučių namų eksploatavimas</c:v>
                </c:pt>
                <c:pt idx="3">
                  <c:v>Kapinių priežiūra</c:v>
                </c:pt>
                <c:pt idx="4">
                  <c:v>Papildomi darbai (statybos, priežiūros)</c:v>
                </c:pt>
                <c:pt idx="5">
                  <c:v>Sanitarija ir komunalinis ūkis</c:v>
                </c:pt>
                <c:pt idx="6">
                  <c:v>Kitos pajamos (nuoma, delspinigiai)</c:v>
                </c:pt>
              </c:strCache>
            </c:strRef>
          </c:cat>
          <c:val>
            <c:numRef>
              <c:f>Lapas2!$C$2:$C$8</c:f>
              <c:numCache>
                <c:formatCode>General</c:formatCode>
                <c:ptCount val="7"/>
                <c:pt idx="0">
                  <c:v>83059</c:v>
                </c:pt>
                <c:pt idx="1">
                  <c:v>22091</c:v>
                </c:pt>
                <c:pt idx="2">
                  <c:v>211636</c:v>
                </c:pt>
                <c:pt idx="3">
                  <c:v>16648</c:v>
                </c:pt>
                <c:pt idx="4">
                  <c:v>124429</c:v>
                </c:pt>
                <c:pt idx="5">
                  <c:v>94542</c:v>
                </c:pt>
                <c:pt idx="6">
                  <c:v>3454</c:v>
                </c:pt>
              </c:numCache>
            </c:numRef>
          </c:val>
        </c:ser>
        <c:ser>
          <c:idx val="1"/>
          <c:order val="1"/>
          <c:tx>
            <c:strRef>
              <c:f>Lapas2!$D$1</c:f>
              <c:strCache>
                <c:ptCount val="1"/>
                <c:pt idx="0">
                  <c:v>Proc. </c:v>
                </c:pt>
              </c:strCache>
            </c:strRef>
          </c:tx>
          <c:dPt>
            <c:idx val="0"/>
            <c:spPr>
              <a:solidFill>
                <a:schemeClr val="accent1"/>
              </a:solidFill>
              <a:ln>
                <a:noFill/>
              </a:ln>
              <a:effectLst>
                <a:outerShdw blurRad="254000" sx="102000" sy="102000" algn="ctr" rotWithShape="0">
                  <a:prstClr val="black">
                    <a:alpha val="20000"/>
                  </a:prstClr>
                </a:outerShdw>
              </a:effectLst>
              <a:sp3d/>
            </c:spPr>
          </c:dPt>
          <c:dPt>
            <c:idx val="1"/>
            <c:spPr>
              <a:solidFill>
                <a:schemeClr val="accent2"/>
              </a:solidFill>
              <a:ln>
                <a:noFill/>
              </a:ln>
              <a:effectLst>
                <a:outerShdw blurRad="254000" sx="102000" sy="102000" algn="ctr" rotWithShape="0">
                  <a:prstClr val="black">
                    <a:alpha val="20000"/>
                  </a:prstClr>
                </a:outerShdw>
              </a:effectLst>
              <a:sp3d/>
            </c:spPr>
          </c:dPt>
          <c:dPt>
            <c:idx val="2"/>
            <c:spPr>
              <a:solidFill>
                <a:schemeClr val="accent3"/>
              </a:solidFill>
              <a:ln>
                <a:noFill/>
              </a:ln>
              <a:effectLst>
                <a:outerShdw blurRad="254000" sx="102000" sy="102000" algn="ctr" rotWithShape="0">
                  <a:prstClr val="black">
                    <a:alpha val="20000"/>
                  </a:prstClr>
                </a:outerShdw>
              </a:effectLst>
              <a:sp3d/>
            </c:spPr>
          </c:dPt>
          <c:dPt>
            <c:idx val="3"/>
            <c:spPr>
              <a:solidFill>
                <a:schemeClr val="accent4"/>
              </a:solidFill>
              <a:ln>
                <a:noFill/>
              </a:ln>
              <a:effectLst>
                <a:outerShdw blurRad="254000" sx="102000" sy="102000" algn="ctr" rotWithShape="0">
                  <a:prstClr val="black">
                    <a:alpha val="20000"/>
                  </a:prstClr>
                </a:outerShdw>
              </a:effectLst>
              <a:sp3d/>
            </c:spPr>
          </c:dPt>
          <c:dPt>
            <c:idx val="4"/>
            <c:spPr>
              <a:solidFill>
                <a:schemeClr val="accent5"/>
              </a:solidFill>
              <a:ln>
                <a:noFill/>
              </a:ln>
              <a:effectLst>
                <a:outerShdw blurRad="254000" sx="102000" sy="102000" algn="ctr" rotWithShape="0">
                  <a:prstClr val="black">
                    <a:alpha val="20000"/>
                  </a:prstClr>
                </a:outerShdw>
              </a:effectLst>
              <a:sp3d/>
            </c:spPr>
          </c:dPt>
          <c:dPt>
            <c:idx val="5"/>
            <c:spPr>
              <a:solidFill>
                <a:schemeClr val="accent6"/>
              </a:solidFill>
              <a:ln>
                <a:noFill/>
              </a:ln>
              <a:effectLst>
                <a:outerShdw blurRad="254000" sx="102000" sy="102000" algn="ctr" rotWithShape="0">
                  <a:prstClr val="black">
                    <a:alpha val="20000"/>
                  </a:prstClr>
                </a:outerShdw>
              </a:effectLst>
              <a:sp3d/>
            </c:spPr>
          </c:dPt>
          <c:dPt>
            <c:idx val="6"/>
            <c:spPr>
              <a:solidFill>
                <a:schemeClr val="accent1">
                  <a:lumMod val="60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CatName val="1"/>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Lapas2!$A$2:$B$8</c:f>
              <c:strCache>
                <c:ptCount val="7"/>
                <c:pt idx="0">
                  <c:v>Daugiabučių namų administravimas</c:v>
                </c:pt>
                <c:pt idx="1">
                  <c:v>Daugiabučių namų atnaujinimo (modernizavimo) projektų administravimas</c:v>
                </c:pt>
                <c:pt idx="2">
                  <c:v>Daugiabučių namų eksploatavimas</c:v>
                </c:pt>
                <c:pt idx="3">
                  <c:v>Kapinių priežiūra</c:v>
                </c:pt>
                <c:pt idx="4">
                  <c:v>Papildomi darbai (statybos, priežiūros)</c:v>
                </c:pt>
                <c:pt idx="5">
                  <c:v>Sanitarija ir komunalinis ūkis</c:v>
                </c:pt>
                <c:pt idx="6">
                  <c:v>Kitos pajamos (nuoma, delspinigiai)</c:v>
                </c:pt>
              </c:strCache>
            </c:strRef>
          </c:cat>
          <c:val>
            <c:numRef>
              <c:f>Lapas2!$D$2:$D$8</c:f>
              <c:numCache>
                <c:formatCode>General</c:formatCode>
                <c:ptCount val="7"/>
                <c:pt idx="0">
                  <c:v>17</c:v>
                </c:pt>
                <c:pt idx="2">
                  <c:v>44</c:v>
                </c:pt>
                <c:pt idx="3">
                  <c:v>5</c:v>
                </c:pt>
                <c:pt idx="4">
                  <c:v>15</c:v>
                </c:pt>
                <c:pt idx="5">
                  <c:v>18</c:v>
                </c:pt>
                <c:pt idx="6">
                  <c:v>1</c:v>
                </c:pt>
              </c:numCache>
            </c:numRef>
          </c:val>
        </c:ser>
        <c:dLbls>
          <c:showCatName val="1"/>
        </c:dLbls>
      </c:pie3DChart>
      <c:spPr>
        <a:noFill/>
        <a:ln>
          <a:noFill/>
        </a:ln>
        <a:effectLst/>
      </c:spPr>
    </c:plotArea>
    <c:legend>
      <c:legendPos val="r"/>
      <c:layout>
        <c:manualLayout>
          <c:xMode val="edge"/>
          <c:yMode val="edge"/>
          <c:x val="0.73204212452809914"/>
          <c:y val="0.14817639669143481"/>
          <c:w val="0.25695374547696564"/>
          <c:h val="0.76328719722226146"/>
        </c:manualLayout>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800" b="1" i="0" baseline="0">
                <a:effectLst/>
              </a:rPr>
              <a:t>UAB </a:t>
            </a:r>
            <a:r>
              <a:rPr lang="lt-LT" sz="1800" b="1" i="0" baseline="0">
                <a:effectLst/>
              </a:rPr>
              <a:t>„Prienų butų ūkis“ </a:t>
            </a:r>
            <a:r>
              <a:rPr lang="en-US" sz="1800" b="1" i="0" baseline="0">
                <a:effectLst/>
              </a:rPr>
              <a:t>s</a:t>
            </a:r>
            <a:r>
              <a:rPr lang="lt-LT" sz="1800" b="1" i="0" baseline="0">
                <a:effectLst/>
              </a:rPr>
              <a:t>ą</a:t>
            </a:r>
            <a:r>
              <a:rPr lang="en-US" sz="1800" b="1" i="0" baseline="0">
                <a:effectLst/>
              </a:rPr>
              <a:t>naud</a:t>
            </a:r>
            <a:r>
              <a:rPr lang="lt-LT" sz="1800" b="1" i="0" baseline="0">
                <a:effectLst/>
              </a:rPr>
              <a:t>ų struktūra</a:t>
            </a:r>
            <a:endParaRPr lang="lt-LT">
              <a:effectLst/>
            </a:endParaRPr>
          </a:p>
        </c:rich>
      </c:tx>
      <c:spPr>
        <a:noFill/>
        <a:ln>
          <a:noFill/>
        </a:ln>
        <a:effectLst/>
      </c:sp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8.1949044401593188E-2"/>
          <c:y val="0.1701293926610129"/>
          <c:w val="0.83831675023469443"/>
          <c:h val="0.72307048256364503"/>
        </c:manualLayout>
      </c:layout>
      <c:pie3DChart>
        <c:varyColors val="1"/>
        <c:ser>
          <c:idx val="0"/>
          <c:order val="0"/>
          <c:tx>
            <c:strRef>
              <c:f>Lapas3!$B$1</c:f>
              <c:strCache>
                <c:ptCount val="1"/>
                <c:pt idx="0">
                  <c:v>EUR</c:v>
                </c:pt>
              </c:strCache>
            </c:strRef>
          </c:tx>
          <c:spPr>
            <a:ln>
              <a:solidFill>
                <a:sysClr val="windowText" lastClr="000000"/>
              </a:solidFill>
            </a:ln>
          </c:spPr>
          <c:dPt>
            <c:idx val="0"/>
            <c:spPr>
              <a:solidFill>
                <a:srgbClr val="FF0000"/>
              </a:solidFill>
              <a:ln>
                <a:solidFill>
                  <a:sysClr val="windowText" lastClr="000000"/>
                </a:solidFill>
              </a:ln>
              <a:effectLst>
                <a:outerShdw blurRad="254000" sx="102000" sy="102000" algn="ctr" rotWithShape="0">
                  <a:prstClr val="black">
                    <a:alpha val="20000"/>
                  </a:prstClr>
                </a:outerShdw>
              </a:effectLst>
              <a:sp3d>
                <a:contourClr>
                  <a:sysClr val="windowText" lastClr="000000"/>
                </a:contourClr>
              </a:sp3d>
            </c:spPr>
          </c:dPt>
          <c:dPt>
            <c:idx val="1"/>
            <c:spPr>
              <a:solidFill>
                <a:srgbClr val="00B050"/>
              </a:solidFill>
              <a:ln>
                <a:solidFill>
                  <a:sysClr val="windowText" lastClr="000000"/>
                </a:solidFill>
              </a:ln>
              <a:effectLst>
                <a:outerShdw blurRad="254000" sx="102000" sy="102000" algn="ctr" rotWithShape="0">
                  <a:prstClr val="black">
                    <a:alpha val="20000"/>
                  </a:prstClr>
                </a:outerShdw>
              </a:effectLst>
              <a:sp3d>
                <a:contourClr>
                  <a:sysClr val="windowText" lastClr="000000"/>
                </a:contourClr>
              </a:sp3d>
            </c:spPr>
          </c:dPt>
          <c:dPt>
            <c:idx val="2"/>
            <c:spPr>
              <a:solidFill>
                <a:srgbClr val="00B0F0"/>
              </a:solidFill>
              <a:ln>
                <a:solidFill>
                  <a:sysClr val="windowText" lastClr="000000"/>
                </a:solidFill>
              </a:ln>
              <a:effectLst>
                <a:outerShdw blurRad="254000" sx="102000" sy="102000" algn="ctr" rotWithShape="0">
                  <a:prstClr val="black">
                    <a:alpha val="20000"/>
                  </a:prstClr>
                </a:outerShdw>
              </a:effectLst>
              <a:sp3d>
                <a:contourClr>
                  <a:sysClr val="windowText" lastClr="000000"/>
                </a:contourClr>
              </a:sp3d>
            </c:spPr>
          </c:dPt>
          <c:dPt>
            <c:idx val="3"/>
            <c:spPr>
              <a:solidFill>
                <a:srgbClr val="FFFF00"/>
              </a:solidFill>
              <a:ln>
                <a:solidFill>
                  <a:sysClr val="windowText" lastClr="000000"/>
                </a:solidFill>
              </a:ln>
              <a:effectLst>
                <a:outerShdw blurRad="254000" sx="102000" sy="102000" algn="ctr" rotWithShape="0">
                  <a:prstClr val="black">
                    <a:alpha val="20000"/>
                  </a:prstClr>
                </a:outerShdw>
              </a:effectLst>
              <a:sp3d>
                <a:contourClr>
                  <a:sysClr val="windowText" lastClr="000000"/>
                </a:contourClr>
              </a:sp3d>
            </c:spPr>
          </c:dPt>
          <c:dLbls>
            <c:dLbl>
              <c:idx val="0"/>
              <c:layout>
                <c:manualLayout>
                  <c:x val="2.5042402701402146E-2"/>
                  <c:y val="-0.12298592759093432"/>
                </c:manualLayout>
              </c:layout>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r>
                      <a:rPr lang="lt-LT">
                        <a:solidFill>
                          <a:sysClr val="windowText" lastClr="000000"/>
                        </a:solidFill>
                      </a:rPr>
                      <a:t>Išlaidos gyvenamųjų</a:t>
                    </a:r>
                    <a:r>
                      <a:rPr lang="lt-LT" baseline="0">
                        <a:solidFill>
                          <a:sysClr val="windowText" lastClr="000000"/>
                        </a:solidFill>
                      </a:rPr>
                      <a:t> namų priežiūrai, papildomiems remotams atlikti:</a:t>
                    </a:r>
                  </a:p>
                  <a:p>
                    <a:pPr>
                      <a:defRPr sz="1000" b="1" i="0" u="none" strike="noStrike" kern="1200" baseline="0">
                        <a:solidFill>
                          <a:sysClr val="windowText" lastClr="000000"/>
                        </a:solidFill>
                        <a:latin typeface="+mn-lt"/>
                        <a:ea typeface="+mn-ea"/>
                        <a:cs typeface="+mn-cs"/>
                      </a:defRPr>
                    </a:pPr>
                    <a:fld id="{C8A3B5A0-2B80-4B38-BEED-12AF2BB80624}" type="VALUE">
                      <a:rPr lang="en-US" baseline="0">
                        <a:solidFill>
                          <a:sysClr val="windowText" lastClr="000000"/>
                        </a:solidFill>
                      </a:rPr>
                      <a:pPr>
                        <a:defRPr sz="1000" b="1" i="0" u="none" strike="noStrike" kern="1200" baseline="0">
                          <a:solidFill>
                            <a:sysClr val="windowText" lastClr="000000"/>
                          </a:solidFill>
                          <a:latin typeface="+mn-lt"/>
                          <a:ea typeface="+mn-ea"/>
                          <a:cs typeface="+mn-cs"/>
                        </a:defRPr>
                      </a:pPr>
                      <a:t>[REIKŠMĖ]</a:t>
                    </a:fld>
                    <a:r>
                      <a:rPr lang="en-US" baseline="0">
                        <a:solidFill>
                          <a:sysClr val="windowText" lastClr="000000"/>
                        </a:solidFill>
                      </a:rPr>
                      <a:t> EUR; </a:t>
                    </a:r>
                    <a:fld id="{6A2F66F2-7611-4BDE-A184-1C3D26C9212C}" type="PERCENTAGE">
                      <a:rPr lang="en-US" baseline="0">
                        <a:solidFill>
                          <a:sysClr val="windowText" lastClr="000000"/>
                        </a:solidFill>
                      </a:rPr>
                      <a:pPr>
                        <a:defRPr sz="1000" b="1" i="0" u="none" strike="noStrike" kern="1200" baseline="0">
                          <a:solidFill>
                            <a:sysClr val="windowText" lastClr="000000"/>
                          </a:solidFill>
                          <a:latin typeface="+mn-lt"/>
                          <a:ea typeface="+mn-ea"/>
                          <a:cs typeface="+mn-cs"/>
                        </a:defRPr>
                      </a:pPr>
                      <a:t>[PROCENTAI]</a:t>
                    </a:fld>
                    <a:endParaRPr lang="en-US" baseline="0">
                      <a:solidFill>
                        <a:sysClr val="windowText" lastClr="000000"/>
                      </a:solidFill>
                    </a:endParaRPr>
                  </a:p>
                </c:rich>
              </c:tx>
              <c:spPr>
                <a:solidFill>
                  <a:srgbClr val="FF0000"/>
                </a:solidFill>
                <a:ln>
                  <a:noFill/>
                </a:ln>
                <a:effectLst>
                  <a:outerShdw blurRad="50800" dist="38100" dir="2700000" algn="tl" rotWithShape="0">
                    <a:prstClr val="black">
                      <a:alpha val="40000"/>
                    </a:prstClr>
                  </a:outerShdw>
                </a:effectLst>
              </c:spPr>
              <c:dLblPos val="bestFit"/>
              <c:showVal val="1"/>
              <c:showCatName val="1"/>
              <c:showPercent val="1"/>
              <c:extLst>
                <c:ext xmlns:c15="http://schemas.microsoft.com/office/drawing/2012/chart" uri="{CE6537A1-D6FC-4f65-9D91-7224C49458BB}">
                  <c15:layout>
                    <c:manualLayout>
                      <c:w val="0.21963027877329289"/>
                      <c:h val="0.25443925233644854"/>
                    </c:manualLayout>
                  </c15:layout>
                  <c15:dlblFieldTable/>
                  <c15:showDataLabelsRange val="0"/>
                </c:ext>
              </c:extLst>
            </c:dLbl>
            <c:dLbl>
              <c:idx val="1"/>
              <c:layout>
                <c:manualLayout>
                  <c:x val="0.24920130637135957"/>
                  <c:y val="-6.0960165708382537E-2"/>
                </c:manualLayout>
              </c:layout>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r>
                      <a:rPr lang="en-US">
                        <a:solidFill>
                          <a:sysClr val="windowText" lastClr="000000"/>
                        </a:solidFill>
                      </a:rPr>
                      <a:t>Išlaidos sanitarijos,</a:t>
                    </a:r>
                    <a:r>
                      <a:rPr lang="en-US" baseline="0">
                        <a:solidFill>
                          <a:sysClr val="windowText" lastClr="000000"/>
                        </a:solidFill>
                      </a:rPr>
                      <a:t> komunalinio ūkio paslaugoms atlikti: </a:t>
                    </a:r>
                    <a:fld id="{AD7B6048-43FE-4F18-A985-C442A6E37998}" type="VALUE">
                      <a:rPr lang="en-US" baseline="0">
                        <a:solidFill>
                          <a:sysClr val="windowText" lastClr="000000"/>
                        </a:solidFill>
                      </a:rPr>
                      <a:pPr>
                        <a:defRPr sz="1000" b="1" i="0" u="none" strike="noStrike" kern="1200" baseline="0">
                          <a:solidFill>
                            <a:sysClr val="windowText" lastClr="000000"/>
                          </a:solidFill>
                          <a:latin typeface="+mn-lt"/>
                          <a:ea typeface="+mn-ea"/>
                          <a:cs typeface="+mn-cs"/>
                        </a:defRPr>
                      </a:pPr>
                      <a:t>[REIKŠMĖ]</a:t>
                    </a:fld>
                    <a:r>
                      <a:rPr lang="en-US" baseline="0">
                        <a:solidFill>
                          <a:sysClr val="windowText" lastClr="000000"/>
                        </a:solidFill>
                      </a:rPr>
                      <a:t> EUR; </a:t>
                    </a:r>
                    <a:fld id="{2BFB797E-0E9F-4A66-B6C4-B8B96C455B66}" type="PERCENTAGE">
                      <a:rPr lang="en-US" baseline="0">
                        <a:solidFill>
                          <a:sysClr val="windowText" lastClr="000000"/>
                        </a:solidFill>
                      </a:rPr>
                      <a:pPr>
                        <a:defRPr sz="1000" b="1" i="0" u="none" strike="noStrike" kern="1200" baseline="0">
                          <a:solidFill>
                            <a:sysClr val="windowText" lastClr="000000"/>
                          </a:solidFill>
                          <a:latin typeface="+mn-lt"/>
                          <a:ea typeface="+mn-ea"/>
                          <a:cs typeface="+mn-cs"/>
                        </a:defRPr>
                      </a:pPr>
                      <a:t>[PROCENTAI]</a:t>
                    </a:fld>
                    <a:endParaRPr lang="en-US" baseline="0">
                      <a:solidFill>
                        <a:sysClr val="windowText" lastClr="000000"/>
                      </a:solidFill>
                    </a:endParaRPr>
                  </a:p>
                </c:rich>
              </c:tx>
              <c:spPr>
                <a:solidFill>
                  <a:srgbClr val="00B050"/>
                </a:solidFill>
                <a:ln>
                  <a:noFill/>
                </a:ln>
                <a:effectLst>
                  <a:outerShdw blurRad="50800" dist="38100" dir="2700000" algn="tl" rotWithShape="0">
                    <a:prstClr val="black">
                      <a:alpha val="40000"/>
                    </a:prstClr>
                  </a:outerShdw>
                </a:effectLst>
              </c:spPr>
              <c:dLblPos val="bestFit"/>
              <c:showVal val="1"/>
              <c:showCatName val="1"/>
              <c:showPercent val="1"/>
              <c:extLst>
                <c:ext xmlns:c15="http://schemas.microsoft.com/office/drawing/2012/chart" uri="{CE6537A1-D6FC-4f65-9D91-7224C49458BB}">
                  <c15:dlblFieldTable/>
                  <c15:showDataLabelsRange val="0"/>
                </c:ext>
              </c:extLst>
            </c:dLbl>
            <c:dLbl>
              <c:idx val="2"/>
              <c:layout>
                <c:manualLayout>
                  <c:x val="-1.9584583394880891E-2"/>
                  <c:y val="-5.1860343069121372E-2"/>
                </c:manualLayout>
              </c:layout>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fld id="{24E5A8AA-2920-4EFC-89F6-E436732ADCBD}" type="CATEGORYNAME">
                      <a:rPr lang="en-US">
                        <a:solidFill>
                          <a:sysClr val="windowText" lastClr="000000"/>
                        </a:solidFill>
                      </a:rPr>
                      <a:pPr>
                        <a:defRPr sz="1000" b="1" i="0" u="none" strike="noStrike" kern="1200" baseline="0">
                          <a:solidFill>
                            <a:sysClr val="windowText" lastClr="000000"/>
                          </a:solidFill>
                          <a:latin typeface="+mn-lt"/>
                          <a:ea typeface="+mn-ea"/>
                          <a:cs typeface="+mn-cs"/>
                        </a:defRPr>
                      </a:pPr>
                      <a:t>[KATEGORIJOS PAVADINIMAS]</a:t>
                    </a:fld>
                    <a:r>
                      <a:rPr lang="en-US" baseline="0">
                        <a:solidFill>
                          <a:sysClr val="windowText" lastClr="000000"/>
                        </a:solidFill>
                      </a:rPr>
                      <a:t>: </a:t>
                    </a:r>
                    <a:fld id="{6C5C68C1-9C30-4E89-B4AF-FFFF7DBD95BE}" type="VALUE">
                      <a:rPr lang="en-US" baseline="0">
                        <a:solidFill>
                          <a:sysClr val="windowText" lastClr="000000"/>
                        </a:solidFill>
                      </a:rPr>
                      <a:pPr>
                        <a:defRPr sz="1000" b="1" i="0" u="none" strike="noStrike" kern="1200" baseline="0">
                          <a:solidFill>
                            <a:sysClr val="windowText" lastClr="000000"/>
                          </a:solidFill>
                          <a:latin typeface="+mn-lt"/>
                          <a:ea typeface="+mn-ea"/>
                          <a:cs typeface="+mn-cs"/>
                        </a:defRPr>
                      </a:pPr>
                      <a:t>[REIKŠMĖ]</a:t>
                    </a:fld>
                    <a:r>
                      <a:rPr lang="en-US" baseline="0">
                        <a:solidFill>
                          <a:sysClr val="windowText" lastClr="000000"/>
                        </a:solidFill>
                      </a:rPr>
                      <a:t> EUR; </a:t>
                    </a:r>
                    <a:fld id="{758A8939-7A52-4CFD-B38E-297AD67D468F}" type="PERCENTAGE">
                      <a:rPr lang="en-US" baseline="0">
                        <a:solidFill>
                          <a:sysClr val="windowText" lastClr="000000"/>
                        </a:solidFill>
                      </a:rPr>
                      <a:pPr>
                        <a:defRPr sz="1000" b="1" i="0" u="none" strike="noStrike" kern="1200" baseline="0">
                          <a:solidFill>
                            <a:sysClr val="windowText" lastClr="000000"/>
                          </a:solidFill>
                          <a:latin typeface="+mn-lt"/>
                          <a:ea typeface="+mn-ea"/>
                          <a:cs typeface="+mn-cs"/>
                        </a:defRPr>
                      </a:pPr>
                      <a:t>[PROCENTAI]</a:t>
                    </a:fld>
                    <a:endParaRPr lang="en-US" baseline="0">
                      <a:solidFill>
                        <a:sysClr val="windowText" lastClr="000000"/>
                      </a:solidFill>
                    </a:endParaRPr>
                  </a:p>
                </c:rich>
              </c:tx>
              <c:spPr>
                <a:solidFill>
                  <a:srgbClr val="00B0F0"/>
                </a:solidFill>
                <a:ln>
                  <a:noFill/>
                </a:ln>
                <a:effectLst>
                  <a:outerShdw blurRad="50800" dist="38100" dir="2700000" algn="tl" rotWithShape="0">
                    <a:prstClr val="black">
                      <a:alpha val="40000"/>
                    </a:prstClr>
                  </a:outerShdw>
                </a:effectLst>
              </c:spPr>
              <c:dLblPos val="bestFit"/>
              <c:showVal val="1"/>
              <c:showCatName val="1"/>
              <c:showPercent val="1"/>
              <c:extLst>
                <c:ext xmlns:c15="http://schemas.microsoft.com/office/drawing/2012/chart" uri="{CE6537A1-D6FC-4f65-9D91-7224C49458BB}">
                  <c15:dlblFieldTable/>
                  <c15:showDataLabelsRange val="0"/>
                </c:ext>
              </c:extLst>
            </c:dLbl>
            <c:dLbl>
              <c:idx val="3"/>
              <c:layout>
                <c:manualLayout>
                  <c:x val="-0.24398381940389238"/>
                  <c:y val="6.8239672643521501E-2"/>
                </c:manualLayout>
              </c:layout>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fld id="{4AAC25B0-880C-4D6D-9256-72731A75115C}" type="CATEGORYNAME">
                      <a:rPr lang="lt-LT">
                        <a:solidFill>
                          <a:sysClr val="windowText" lastClr="000000"/>
                        </a:solidFill>
                      </a:rPr>
                      <a:pPr>
                        <a:defRPr sz="1000" b="1" i="0" u="none" strike="noStrike" kern="1200" baseline="0">
                          <a:solidFill>
                            <a:sysClr val="windowText" lastClr="000000"/>
                          </a:solidFill>
                          <a:latin typeface="+mn-lt"/>
                          <a:ea typeface="+mn-ea"/>
                          <a:cs typeface="+mn-cs"/>
                        </a:defRPr>
                      </a:pPr>
                      <a:t>[KATEGORIJOS PAVADINIMAS]</a:t>
                    </a:fld>
                    <a:r>
                      <a:rPr lang="lt-LT">
                        <a:solidFill>
                          <a:sysClr val="windowText" lastClr="000000"/>
                        </a:solidFill>
                      </a:rPr>
                      <a:t>:</a:t>
                    </a:r>
                    <a:r>
                      <a:rPr lang="lt-LT" baseline="0">
                        <a:solidFill>
                          <a:sysClr val="windowText" lastClr="000000"/>
                        </a:solidFill>
                      </a:rPr>
                      <a:t> </a:t>
                    </a:r>
                    <a:fld id="{5372D891-6F10-43E7-8FE7-E855C51AB829}" type="VALUE">
                      <a:rPr lang="lt-LT" baseline="0">
                        <a:solidFill>
                          <a:sysClr val="windowText" lastClr="000000"/>
                        </a:solidFill>
                      </a:rPr>
                      <a:pPr>
                        <a:defRPr sz="1000" b="1" i="0" u="none" strike="noStrike" kern="1200" baseline="0">
                          <a:solidFill>
                            <a:sysClr val="windowText" lastClr="000000"/>
                          </a:solidFill>
                          <a:latin typeface="+mn-lt"/>
                          <a:ea typeface="+mn-ea"/>
                          <a:cs typeface="+mn-cs"/>
                        </a:defRPr>
                      </a:pPr>
                      <a:t>[REIKŠMĖ]</a:t>
                    </a:fld>
                    <a:r>
                      <a:rPr lang="lt-LT" baseline="0">
                        <a:solidFill>
                          <a:sysClr val="windowText" lastClr="000000"/>
                        </a:solidFill>
                      </a:rPr>
                      <a:t> EUR; </a:t>
                    </a:r>
                    <a:fld id="{D0EE4849-D662-43E8-BB0B-4A0F095886C4}" type="PERCENTAGE">
                      <a:rPr lang="lt-LT" baseline="0">
                        <a:solidFill>
                          <a:sysClr val="windowText" lastClr="000000"/>
                        </a:solidFill>
                      </a:rPr>
                      <a:pPr>
                        <a:defRPr sz="1000" b="1" i="0" u="none" strike="noStrike" kern="1200" baseline="0">
                          <a:solidFill>
                            <a:sysClr val="windowText" lastClr="000000"/>
                          </a:solidFill>
                          <a:latin typeface="+mn-lt"/>
                          <a:ea typeface="+mn-ea"/>
                          <a:cs typeface="+mn-cs"/>
                        </a:defRPr>
                      </a:pPr>
                      <a:t>[PROCENTAI]</a:t>
                    </a:fld>
                    <a:endParaRPr lang="lt-LT" baseline="0">
                      <a:solidFill>
                        <a:sysClr val="windowText" lastClr="000000"/>
                      </a:solidFill>
                    </a:endParaRPr>
                  </a:p>
                </c:rich>
              </c:tx>
              <c:spPr>
                <a:solidFill>
                  <a:srgbClr val="FFFF00"/>
                </a:solidFill>
                <a:ln>
                  <a:noFill/>
                </a:ln>
                <a:effectLst>
                  <a:outerShdw blurRad="50800" dist="38100" dir="2700000" algn="tl" rotWithShape="0">
                    <a:prstClr val="black">
                      <a:alpha val="40000"/>
                    </a:prstClr>
                  </a:outerShdw>
                </a:effectLst>
              </c:spPr>
              <c:dLblPos val="bestFit"/>
              <c:showVal val="1"/>
              <c:showCatName val="1"/>
              <c:showPercent val="1"/>
              <c:extLst>
                <c:ext xmlns:c15="http://schemas.microsoft.com/office/drawing/2012/chart" uri="{CE6537A1-D6FC-4f65-9D91-7224C49458BB}">
                  <c15:dlblFieldTable/>
                  <c15:showDataLabelsRange val="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Lapas3!$A$2:$A$5</c:f>
              <c:strCache>
                <c:ptCount val="4"/>
                <c:pt idx="0">
                  <c:v>Gyvenamųjų namų priežiūra, papildomi remontai</c:v>
                </c:pt>
                <c:pt idx="1">
                  <c:v>Sanitarija, komunalinis ūkis</c:v>
                </c:pt>
                <c:pt idx="2">
                  <c:v>Valdymo sąnaudos</c:v>
                </c:pt>
                <c:pt idx="3">
                  <c:v>Mokesčių sąnaudos</c:v>
                </c:pt>
              </c:strCache>
            </c:strRef>
          </c:cat>
          <c:val>
            <c:numRef>
              <c:f>Lapas3!$B$2:$B$5</c:f>
              <c:numCache>
                <c:formatCode>General</c:formatCode>
                <c:ptCount val="4"/>
                <c:pt idx="0">
                  <c:v>223268</c:v>
                </c:pt>
                <c:pt idx="1">
                  <c:v>81182</c:v>
                </c:pt>
                <c:pt idx="2">
                  <c:v>245706</c:v>
                </c:pt>
                <c:pt idx="3">
                  <c:v>5232</c:v>
                </c:pt>
              </c:numCache>
            </c:numRef>
          </c:val>
        </c:ser>
        <c:ser>
          <c:idx val="1"/>
          <c:order val="1"/>
          <c:tx>
            <c:strRef>
              <c:f>Lapas3!$C$1</c:f>
              <c:strCache>
                <c:ptCount val="1"/>
                <c:pt idx="0">
                  <c:v>Proc. </c:v>
                </c:pt>
              </c:strCache>
            </c:strRef>
          </c:tx>
          <c:dPt>
            <c:idx val="0"/>
            <c:spPr>
              <a:solidFill>
                <a:schemeClr val="accent1"/>
              </a:solidFill>
              <a:ln>
                <a:noFill/>
              </a:ln>
              <a:effectLst>
                <a:outerShdw blurRad="254000" sx="102000" sy="102000" algn="ctr" rotWithShape="0">
                  <a:prstClr val="black">
                    <a:alpha val="20000"/>
                  </a:prstClr>
                </a:outerShdw>
              </a:effectLst>
              <a:sp3d/>
            </c:spPr>
          </c:dPt>
          <c:dPt>
            <c:idx val="1"/>
            <c:spPr>
              <a:solidFill>
                <a:schemeClr val="accent2"/>
              </a:solidFill>
              <a:ln>
                <a:noFill/>
              </a:ln>
              <a:effectLst>
                <a:outerShdw blurRad="254000" sx="102000" sy="102000" algn="ctr" rotWithShape="0">
                  <a:prstClr val="black">
                    <a:alpha val="20000"/>
                  </a:prstClr>
                </a:outerShdw>
              </a:effectLst>
              <a:sp3d/>
            </c:spPr>
          </c:dPt>
          <c:dPt>
            <c:idx val="2"/>
            <c:spPr>
              <a:solidFill>
                <a:schemeClr val="accent3"/>
              </a:solidFill>
              <a:ln>
                <a:noFill/>
              </a:ln>
              <a:effectLst>
                <a:outerShdw blurRad="254000" sx="102000" sy="102000" algn="ctr" rotWithShape="0">
                  <a:prstClr val="black">
                    <a:alpha val="20000"/>
                  </a:prstClr>
                </a:outerShdw>
              </a:effectLst>
              <a:sp3d/>
            </c:spPr>
          </c:dPt>
          <c:dPt>
            <c:idx val="3"/>
            <c:spPr>
              <a:solidFill>
                <a:schemeClr val="accent4"/>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Lapas3!$A$2:$A$5</c:f>
              <c:strCache>
                <c:ptCount val="4"/>
                <c:pt idx="0">
                  <c:v>Gyvenamųjų namų priežiūra, papildomi remontai</c:v>
                </c:pt>
                <c:pt idx="1">
                  <c:v>Sanitarija, komunalinis ūkis</c:v>
                </c:pt>
                <c:pt idx="2">
                  <c:v>Valdymo sąnaudos</c:v>
                </c:pt>
                <c:pt idx="3">
                  <c:v>Mokesčių sąnaudos</c:v>
                </c:pt>
              </c:strCache>
            </c:strRef>
          </c:cat>
          <c:val>
            <c:numRef>
              <c:f>Lapas3!$C$2:$C$5</c:f>
              <c:numCache>
                <c:formatCode>General</c:formatCode>
                <c:ptCount val="4"/>
                <c:pt idx="0">
                  <c:v>40</c:v>
                </c:pt>
                <c:pt idx="1">
                  <c:v>15</c:v>
                </c:pt>
                <c:pt idx="2">
                  <c:v>44</c:v>
                </c:pt>
                <c:pt idx="3">
                  <c:v>1</c:v>
                </c:pt>
              </c:numCache>
            </c:numRef>
          </c:val>
        </c:ser>
        <c:dLbls>
          <c:showPercent val="1"/>
        </c:dLbls>
      </c:pie3DChart>
      <c:spPr>
        <a:noFill/>
        <a:ln>
          <a:solidFill>
            <a:sysClr val="windowText" lastClr="000000"/>
          </a:solidFill>
        </a:ln>
        <a:effectLst/>
      </c:spPr>
    </c:plotArea>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t>Administruojami daugiabučiai</a:t>
            </a:r>
            <a:r>
              <a:rPr lang="lt-LT" baseline="0"/>
              <a:t> gyvenamieji namai</a:t>
            </a:r>
            <a:endParaRPr lang="lt-LT"/>
          </a:p>
        </c:rich>
      </c:tx>
      <c:spPr>
        <a:noFill/>
        <a:ln>
          <a:noFill/>
        </a:ln>
        <a:effectLst/>
      </c:spPr>
    </c:title>
    <c:view3D>
      <c:rotX val="0"/>
      <c:rotY val="0"/>
      <c:depthPercent val="60"/>
      <c:perspective val="100"/>
    </c:view3D>
    <c:floor>
      <c:spPr>
        <a:solidFill>
          <a:schemeClr val="lt1">
            <a:lumMod val="95000"/>
          </a:schemeClr>
        </a:solid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Lapas4!$A$2</c:f>
              <c:strCache>
                <c:ptCount val="1"/>
                <c:pt idx="0">
                  <c:v>Prienų miestas</c:v>
                </c:pt>
              </c:strCache>
            </c:strRef>
          </c:tx>
          <c:spPr>
            <a:solidFill>
              <a:srgbClr val="00B050"/>
            </a:solidFill>
            <a:ln w="9525" cap="flat" cmpd="sng" algn="ctr">
              <a:solidFill>
                <a:schemeClr val="accent1">
                  <a:lumMod val="75000"/>
                </a:schemeClr>
              </a:solidFill>
              <a:round/>
            </a:ln>
            <a:effectLst/>
            <a:sp3d contourW="9525">
              <a:contourClr>
                <a:schemeClr val="accent1">
                  <a:lumMod val="75000"/>
                </a:schemeClr>
              </a:contourClr>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Lapas4!$B$2</c:f>
              <c:numCache>
                <c:formatCode>General</c:formatCode>
                <c:ptCount val="1"/>
                <c:pt idx="0">
                  <c:v>92</c:v>
                </c:pt>
              </c:numCache>
            </c:numRef>
          </c:val>
        </c:ser>
        <c:ser>
          <c:idx val="1"/>
          <c:order val="1"/>
          <c:tx>
            <c:strRef>
              <c:f>Lapas4!$A$3</c:f>
              <c:strCache>
                <c:ptCount val="1"/>
                <c:pt idx="0">
                  <c:v>Prienų rajonas</c:v>
                </c:pt>
              </c:strCache>
            </c:strRef>
          </c:tx>
          <c:spPr>
            <a:solidFill>
              <a:srgbClr val="FF0000"/>
            </a:solidFill>
            <a:ln w="9525" cap="flat" cmpd="sng" algn="ctr">
              <a:solidFill>
                <a:schemeClr val="accent2">
                  <a:lumMod val="75000"/>
                </a:schemeClr>
              </a:solidFill>
              <a:round/>
            </a:ln>
            <a:effectLst/>
            <a:sp3d contourW="9525">
              <a:contourClr>
                <a:schemeClr val="accent2">
                  <a:lumMod val="75000"/>
                </a:schemeClr>
              </a:contourClr>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Lapas4!$B$3</c:f>
              <c:numCache>
                <c:formatCode>General</c:formatCode>
                <c:ptCount val="1"/>
                <c:pt idx="0">
                  <c:v>67</c:v>
                </c:pt>
              </c:numCache>
            </c:numRef>
          </c:val>
        </c:ser>
        <c:ser>
          <c:idx val="2"/>
          <c:order val="2"/>
          <c:tx>
            <c:strRef>
              <c:f>Lapas4!$A$4</c:f>
              <c:strCache>
                <c:ptCount val="1"/>
                <c:pt idx="0">
                  <c:v>Birštono miestas</c:v>
                </c:pt>
              </c:strCache>
            </c:strRef>
          </c:tx>
          <c:spPr>
            <a:solidFill>
              <a:srgbClr val="FFFF00"/>
            </a:solidFill>
            <a:ln w="9525" cap="flat" cmpd="sng" algn="ctr">
              <a:solidFill>
                <a:schemeClr val="accent3">
                  <a:lumMod val="75000"/>
                </a:schemeClr>
              </a:solidFill>
              <a:round/>
            </a:ln>
            <a:effectLst/>
            <a:sp3d contourW="9525">
              <a:contourClr>
                <a:schemeClr val="accent3">
                  <a:lumMod val="75000"/>
                </a:schemeClr>
              </a:contourClr>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Lapas4!$B$4</c:f>
              <c:numCache>
                <c:formatCode>General</c:formatCode>
                <c:ptCount val="1"/>
                <c:pt idx="0">
                  <c:v>41</c:v>
                </c:pt>
              </c:numCache>
            </c:numRef>
          </c:val>
        </c:ser>
        <c:dLbls>
          <c:showVal val="1"/>
        </c:dLbls>
        <c:gapWidth val="65"/>
        <c:shape val="box"/>
        <c:axId val="119913472"/>
        <c:axId val="119923456"/>
        <c:axId val="0"/>
      </c:bar3DChart>
      <c:catAx>
        <c:axId val="119913472"/>
        <c:scaling>
          <c:orientation val="minMax"/>
        </c:scaling>
        <c:delete val="1"/>
        <c:axPos val="b"/>
        <c:numFmt formatCode="General" sourceLinked="1"/>
        <c:majorTickMark val="none"/>
        <c:tickLblPos val="none"/>
        <c:crossAx val="119923456"/>
        <c:crosses val="autoZero"/>
        <c:auto val="1"/>
        <c:lblAlgn val="ctr"/>
        <c:lblOffset val="100"/>
      </c:catAx>
      <c:valAx>
        <c:axId val="119923456"/>
        <c:scaling>
          <c:orientation val="minMax"/>
        </c:scaling>
        <c:axPos val="l"/>
        <c:majorGridlines>
          <c:spPr>
            <a:ln w="9525" cap="flat" cmpd="sng" algn="ctr">
              <a:solidFill>
                <a:schemeClr val="dk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119913472"/>
        <c:crosses val="autoZero"/>
        <c:crossBetween val="between"/>
      </c:valAx>
      <c:spPr>
        <a:noFill/>
        <a:ln>
          <a:noFill/>
        </a:ln>
        <a:effectLst/>
      </c:spPr>
    </c:plotArea>
    <c:legend>
      <c:legendPos val="b"/>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a:pPr>
      <a:endParaRPr lang="lt-LT"/>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t>Šildymo ir karšto vandens sistemų priežiūra</a:t>
            </a:r>
          </a:p>
        </c:rich>
      </c:tx>
      <c:spPr>
        <a:noFill/>
        <a:ln>
          <a:noFill/>
        </a:ln>
        <a:effectLst/>
      </c:spPr>
    </c:title>
    <c:view3D>
      <c:rotX val="0"/>
      <c:rotY val="0"/>
      <c:depthPercent val="60"/>
      <c:perspective val="100"/>
    </c:view3D>
    <c:floor>
      <c:spPr>
        <a:solidFill>
          <a:schemeClr val="lt1">
            <a:lumMod val="95000"/>
          </a:schemeClr>
        </a:solid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6.6580927384076991E-2"/>
          <c:y val="0.17171296296296312"/>
          <c:w val="0.90286351706036749"/>
          <c:h val="0.6149843248760567"/>
        </c:manualLayout>
      </c:layout>
      <c:bar3DChart>
        <c:barDir val="col"/>
        <c:grouping val="clustered"/>
        <c:ser>
          <c:idx val="0"/>
          <c:order val="0"/>
          <c:tx>
            <c:strRef>
              <c:f>Lapas4!$A$21</c:f>
              <c:strCache>
                <c:ptCount val="1"/>
                <c:pt idx="0">
                  <c:v>Prienų mieste </c:v>
                </c:pt>
              </c:strCache>
            </c:strRef>
          </c:tx>
          <c:spPr>
            <a:solidFill>
              <a:srgbClr val="FFFF00"/>
            </a:solidFill>
            <a:ln w="9525" cap="flat" cmpd="sng" algn="ctr">
              <a:solidFill>
                <a:schemeClr val="accent1">
                  <a:lumMod val="75000"/>
                </a:schemeClr>
              </a:solidFill>
              <a:round/>
            </a:ln>
            <a:effectLst/>
            <a:sp3d contourW="9525">
              <a:contourClr>
                <a:schemeClr val="accent1">
                  <a:lumMod val="75000"/>
                </a:schemeClr>
              </a:contourClr>
            </a:sp3d>
          </c:spPr>
          <c:dLbls>
            <c:dLbl>
              <c:idx val="0"/>
              <c:layout>
                <c:manualLayout>
                  <c:x val="-5.0925337632080131E-17"/>
                  <c:y val="-2.3148148148148227E-2"/>
                </c:manualLayout>
              </c:layou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Lapas4!$B$21</c:f>
              <c:numCache>
                <c:formatCode>General</c:formatCode>
                <c:ptCount val="1"/>
                <c:pt idx="0">
                  <c:v>5</c:v>
                </c:pt>
              </c:numCache>
            </c:numRef>
          </c:val>
        </c:ser>
        <c:ser>
          <c:idx val="1"/>
          <c:order val="1"/>
          <c:tx>
            <c:strRef>
              <c:f>Lapas4!$A$22</c:f>
              <c:strCache>
                <c:ptCount val="1"/>
                <c:pt idx="0">
                  <c:v>Birštono mieste</c:v>
                </c:pt>
              </c:strCache>
            </c:strRef>
          </c:tx>
          <c:spPr>
            <a:solidFill>
              <a:srgbClr val="00B050"/>
            </a:solidFill>
            <a:ln w="9525" cap="flat" cmpd="sng" algn="ctr">
              <a:solidFill>
                <a:schemeClr val="accent2">
                  <a:lumMod val="75000"/>
                </a:schemeClr>
              </a:solidFill>
              <a:round/>
            </a:ln>
            <a:effectLst/>
            <a:sp3d contourW="9525">
              <a:contourClr>
                <a:schemeClr val="accent2">
                  <a:lumMod val="75000"/>
                </a:schemeClr>
              </a:contourClr>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Lapas4!$B$22</c:f>
              <c:numCache>
                <c:formatCode>General</c:formatCode>
                <c:ptCount val="1"/>
                <c:pt idx="0">
                  <c:v>36</c:v>
                </c:pt>
              </c:numCache>
            </c:numRef>
          </c:val>
        </c:ser>
        <c:ser>
          <c:idx val="2"/>
          <c:order val="2"/>
          <c:tx>
            <c:strRef>
              <c:f>Lapas4!$A$23</c:f>
              <c:strCache>
                <c:ptCount val="1"/>
                <c:pt idx="0">
                  <c:v>Prienų rajone</c:v>
                </c:pt>
              </c:strCache>
            </c:strRef>
          </c:tx>
          <c:spPr>
            <a:solidFill>
              <a:srgbClr val="FF0000"/>
            </a:solidFill>
            <a:ln w="9525" cap="flat" cmpd="sng" algn="ctr">
              <a:solidFill>
                <a:schemeClr val="accent3">
                  <a:lumMod val="75000"/>
                </a:schemeClr>
              </a:solidFill>
              <a:round/>
            </a:ln>
            <a:effectLst/>
            <a:sp3d contourW="9525">
              <a:contourClr>
                <a:schemeClr val="accent3">
                  <a:lumMod val="75000"/>
                </a:schemeClr>
              </a:contourClr>
            </a:sp3d>
          </c:spPr>
          <c:dLbls>
            <c:dLbl>
              <c:idx val="0"/>
              <c:layout>
                <c:manualLayout>
                  <c:x val="-1.0185067526416028E-16"/>
                  <c:y val="-2.3148148148148227E-2"/>
                </c:manualLayout>
              </c:layou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Lapas4!$B$23</c:f>
              <c:numCache>
                <c:formatCode>General</c:formatCode>
                <c:ptCount val="1"/>
                <c:pt idx="0">
                  <c:v>0</c:v>
                </c:pt>
              </c:numCache>
            </c:numRef>
          </c:val>
        </c:ser>
        <c:gapWidth val="65"/>
        <c:shape val="box"/>
        <c:axId val="145911168"/>
        <c:axId val="146171008"/>
        <c:axId val="0"/>
      </c:bar3DChart>
      <c:catAx>
        <c:axId val="145911168"/>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46171008"/>
        <c:crosses val="autoZero"/>
        <c:auto val="1"/>
        <c:lblAlgn val="ctr"/>
        <c:lblOffset val="100"/>
      </c:catAx>
      <c:valAx>
        <c:axId val="146171008"/>
        <c:scaling>
          <c:orientation val="minMax"/>
        </c:scaling>
        <c:axPos val="l"/>
        <c:majorGridlines>
          <c:spPr>
            <a:ln w="9525" cap="flat" cmpd="sng" algn="ctr">
              <a:solidFill>
                <a:schemeClr val="dk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145911168"/>
        <c:crosses val="autoZero"/>
        <c:crossBetween val="between"/>
      </c:valAx>
      <c:spPr>
        <a:noFill/>
        <a:ln>
          <a:noFill/>
        </a:ln>
        <a:effectLst/>
      </c:spPr>
    </c:plotArea>
    <c:legend>
      <c:legendPos val="b"/>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1"/>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16857</Words>
  <Characters>9609</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PC-003</dc:creator>
  <cp:lastModifiedBy>User</cp:lastModifiedBy>
  <cp:revision>3</cp:revision>
  <cp:lastPrinted>2016-04-25T10:56:00Z</cp:lastPrinted>
  <dcterms:created xsi:type="dcterms:W3CDTF">2016-07-01T10:47:00Z</dcterms:created>
  <dcterms:modified xsi:type="dcterms:W3CDTF">2016-07-01T10:48:00Z</dcterms:modified>
</cp:coreProperties>
</file>