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F7" w:rsidRPr="00B40BF7" w:rsidRDefault="00B40BF7" w:rsidP="00B40BF7">
      <w:r w:rsidRPr="00B40BF7">
        <w:t xml:space="preserve">                                                                       </w:t>
      </w:r>
      <w:r>
        <w:t xml:space="preserve">                            </w:t>
      </w:r>
      <w:r w:rsidRPr="00B40BF7">
        <w:t>PRITARTA</w:t>
      </w:r>
    </w:p>
    <w:p w:rsidR="00B40BF7" w:rsidRPr="00B40BF7" w:rsidRDefault="00B40BF7" w:rsidP="00B40BF7">
      <w:r w:rsidRPr="00B40BF7">
        <w:tab/>
      </w:r>
      <w:r w:rsidRPr="00B40BF7">
        <w:tab/>
      </w:r>
      <w:r w:rsidRPr="00B40BF7">
        <w:tab/>
      </w:r>
      <w:r w:rsidRPr="00B40BF7">
        <w:tab/>
      </w:r>
      <w:r w:rsidRPr="00B40BF7">
        <w:tab/>
        <w:t xml:space="preserve">                            </w:t>
      </w:r>
      <w:r>
        <w:t xml:space="preserve">           </w:t>
      </w:r>
      <w:r w:rsidRPr="00B40BF7">
        <w:t xml:space="preserve">Prienų rajono savivaldybės tarybos </w:t>
      </w:r>
    </w:p>
    <w:p w:rsidR="00C01E5B" w:rsidRPr="00B40BF7" w:rsidRDefault="00B40BF7" w:rsidP="00B40BF7">
      <w:pPr>
        <w:spacing w:line="360" w:lineRule="auto"/>
        <w:ind w:firstLine="851"/>
        <w:jc w:val="center"/>
        <w:rPr>
          <w:b/>
          <w:bCs/>
          <w:i/>
          <w:iCs/>
          <w:lang w:val="lt-LT"/>
        </w:rPr>
      </w:pPr>
      <w:r>
        <w:t xml:space="preserve">                                                                                </w:t>
      </w:r>
      <w:r w:rsidRPr="00B40BF7">
        <w:t xml:space="preserve">2016 m. birželio 30 d. Nr. </w:t>
      </w:r>
      <w:r>
        <w:t>T3-154</w:t>
      </w:r>
    </w:p>
    <w:p w:rsidR="00B808CB" w:rsidRPr="00B40BF7"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40BF7" w:rsidRDefault="00B40BF7" w:rsidP="00B40BF7">
      <w:pPr>
        <w:spacing w:line="360" w:lineRule="auto"/>
        <w:ind w:firstLine="851"/>
        <w:jc w:val="center"/>
        <w:rPr>
          <w:b/>
          <w:bCs/>
          <w:i/>
          <w:iCs/>
          <w:lang w:val="lt-LT"/>
        </w:rPr>
      </w:pPr>
      <w:r w:rsidRPr="001E0AD1">
        <w:rPr>
          <w:b/>
          <w:bCs/>
          <w:i/>
          <w:iCs/>
          <w:lang w:val="lt-LT"/>
        </w:rPr>
        <w:t xml:space="preserve">UŽDAROSIOS AKCINĖS BENDROVĖS </w:t>
      </w:r>
    </w:p>
    <w:p w:rsidR="00B40BF7" w:rsidRDefault="00B40BF7" w:rsidP="00B40BF7">
      <w:pPr>
        <w:spacing w:line="360" w:lineRule="auto"/>
        <w:ind w:firstLine="851"/>
        <w:jc w:val="center"/>
        <w:rPr>
          <w:b/>
          <w:bCs/>
          <w:i/>
          <w:iCs/>
          <w:lang w:val="lt-LT"/>
        </w:rPr>
      </w:pPr>
      <w:r w:rsidRPr="001E0AD1">
        <w:rPr>
          <w:b/>
          <w:bCs/>
          <w:i/>
          <w:iCs/>
          <w:lang w:val="lt-LT"/>
        </w:rPr>
        <w:t>„PRIENŲ VANDENYS“</w:t>
      </w:r>
    </w:p>
    <w:p w:rsidR="00B40BF7" w:rsidRPr="001E0AD1" w:rsidRDefault="00B40BF7" w:rsidP="00B40BF7">
      <w:pPr>
        <w:spacing w:line="360" w:lineRule="auto"/>
        <w:ind w:firstLine="851"/>
        <w:jc w:val="center"/>
        <w:rPr>
          <w:b/>
          <w:bCs/>
          <w:i/>
          <w:iCs/>
          <w:lang w:val="lt-LT"/>
        </w:rPr>
      </w:pPr>
      <w:r>
        <w:rPr>
          <w:b/>
          <w:bCs/>
          <w:i/>
          <w:iCs/>
          <w:lang w:val="lt-LT"/>
        </w:rPr>
        <w:t>DIREKTORIAUS</w:t>
      </w: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Default="00B808CB" w:rsidP="00C01E5B">
      <w:pPr>
        <w:spacing w:line="360" w:lineRule="auto"/>
        <w:ind w:firstLine="851"/>
        <w:jc w:val="center"/>
        <w:rPr>
          <w:b/>
          <w:bCs/>
          <w:i/>
          <w:iCs/>
          <w:lang w:val="lt-LT"/>
        </w:rPr>
      </w:pPr>
    </w:p>
    <w:p w:rsidR="00B808CB" w:rsidRPr="001E0AD1" w:rsidRDefault="00B808CB" w:rsidP="00C01E5B">
      <w:pPr>
        <w:spacing w:line="360" w:lineRule="auto"/>
        <w:ind w:firstLine="851"/>
        <w:jc w:val="center"/>
        <w:rPr>
          <w:b/>
          <w:bCs/>
          <w:i/>
          <w:iCs/>
          <w:lang w:val="lt-LT"/>
        </w:rPr>
      </w:pPr>
    </w:p>
    <w:p w:rsidR="00C01E5B" w:rsidRPr="00E259C9" w:rsidRDefault="00C01E5B" w:rsidP="00C01E5B">
      <w:pPr>
        <w:spacing w:line="360" w:lineRule="auto"/>
        <w:ind w:firstLine="851"/>
        <w:jc w:val="center"/>
        <w:rPr>
          <w:b/>
          <w:bCs/>
          <w:i/>
          <w:iCs/>
          <w:caps/>
          <w:sz w:val="52"/>
          <w:szCs w:val="52"/>
          <w:lang w:val="lt-LT"/>
        </w:rPr>
      </w:pPr>
      <w:r w:rsidRPr="00F55B89">
        <w:rPr>
          <w:b/>
          <w:bCs/>
          <w:i/>
          <w:iCs/>
          <w:caps/>
          <w:sz w:val="52"/>
          <w:szCs w:val="52"/>
          <w:lang w:val="lt-LT"/>
        </w:rPr>
        <w:t>201</w:t>
      </w:r>
      <w:r w:rsidR="0049152A" w:rsidRPr="00F55B89">
        <w:rPr>
          <w:b/>
          <w:bCs/>
          <w:i/>
          <w:iCs/>
          <w:caps/>
          <w:sz w:val="52"/>
          <w:szCs w:val="52"/>
          <w:lang w:val="lt-LT"/>
        </w:rPr>
        <w:t>5</w:t>
      </w:r>
      <w:r w:rsidR="00F55B89" w:rsidRPr="00F55B89">
        <w:rPr>
          <w:b/>
          <w:bCs/>
          <w:i/>
          <w:iCs/>
          <w:caps/>
          <w:sz w:val="52"/>
          <w:szCs w:val="52"/>
          <w:lang w:val="lt-LT"/>
        </w:rPr>
        <w:t xml:space="preserve"> m. meti</w:t>
      </w:r>
      <w:r w:rsidR="00E259C9" w:rsidRPr="00F55B89">
        <w:rPr>
          <w:b/>
          <w:bCs/>
          <w:i/>
          <w:iCs/>
          <w:caps/>
          <w:sz w:val="52"/>
          <w:szCs w:val="52"/>
          <w:lang w:val="lt-LT"/>
        </w:rPr>
        <w:t>n</w:t>
      </w:r>
      <w:r w:rsidR="00E259C9">
        <w:rPr>
          <w:b/>
          <w:bCs/>
          <w:i/>
          <w:iCs/>
          <w:caps/>
          <w:sz w:val="52"/>
          <w:szCs w:val="52"/>
          <w:lang w:val="lt-LT"/>
        </w:rPr>
        <w:t>ė veiklos ataskaita</w:t>
      </w:r>
      <w:bookmarkStart w:id="0" w:name="_GoBack"/>
      <w:bookmarkEnd w:id="0"/>
    </w:p>
    <w:p w:rsidR="00ED6027" w:rsidRPr="001E0AD1" w:rsidRDefault="00ED6027" w:rsidP="00F21764">
      <w:pPr>
        <w:spacing w:after="360" w:line="360" w:lineRule="auto"/>
        <w:ind w:firstLine="851"/>
        <w:jc w:val="center"/>
        <w:rPr>
          <w:b/>
          <w:bCs/>
          <w:i/>
          <w:iCs/>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ED6027" w:rsidRPr="001E0AD1" w:rsidRDefault="00ED6027" w:rsidP="00ED6027">
      <w:pPr>
        <w:rPr>
          <w:lang w:val="lt-LT"/>
        </w:rPr>
      </w:pPr>
    </w:p>
    <w:p w:rsidR="00DB6FA3" w:rsidRPr="001E0AD1" w:rsidRDefault="00DB6FA3" w:rsidP="00ED6027">
      <w:pPr>
        <w:rPr>
          <w:lang w:val="lt-LT"/>
        </w:rPr>
      </w:pPr>
    </w:p>
    <w:p w:rsidR="00DB6FA3" w:rsidRPr="001E0AD1" w:rsidRDefault="00DB6FA3" w:rsidP="00ED6027">
      <w:pPr>
        <w:rPr>
          <w:lang w:val="lt-LT"/>
        </w:rPr>
      </w:pPr>
    </w:p>
    <w:p w:rsidR="00DB6FA3" w:rsidRPr="001E0AD1" w:rsidRDefault="00DB6FA3" w:rsidP="00ED6027">
      <w:pPr>
        <w:rPr>
          <w:lang w:val="lt-LT"/>
        </w:rPr>
      </w:pPr>
    </w:p>
    <w:p w:rsidR="00ED6027" w:rsidRPr="001E0AD1" w:rsidRDefault="00ED6027" w:rsidP="00ED6027">
      <w:pPr>
        <w:rPr>
          <w:lang w:val="lt-LT"/>
        </w:rPr>
      </w:pPr>
    </w:p>
    <w:p w:rsidR="00ED6027" w:rsidRPr="00B808CB" w:rsidRDefault="00ED6027" w:rsidP="00DB6FA3">
      <w:pPr>
        <w:tabs>
          <w:tab w:val="left" w:pos="4198"/>
          <w:tab w:val="center" w:pos="4678"/>
          <w:tab w:val="right" w:pos="9356"/>
        </w:tabs>
        <w:spacing w:line="360" w:lineRule="auto"/>
        <w:jc w:val="center"/>
        <w:rPr>
          <w:b/>
          <w:i/>
          <w:lang w:val="lt-LT"/>
        </w:rPr>
      </w:pPr>
      <w:r w:rsidRPr="00B808CB">
        <w:rPr>
          <w:b/>
          <w:i/>
          <w:lang w:val="lt-LT"/>
        </w:rPr>
        <w:t>P</w:t>
      </w:r>
      <w:r w:rsidR="00B808CB" w:rsidRPr="00B808CB">
        <w:rPr>
          <w:b/>
          <w:i/>
          <w:lang w:val="lt-LT"/>
        </w:rPr>
        <w:t>rienai</w:t>
      </w:r>
    </w:p>
    <w:p w:rsidR="005155BE" w:rsidRPr="00B40BF7" w:rsidRDefault="00ED6027" w:rsidP="00E259C9">
      <w:pPr>
        <w:tabs>
          <w:tab w:val="left" w:pos="4198"/>
        </w:tabs>
        <w:spacing w:line="360" w:lineRule="auto"/>
        <w:jc w:val="center"/>
        <w:rPr>
          <w:b/>
          <w:bCs/>
          <w:i/>
          <w:iCs/>
          <w:lang w:val="lt-LT"/>
        </w:rPr>
      </w:pPr>
      <w:r w:rsidRPr="00B808CB">
        <w:rPr>
          <w:b/>
          <w:i/>
          <w:lang w:val="lt-LT"/>
        </w:rPr>
        <w:t>201</w:t>
      </w:r>
      <w:r w:rsidR="00DB6FA3" w:rsidRPr="00B808CB">
        <w:rPr>
          <w:b/>
          <w:i/>
          <w:lang w:val="lt-LT"/>
        </w:rPr>
        <w:t>6</w:t>
      </w:r>
      <w:r w:rsidR="00B40BF7">
        <w:rPr>
          <w:b/>
          <w:i/>
          <w:lang w:val="lt-LT"/>
        </w:rPr>
        <w:t xml:space="preserve"> </w:t>
      </w:r>
      <w:r w:rsidR="00B808CB" w:rsidRPr="00B808CB">
        <w:rPr>
          <w:b/>
          <w:i/>
          <w:lang w:val="lt-LT"/>
        </w:rPr>
        <w:t>metai</w:t>
      </w:r>
      <w:r w:rsidR="00DB6FA3" w:rsidRPr="00B40BF7">
        <w:rPr>
          <w:b/>
          <w:bCs/>
          <w:i/>
          <w:iCs/>
          <w:caps/>
          <w:lang w:val="lt-LT"/>
        </w:rPr>
        <w:br w:type="page"/>
      </w:r>
      <w:r w:rsidR="005155BE" w:rsidRPr="00B40BF7">
        <w:rPr>
          <w:b/>
          <w:bCs/>
          <w:i/>
          <w:iCs/>
          <w:caps/>
          <w:lang w:val="lt-LT"/>
        </w:rPr>
        <w:lastRenderedPageBreak/>
        <w:t>201</w:t>
      </w:r>
      <w:r w:rsidR="00BE7A7F" w:rsidRPr="00B40BF7">
        <w:rPr>
          <w:b/>
          <w:bCs/>
          <w:i/>
          <w:iCs/>
          <w:caps/>
          <w:lang w:val="lt-LT"/>
        </w:rPr>
        <w:t>5</w:t>
      </w:r>
      <w:r w:rsidR="005155BE" w:rsidRPr="00B40BF7">
        <w:rPr>
          <w:b/>
          <w:bCs/>
          <w:i/>
          <w:iCs/>
          <w:caps/>
          <w:lang w:val="lt-LT"/>
        </w:rPr>
        <w:t xml:space="preserve"> m. </w:t>
      </w:r>
      <w:r w:rsidR="00BE7A7F" w:rsidRPr="00B40BF7">
        <w:rPr>
          <w:b/>
          <w:bCs/>
          <w:i/>
          <w:iCs/>
          <w:lang w:val="lt-LT"/>
        </w:rPr>
        <w:t>ĮMONĖS BŪKLĖS, VEIKLOS VYKDYMO IR PLĖTROS APŽVALGA</w:t>
      </w:r>
    </w:p>
    <w:p w:rsidR="00BE7A7F" w:rsidRPr="001E0AD1" w:rsidRDefault="00BE7A7F" w:rsidP="00BE7A7F">
      <w:pPr>
        <w:pStyle w:val="BodyTextIndent"/>
        <w:jc w:val="center"/>
        <w:rPr>
          <w:b/>
          <w:bCs/>
          <w:i/>
          <w:iCs/>
        </w:rPr>
      </w:pPr>
    </w:p>
    <w:p w:rsidR="00C45769" w:rsidRPr="001E0AD1" w:rsidRDefault="00BE7A7F" w:rsidP="00C45769">
      <w:pPr>
        <w:pStyle w:val="BodyTextIndent"/>
        <w:rPr>
          <w:b/>
          <w:bCs/>
          <w:i/>
          <w:iCs/>
        </w:rPr>
      </w:pPr>
      <w:r w:rsidRPr="001E0AD1">
        <w:rPr>
          <w:b/>
          <w:bCs/>
          <w:i/>
          <w:iCs/>
        </w:rPr>
        <w:t>UAB „Prienų vandenys“ (toliau – Bendrovė) yra savarankiška akcinio kapitalo įmonė, kurios visos akcijos priklauso Prienų rajono savivaldybei. Bendrovės paskirtis – aptarnaujamojoje teritorijoje patikimai ir mažiausiomis sąnaudomis tiekti geros kokybės vandenį vartotojams, bei surinkti ir valyti nuotekas.</w:t>
      </w:r>
      <w:r w:rsidR="00C45769" w:rsidRPr="001E0AD1">
        <w:rPr>
          <w:b/>
          <w:bCs/>
          <w:i/>
          <w:iCs/>
        </w:rPr>
        <w:t xml:space="preserve"> Remiantis Valstybinės kainų ir energetikos kontrolės komisijos siūlomu vandentvarkos bendrovių grupavimu pagal vandens paslaugų pardavimo apimtis Bendrovė priskiriama V grupei, kurios įmonių pardavimų pajėgumai yra nuo 201 iki 500 tūkst. m</w:t>
      </w:r>
      <w:r w:rsidR="00C45769" w:rsidRPr="001E0AD1">
        <w:rPr>
          <w:b/>
          <w:bCs/>
          <w:i/>
          <w:iCs/>
          <w:vertAlign w:val="superscript"/>
        </w:rPr>
        <w:t>3</w:t>
      </w:r>
      <w:r w:rsidR="00C45769" w:rsidRPr="001E0AD1">
        <w:rPr>
          <w:b/>
          <w:bCs/>
          <w:i/>
          <w:iCs/>
        </w:rPr>
        <w:t xml:space="preserve"> per metus.</w:t>
      </w:r>
    </w:p>
    <w:p w:rsidR="00EA5199" w:rsidRPr="001E0AD1" w:rsidRDefault="00EA5199" w:rsidP="0078731D">
      <w:pPr>
        <w:pStyle w:val="BodyTextIndent"/>
        <w:ind w:firstLine="851"/>
        <w:rPr>
          <w:b/>
          <w:i/>
        </w:rPr>
      </w:pPr>
      <w:r w:rsidRPr="001E0AD1">
        <w:rPr>
          <w:b/>
          <w:i/>
        </w:rPr>
        <w:t>Pagrindiniai Bendrovės tikslai:</w:t>
      </w:r>
    </w:p>
    <w:p w:rsidR="00EA5199" w:rsidRPr="001E0AD1" w:rsidRDefault="00EA5199" w:rsidP="0078731D">
      <w:pPr>
        <w:pStyle w:val="BodyTextIndent"/>
        <w:numPr>
          <w:ilvl w:val="0"/>
          <w:numId w:val="2"/>
        </w:numPr>
        <w:tabs>
          <w:tab w:val="clear" w:pos="1440"/>
          <w:tab w:val="num" w:pos="1134"/>
        </w:tabs>
        <w:ind w:left="0" w:firstLine="851"/>
        <w:rPr>
          <w:b/>
          <w:i/>
        </w:rPr>
      </w:pPr>
      <w:r w:rsidRPr="001E0AD1">
        <w:rPr>
          <w:b/>
          <w:i/>
        </w:rPr>
        <w:t>Aprūpinti vartotojus geros kokybės vandeniu;</w:t>
      </w:r>
    </w:p>
    <w:p w:rsidR="00EA5199" w:rsidRPr="001E0AD1" w:rsidRDefault="00EA5199" w:rsidP="0078731D">
      <w:pPr>
        <w:pStyle w:val="BodyTextIndent"/>
        <w:numPr>
          <w:ilvl w:val="0"/>
          <w:numId w:val="2"/>
        </w:numPr>
        <w:tabs>
          <w:tab w:val="clear" w:pos="1440"/>
          <w:tab w:val="num" w:pos="1134"/>
        </w:tabs>
        <w:ind w:left="0" w:firstLine="851"/>
        <w:rPr>
          <w:b/>
          <w:i/>
        </w:rPr>
      </w:pPr>
      <w:r w:rsidRPr="001E0AD1">
        <w:rPr>
          <w:b/>
          <w:i/>
        </w:rPr>
        <w:t>Sumažinti rajono taršą surenkant ir išvalant buitines nuotekas, jungiant naujus vartotojus prie centralizuotų nuotekų surinkimo tinklų;</w:t>
      </w:r>
    </w:p>
    <w:p w:rsidR="00EA5199" w:rsidRPr="001E0AD1" w:rsidRDefault="00EA5199" w:rsidP="0078731D">
      <w:pPr>
        <w:pStyle w:val="BodyTextIndent"/>
        <w:numPr>
          <w:ilvl w:val="0"/>
          <w:numId w:val="2"/>
        </w:numPr>
        <w:tabs>
          <w:tab w:val="clear" w:pos="1440"/>
          <w:tab w:val="num" w:pos="1134"/>
        </w:tabs>
        <w:ind w:left="0" w:firstLine="851"/>
        <w:rPr>
          <w:b/>
          <w:i/>
        </w:rPr>
      </w:pPr>
      <w:r w:rsidRPr="001E0AD1">
        <w:rPr>
          <w:b/>
          <w:i/>
        </w:rPr>
        <w:t>Nuolat plėsti įmonės veiklą, tiesiant naujus vandentiekio ir nuotekų tinklus, prijungiant naujus vartotojus;</w:t>
      </w:r>
    </w:p>
    <w:p w:rsidR="00EA5199" w:rsidRPr="001E0AD1" w:rsidRDefault="00EA5199" w:rsidP="0078731D">
      <w:pPr>
        <w:pStyle w:val="BodyTextIndent"/>
        <w:numPr>
          <w:ilvl w:val="0"/>
          <w:numId w:val="2"/>
        </w:numPr>
        <w:tabs>
          <w:tab w:val="clear" w:pos="1440"/>
          <w:tab w:val="num" w:pos="1134"/>
        </w:tabs>
        <w:ind w:left="851" w:firstLine="0"/>
        <w:rPr>
          <w:b/>
          <w:i/>
        </w:rPr>
      </w:pPr>
      <w:r w:rsidRPr="001E0AD1">
        <w:rPr>
          <w:b/>
          <w:i/>
        </w:rPr>
        <w:t>Gerinti darbuotojų darbo kokybę, suteikti tinkamas sąlygas našiam darbui;</w:t>
      </w:r>
    </w:p>
    <w:p w:rsidR="00EA5199" w:rsidRPr="001E0AD1" w:rsidRDefault="00EA5199" w:rsidP="0078731D">
      <w:pPr>
        <w:pStyle w:val="BodyTextIndent"/>
        <w:numPr>
          <w:ilvl w:val="0"/>
          <w:numId w:val="2"/>
        </w:numPr>
        <w:tabs>
          <w:tab w:val="clear" w:pos="1440"/>
          <w:tab w:val="num" w:pos="1134"/>
        </w:tabs>
        <w:ind w:left="0" w:firstLine="851"/>
        <w:rPr>
          <w:b/>
          <w:i/>
        </w:rPr>
      </w:pPr>
      <w:r w:rsidRPr="001E0AD1">
        <w:rPr>
          <w:b/>
          <w:i/>
        </w:rPr>
        <w:t>Siekti stabilios finansinės Bendrovės būklės, bei įgyvendinti akcininko turtinius interesus.</w:t>
      </w:r>
    </w:p>
    <w:p w:rsidR="00BE7A7F" w:rsidRPr="001E0AD1" w:rsidRDefault="00A74809" w:rsidP="00C45769">
      <w:pPr>
        <w:pStyle w:val="BodyTextIndent"/>
        <w:rPr>
          <w:b/>
          <w:bCs/>
          <w:i/>
          <w:iCs/>
        </w:rPr>
      </w:pPr>
      <w:r w:rsidRPr="001E0AD1">
        <w:rPr>
          <w:b/>
          <w:bCs/>
          <w:i/>
          <w:iCs/>
          <w:noProof/>
          <w:lang w:eastAsia="lt-LT"/>
        </w:rPr>
        <w:drawing>
          <wp:anchor distT="0" distB="0" distL="114300" distR="114300" simplePos="0" relativeHeight="251650560" behindDoc="0" locked="0" layoutInCell="1" allowOverlap="1">
            <wp:simplePos x="0" y="0"/>
            <wp:positionH relativeFrom="margin">
              <wp:posOffset>-47625</wp:posOffset>
            </wp:positionH>
            <wp:positionV relativeFrom="margin">
              <wp:posOffset>5102860</wp:posOffset>
            </wp:positionV>
            <wp:extent cx="3498850" cy="2552700"/>
            <wp:effectExtent l="0" t="0" r="6350" b="0"/>
            <wp:wrapSquare wrapText="bothSides"/>
            <wp:docPr id="124" name="Picture 124"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4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8850" cy="2552700"/>
                    </a:xfrm>
                    <a:prstGeom prst="rect">
                      <a:avLst/>
                    </a:prstGeom>
                    <a:noFill/>
                    <a:ln>
                      <a:noFill/>
                    </a:ln>
                  </pic:spPr>
                </pic:pic>
              </a:graphicData>
            </a:graphic>
          </wp:anchor>
        </w:drawing>
      </w:r>
      <w:r w:rsidR="00BE7A7F" w:rsidRPr="001E0AD1">
        <w:rPr>
          <w:b/>
          <w:bCs/>
          <w:i/>
          <w:iCs/>
        </w:rPr>
        <w:t xml:space="preserve">UAB „Prienų vandenys“ aprūpina vandeniu Prienų miestą bei Prienų rajono gyvenvietes: Balbieriškį, </w:t>
      </w:r>
      <w:r w:rsidR="00C05578" w:rsidRPr="001E0AD1">
        <w:rPr>
          <w:b/>
          <w:bCs/>
          <w:i/>
          <w:iCs/>
        </w:rPr>
        <w:t xml:space="preserve">Ignacavą, </w:t>
      </w:r>
      <w:r w:rsidR="00BE7A7F" w:rsidRPr="001E0AD1">
        <w:rPr>
          <w:b/>
          <w:bCs/>
          <w:i/>
          <w:iCs/>
        </w:rPr>
        <w:t>Strielčius, Išlaužą, Pakuonį, Veiverius, Purvininkus, Šilavotą, Skriaudžius, Jiezną, Strazdiškes, Vyšniūnus, Lielionis, Kašonis, Pieštuvėnus, Užuguostį, Stakliškes.</w:t>
      </w:r>
    </w:p>
    <w:p w:rsidR="00C05578" w:rsidRPr="001E0AD1" w:rsidRDefault="00AD4C99" w:rsidP="00C05578">
      <w:pPr>
        <w:pStyle w:val="BodyTextIndent"/>
        <w:ind w:firstLine="851"/>
        <w:rPr>
          <w:b/>
          <w:bCs/>
          <w:i/>
          <w:iCs/>
        </w:rPr>
      </w:pPr>
      <w:r>
        <w:rPr>
          <w:b/>
          <w:bCs/>
          <w:i/>
          <w:iCs/>
          <w:noProof/>
          <w:lang w:eastAsia="lt-LT"/>
        </w:rPr>
        <w:pict>
          <v:shapetype id="_x0000_t202" coordsize="21600,21600" o:spt="202" path="m,l,21600r21600,l21600,xe">
            <v:stroke joinstyle="miter"/>
            <v:path gradientshapeok="t" o:connecttype="rect"/>
          </v:shapetype>
          <v:shape id="Text Box 135" o:spid="_x0000_s1026" type="#_x0000_t202" style="position:absolute;left:0;text-align:left;margin-left:-284.75pt;margin-top:81.05pt;width:275.5pt;height:16.1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" stroked="f">
            <v:textbox>
              <w:txbxContent>
                <w:p w:rsidR="00B146B7" w:rsidRPr="00B146B7" w:rsidRDefault="00B146B7" w:rsidP="00C45769">
                  <w:pPr>
                    <w:jc w:val="right"/>
                    <w:rPr>
                      <w:i/>
                      <w:sz w:val="16"/>
                      <w:szCs w:val="16"/>
                      <w:lang w:val="lt-LT"/>
                    </w:rPr>
                  </w:pPr>
                  <w:r w:rsidRPr="00B146B7">
                    <w:rPr>
                      <w:i/>
                      <w:sz w:val="16"/>
                      <w:szCs w:val="16"/>
                      <w:lang w:val="lt-LT"/>
                    </w:rPr>
                    <w:t>1 paveikslėlis. Prienų rajono žemėlapis.</w:t>
                  </w:r>
                </w:p>
              </w:txbxContent>
            </v:textbox>
          </v:shape>
        </w:pict>
      </w:r>
      <w:r w:rsidR="00BE7A7F" w:rsidRPr="001E0AD1">
        <w:rPr>
          <w:b/>
          <w:bCs/>
          <w:i/>
          <w:iCs/>
        </w:rPr>
        <w:t xml:space="preserve"> Prienų rajone vartotojams tiekiamas vien tik požeminis vanduo, kurio ištekliai gerokai viršija poreikius.</w:t>
      </w:r>
      <w:r w:rsidR="00CC18BA" w:rsidRPr="001E0AD1">
        <w:rPr>
          <w:b/>
          <w:bCs/>
          <w:i/>
          <w:iCs/>
        </w:rPr>
        <w:t xml:space="preserve">Bendrovė aptarnauja 18 </w:t>
      </w:r>
      <w:r w:rsidR="008B7149">
        <w:rPr>
          <w:b/>
          <w:bCs/>
          <w:i/>
          <w:iCs/>
        </w:rPr>
        <w:lastRenderedPageBreak/>
        <w:t>vietovių su atskiromis vandens tiekimo sistemomis. Vandens tiekimo tinklų ilgis – daugiau kaip</w:t>
      </w:r>
      <w:r w:rsidR="00CC18BA" w:rsidRPr="001E0AD1">
        <w:rPr>
          <w:b/>
          <w:bCs/>
          <w:i/>
          <w:iCs/>
        </w:rPr>
        <w:t xml:space="preserve"> 173km</w:t>
      </w:r>
      <w:r w:rsidR="008B7149">
        <w:rPr>
          <w:b/>
          <w:bCs/>
          <w:i/>
          <w:iCs/>
        </w:rPr>
        <w:t>. Bendrovė aptarnauja</w:t>
      </w:r>
      <w:r w:rsidR="002B0415" w:rsidRPr="001E0AD1">
        <w:rPr>
          <w:b/>
          <w:bCs/>
          <w:i/>
          <w:iCs/>
        </w:rPr>
        <w:t xml:space="preserve"> 13</w:t>
      </w:r>
      <w:r w:rsidR="00310C15" w:rsidRPr="001E0AD1">
        <w:rPr>
          <w:b/>
          <w:bCs/>
          <w:i/>
          <w:iCs/>
        </w:rPr>
        <w:t xml:space="preserve"> vandens gerinimo įrenginių, </w:t>
      </w:r>
      <w:r w:rsidR="007B6398" w:rsidRPr="001E0AD1">
        <w:rPr>
          <w:b/>
          <w:bCs/>
          <w:i/>
          <w:iCs/>
        </w:rPr>
        <w:t xml:space="preserve">2 vandens bokštus ir 1 rezervuarą, </w:t>
      </w:r>
      <w:r w:rsidR="008B7149">
        <w:rPr>
          <w:b/>
          <w:bCs/>
          <w:i/>
          <w:iCs/>
        </w:rPr>
        <w:t>vandens pakėlimo stotį.</w:t>
      </w:r>
    </w:p>
    <w:p w:rsidR="00C05578" w:rsidRPr="001E0AD1" w:rsidRDefault="00C05578" w:rsidP="00C05578">
      <w:pPr>
        <w:pStyle w:val="BodyTextIndent"/>
        <w:ind w:firstLine="851"/>
        <w:rPr>
          <w:b/>
          <w:bCs/>
          <w:i/>
          <w:iCs/>
        </w:rPr>
      </w:pPr>
      <w:r w:rsidRPr="001E0AD1">
        <w:rPr>
          <w:b/>
          <w:bCs/>
          <w:i/>
          <w:iCs/>
        </w:rPr>
        <w:t>Kiekvienais metais pagal programą, patvirtintą Lietuvos geologijos tarnyboje ir suderintą su Aplinkos ministerijos Alytaus regiono Aplinkos apsaugos departamentu, vykdomas požeminio vandens monitoringas, kurį pagal sutartį atlieka UAB „Vilniaus hidrogeologija“.</w:t>
      </w:r>
      <w:r w:rsidR="008B7149">
        <w:rPr>
          <w:b/>
          <w:bCs/>
          <w:i/>
          <w:iCs/>
        </w:rPr>
        <w:t xml:space="preserve"> Pastoviai atliekami vandens kokybės laboratoriniai tyrimai.</w:t>
      </w:r>
    </w:p>
    <w:p w:rsidR="00E9071B" w:rsidRPr="001E0AD1" w:rsidRDefault="00BE7A7F" w:rsidP="00E9071B">
      <w:pPr>
        <w:spacing w:line="360" w:lineRule="auto"/>
        <w:ind w:firstLine="720"/>
        <w:jc w:val="both"/>
        <w:rPr>
          <w:i/>
          <w:color w:val="FF0000"/>
          <w:lang w:val="lt-LT"/>
        </w:rPr>
      </w:pPr>
      <w:r w:rsidRPr="001E0AD1">
        <w:rPr>
          <w:b/>
          <w:bCs/>
          <w:i/>
          <w:iCs/>
          <w:lang w:val="lt-LT"/>
        </w:rPr>
        <w:t>Nuotekų tinklai yra pakloti Prienų mieste,</w:t>
      </w:r>
      <w:r w:rsidR="00FE4B12" w:rsidRPr="001E0AD1">
        <w:rPr>
          <w:b/>
          <w:bCs/>
          <w:i/>
          <w:iCs/>
          <w:lang w:val="lt-LT"/>
        </w:rPr>
        <w:t xml:space="preserve">Ignacavos, </w:t>
      </w:r>
      <w:r w:rsidRPr="001E0AD1">
        <w:rPr>
          <w:b/>
          <w:bCs/>
          <w:i/>
          <w:iCs/>
          <w:lang w:val="lt-LT"/>
        </w:rPr>
        <w:t>Balbieriškio, Išlaužo, Pakuonio, Veiverių, Jiezno</w:t>
      </w:r>
      <w:r w:rsidR="00FE4B12" w:rsidRPr="001E0AD1">
        <w:rPr>
          <w:b/>
          <w:bCs/>
          <w:i/>
          <w:iCs/>
          <w:lang w:val="lt-LT"/>
        </w:rPr>
        <w:t>,</w:t>
      </w:r>
      <w:r w:rsidRPr="001E0AD1">
        <w:rPr>
          <w:b/>
          <w:bCs/>
          <w:i/>
          <w:iCs/>
          <w:lang w:val="lt-LT"/>
        </w:rPr>
        <w:t xml:space="preserve">Strazdiškių ir Vyšniūnų gyvenvietėse. Bendras nuotekų tinklų ilgis sudaro </w:t>
      </w:r>
      <w:r w:rsidR="00E9071B" w:rsidRPr="001E0AD1">
        <w:rPr>
          <w:b/>
          <w:bCs/>
          <w:i/>
          <w:iCs/>
          <w:lang w:val="lt-LT"/>
        </w:rPr>
        <w:t>94,3</w:t>
      </w:r>
      <w:r w:rsidRPr="001E0AD1">
        <w:rPr>
          <w:b/>
          <w:bCs/>
          <w:i/>
          <w:iCs/>
          <w:lang w:val="lt-LT"/>
        </w:rPr>
        <w:t xml:space="preserve"> km. Prienų mieste surenkamos nuotekos perpumpuojamos į UAB „Birštono vandentiekis“ priklausančią valyklą, esančią 10 km nuo pirmojo pakėlimo siurblinės.</w:t>
      </w:r>
    </w:p>
    <w:p w:rsidR="001E4CAB" w:rsidRPr="001E0AD1" w:rsidRDefault="0037090F" w:rsidP="00616C0B">
      <w:pPr>
        <w:pStyle w:val="BodyTextIndent"/>
        <w:ind w:firstLine="851"/>
        <w:rPr>
          <w:b/>
          <w:i/>
        </w:rPr>
      </w:pPr>
      <w:r w:rsidRPr="001E0AD1">
        <w:rPr>
          <w:b/>
          <w:bCs/>
          <w:i/>
          <w:iCs/>
        </w:rPr>
        <w:t>2</w:t>
      </w:r>
      <w:r w:rsidR="005A4FAD" w:rsidRPr="001E0AD1">
        <w:rPr>
          <w:b/>
          <w:bCs/>
          <w:i/>
          <w:iCs/>
        </w:rPr>
        <w:t>01</w:t>
      </w:r>
      <w:r w:rsidR="00BE1554" w:rsidRPr="001E0AD1">
        <w:rPr>
          <w:b/>
          <w:bCs/>
          <w:i/>
          <w:iCs/>
        </w:rPr>
        <w:t>5</w:t>
      </w:r>
      <w:r w:rsidR="005A4FAD" w:rsidRPr="001E0AD1">
        <w:rPr>
          <w:b/>
          <w:bCs/>
          <w:i/>
          <w:iCs/>
        </w:rPr>
        <w:t xml:space="preserve"> m. UAB „Prienų vandenys“ vykdė nenutrūkstamą vandens tiekimo ir nuotekų šalinimo bei tvarkymo veiklą, vadovaudamasi </w:t>
      </w:r>
      <w:r w:rsidR="005A4FAD" w:rsidRPr="001E0AD1">
        <w:rPr>
          <w:b/>
          <w:i/>
        </w:rPr>
        <w:t>Geriamojo vandens</w:t>
      </w:r>
      <w:r w:rsidR="0015154F" w:rsidRPr="001E0AD1">
        <w:rPr>
          <w:b/>
          <w:i/>
        </w:rPr>
        <w:t xml:space="preserve"> tiekimo</w:t>
      </w:r>
      <w:r w:rsidR="005A4FAD" w:rsidRPr="001E0AD1">
        <w:rPr>
          <w:b/>
          <w:i/>
        </w:rPr>
        <w:t xml:space="preserve"> ir nuotekų tvarkymo įstatymu, </w:t>
      </w:r>
      <w:r w:rsidR="002B04A4" w:rsidRPr="001E0AD1">
        <w:rPr>
          <w:b/>
          <w:i/>
        </w:rPr>
        <w:t>Aplinkos ministerijos nutarimais, Valstybinės kainų ir energetikos kontrolės komisijos sprendimais, laikydamiesi higienos normų bei ste</w:t>
      </w:r>
      <w:r w:rsidR="00E841CD" w:rsidRPr="001E0AD1">
        <w:rPr>
          <w:b/>
          <w:i/>
        </w:rPr>
        <w:t>n</w:t>
      </w:r>
      <w:r w:rsidR="002B04A4" w:rsidRPr="001E0AD1">
        <w:rPr>
          <w:b/>
          <w:i/>
        </w:rPr>
        <w:t>gdamiesi atitikti vartotojų pagrįstus lūkesčius.</w:t>
      </w:r>
    </w:p>
    <w:p w:rsidR="001A08CA" w:rsidRPr="001E0AD1" w:rsidRDefault="001A08CA" w:rsidP="00BE1554">
      <w:pPr>
        <w:pStyle w:val="BodyTextIndent"/>
        <w:ind w:firstLine="851"/>
        <w:rPr>
          <w:b/>
          <w:bCs/>
          <w:i/>
          <w:iCs/>
        </w:rPr>
      </w:pPr>
      <w:r w:rsidRPr="001E0AD1">
        <w:rPr>
          <w:b/>
          <w:bCs/>
          <w:i/>
          <w:iCs/>
        </w:rPr>
        <w:t>201</w:t>
      </w:r>
      <w:r w:rsidR="00BE1554" w:rsidRPr="001E0AD1">
        <w:rPr>
          <w:b/>
          <w:bCs/>
          <w:i/>
          <w:iCs/>
        </w:rPr>
        <w:t>5</w:t>
      </w:r>
      <w:r w:rsidR="00C316BA" w:rsidRPr="001E0AD1">
        <w:rPr>
          <w:b/>
          <w:bCs/>
          <w:i/>
          <w:iCs/>
        </w:rPr>
        <w:t xml:space="preserve">m. Bendrovė </w:t>
      </w:r>
      <w:r w:rsidR="00F411FE" w:rsidRPr="001E0AD1">
        <w:rPr>
          <w:b/>
          <w:bCs/>
          <w:i/>
          <w:iCs/>
        </w:rPr>
        <w:t>siekė įgyvendinti metų pradžioje užsibrėžtus planus</w:t>
      </w:r>
      <w:r w:rsidR="00BE1554" w:rsidRPr="001E0AD1">
        <w:rPr>
          <w:b/>
          <w:bCs/>
          <w:i/>
          <w:iCs/>
        </w:rPr>
        <w:t>:</w:t>
      </w:r>
    </w:p>
    <w:p w:rsidR="001A08CA" w:rsidRPr="001E0AD1" w:rsidRDefault="00BE1554" w:rsidP="00BE1554">
      <w:pPr>
        <w:pStyle w:val="BodyTextIndent"/>
        <w:ind w:firstLine="851"/>
        <w:rPr>
          <w:b/>
          <w:bCs/>
          <w:i/>
          <w:iCs/>
        </w:rPr>
      </w:pPr>
      <w:r w:rsidRPr="001E0AD1">
        <w:rPr>
          <w:b/>
          <w:bCs/>
          <w:i/>
          <w:iCs/>
        </w:rPr>
        <w:t>2015-06-04</w:t>
      </w:r>
      <w:r w:rsidR="001A08CA" w:rsidRPr="001E0AD1">
        <w:rPr>
          <w:b/>
          <w:bCs/>
          <w:i/>
          <w:iCs/>
        </w:rPr>
        <w:t xml:space="preserve"> Bendrovė </w:t>
      </w:r>
      <w:r w:rsidRPr="001E0AD1">
        <w:rPr>
          <w:b/>
          <w:bCs/>
          <w:i/>
          <w:iCs/>
        </w:rPr>
        <w:t xml:space="preserve">gavo </w:t>
      </w:r>
      <w:r w:rsidR="001A08CA" w:rsidRPr="001E0AD1">
        <w:rPr>
          <w:b/>
          <w:bCs/>
          <w:i/>
          <w:iCs/>
        </w:rPr>
        <w:t>licen</w:t>
      </w:r>
      <w:r w:rsidRPr="001E0AD1">
        <w:rPr>
          <w:b/>
          <w:bCs/>
          <w:i/>
          <w:iCs/>
        </w:rPr>
        <w:t xml:space="preserve">ciją </w:t>
      </w:r>
      <w:r w:rsidR="001A08CA" w:rsidRPr="001E0AD1">
        <w:rPr>
          <w:b/>
          <w:bCs/>
          <w:i/>
          <w:iCs/>
        </w:rPr>
        <w:t xml:space="preserve"> tiekti geriamąjį </w:t>
      </w:r>
      <w:r w:rsidRPr="001E0AD1">
        <w:rPr>
          <w:b/>
          <w:bCs/>
          <w:i/>
          <w:iCs/>
        </w:rPr>
        <w:t>vandenį, bei tvarkyti nuotekas ir 2015-11-26 Prienų rajono tarybos sprendimu Nr. T3-235</w:t>
      </w:r>
      <w:r w:rsidR="00C55226" w:rsidRPr="001E0AD1">
        <w:rPr>
          <w:b/>
          <w:bCs/>
          <w:i/>
          <w:iCs/>
        </w:rPr>
        <w:t xml:space="preserve"> buvo</w:t>
      </w:r>
      <w:r w:rsidRPr="001E0AD1">
        <w:rPr>
          <w:b/>
          <w:bCs/>
          <w:i/>
          <w:iCs/>
        </w:rPr>
        <w:t xml:space="preserve"> paskirta viešuoju geriamojo vandens tiekėju ir nuotekų tvarkytoju. Pagal licenciją nustatyta, jog UAB „Prienų vandenys“ gali tiekti vandenį </w:t>
      </w:r>
      <w:r w:rsidR="00C316BA" w:rsidRPr="001E0AD1">
        <w:rPr>
          <w:b/>
          <w:bCs/>
          <w:i/>
          <w:iCs/>
        </w:rPr>
        <w:t>bei tvarkyti nuotekas Prienų ir Jiezno miestuose, Balbieriškio, Pakuonio, Veiverių miesteliuose bei Ignacavos, Strielčių, Išlaužo, Kašonių, Strazdiškių, Purvininkų, Stakliškių, Užuguosčio, Lielionių, Pieštuvėnų, Vyšniūnų, Šilavoto, Skriaudžių kaimuose.</w:t>
      </w:r>
    </w:p>
    <w:p w:rsidR="00C316BA" w:rsidRPr="001E0AD1" w:rsidRDefault="00C316BA" w:rsidP="00BE1554">
      <w:pPr>
        <w:pStyle w:val="BodyTextIndent"/>
        <w:ind w:firstLine="851"/>
        <w:rPr>
          <w:b/>
          <w:bCs/>
          <w:i/>
          <w:iCs/>
        </w:rPr>
      </w:pPr>
      <w:r w:rsidRPr="001E0AD1">
        <w:rPr>
          <w:b/>
          <w:bCs/>
          <w:i/>
          <w:iCs/>
        </w:rPr>
        <w:t xml:space="preserve">Tęsiant projekto „Vandentiekio ir nuotekų tinklų plėtra Balbieriškyje ir nuotekų tinklų keitimas Prienuose“ fizinių rodiklių įgyvendinimą, buvo siekiama pajungti kuo daugiau vartotojų prie vandentiekio ir nuotekų tinklų, tačiau per 2015 m. naujai prisijungė tik </w:t>
      </w:r>
      <w:r w:rsidR="00590574" w:rsidRPr="001E0AD1">
        <w:rPr>
          <w:b/>
          <w:bCs/>
          <w:i/>
          <w:iCs/>
        </w:rPr>
        <w:t>22 vartotojai prie nuotekų tinklų ir 21 vartotojas prie vandentiekio tinklų. Iš viso nuo projekto įgyvendinimo pradžios prie vandentiekio tinklų</w:t>
      </w:r>
      <w:r w:rsidR="00A74809" w:rsidRPr="001E0AD1">
        <w:rPr>
          <w:b/>
          <w:bCs/>
          <w:i/>
          <w:iCs/>
        </w:rPr>
        <w:t xml:space="preserve"> yra</w:t>
      </w:r>
      <w:r w:rsidR="00590574" w:rsidRPr="001E0AD1">
        <w:rPr>
          <w:b/>
          <w:bCs/>
          <w:i/>
          <w:iCs/>
        </w:rPr>
        <w:t xml:space="preserve"> prisijung</w:t>
      </w:r>
      <w:r w:rsidR="00C55226" w:rsidRPr="001E0AD1">
        <w:rPr>
          <w:b/>
          <w:bCs/>
          <w:i/>
          <w:iCs/>
        </w:rPr>
        <w:t>ę</w:t>
      </w:r>
      <w:r w:rsidR="00590574" w:rsidRPr="001E0AD1">
        <w:rPr>
          <w:b/>
          <w:bCs/>
          <w:i/>
          <w:iCs/>
        </w:rPr>
        <w:t xml:space="preserve"> 68 vartotojai, o prie  nuotekų tinklų 71 vartotojas. Lyginant su siekiamais fiziniais rodikliais prie vandentiekio tinklų prisijungę 49 proc. vartotojų, prie nuotekų tinklų – 51 proc.</w:t>
      </w:r>
    </w:p>
    <w:p w:rsidR="001A08CA" w:rsidRPr="001E0AD1" w:rsidRDefault="00590574" w:rsidP="00590574">
      <w:pPr>
        <w:pStyle w:val="BodyTextIndent"/>
        <w:ind w:firstLine="851"/>
        <w:rPr>
          <w:b/>
          <w:bCs/>
          <w:i/>
          <w:iCs/>
        </w:rPr>
      </w:pPr>
      <w:r w:rsidRPr="001E0AD1">
        <w:rPr>
          <w:b/>
          <w:bCs/>
          <w:i/>
          <w:iCs/>
        </w:rPr>
        <w:lastRenderedPageBreak/>
        <w:t>Vykdant</w:t>
      </w:r>
      <w:r w:rsidR="001A08CA" w:rsidRPr="001E0AD1">
        <w:rPr>
          <w:b/>
          <w:bCs/>
          <w:i/>
          <w:iCs/>
        </w:rPr>
        <w:t xml:space="preserve"> antrą šio projekto etapą</w:t>
      </w:r>
      <w:r w:rsidR="00EE7240" w:rsidRPr="001E0AD1">
        <w:rPr>
          <w:b/>
          <w:bCs/>
          <w:i/>
          <w:iCs/>
        </w:rPr>
        <w:t xml:space="preserve"> „Va</w:t>
      </w:r>
      <w:r w:rsidR="001A08CA" w:rsidRPr="001E0AD1">
        <w:rPr>
          <w:b/>
          <w:bCs/>
          <w:i/>
          <w:iCs/>
        </w:rPr>
        <w:t>ndentiekio ir nuotekų tinklų plėtra Prienų rajone (Balbieriškyje) II etapas“</w:t>
      </w:r>
      <w:r w:rsidRPr="001E0AD1">
        <w:rPr>
          <w:b/>
          <w:bCs/>
          <w:i/>
          <w:iCs/>
        </w:rPr>
        <w:t xml:space="preserve"> susidurta su nenumatytomis, nuo Bendrovės nepriklausančiomis aplinkybėmis, dėl kurių projektas nėra užbaigtas. Nepatvirtinus projekto finansavimo aprašo ir nepriskyrus projekto prie jokios finansavimo programos, negalima užbaigti veiklų, susijusių su projekto viešinimu</w:t>
      </w:r>
      <w:r w:rsidR="00D53066" w:rsidRPr="001E0AD1">
        <w:rPr>
          <w:b/>
          <w:bCs/>
          <w:i/>
          <w:iCs/>
        </w:rPr>
        <w:t xml:space="preserve"> (</w:t>
      </w:r>
      <w:r w:rsidR="00896CFD" w:rsidRPr="001E0AD1">
        <w:rPr>
          <w:b/>
          <w:bCs/>
          <w:i/>
          <w:iCs/>
        </w:rPr>
        <w:t>neįsisavinta 1846</w:t>
      </w:r>
      <w:r w:rsidR="00D53066" w:rsidRPr="001E0AD1">
        <w:rPr>
          <w:b/>
          <w:bCs/>
          <w:i/>
          <w:iCs/>
        </w:rPr>
        <w:t>Eur lėšų)</w:t>
      </w:r>
      <w:r w:rsidR="001A08CA" w:rsidRPr="001E0AD1">
        <w:rPr>
          <w:b/>
          <w:bCs/>
          <w:i/>
          <w:iCs/>
        </w:rPr>
        <w:t xml:space="preserve">. </w:t>
      </w:r>
      <w:r w:rsidRPr="001E0AD1">
        <w:rPr>
          <w:b/>
          <w:bCs/>
          <w:i/>
          <w:iCs/>
        </w:rPr>
        <w:t xml:space="preserve">Dėl šių priežasčių yra laikinai sustabdyta sutartis su </w:t>
      </w:r>
      <w:r w:rsidR="00EE7240" w:rsidRPr="001E0AD1">
        <w:rPr>
          <w:b/>
          <w:bCs/>
          <w:i/>
          <w:iCs/>
        </w:rPr>
        <w:t xml:space="preserve">UAB „Atamis“ dėl administravimo paslaugų teikimo. </w:t>
      </w:r>
      <w:r w:rsidR="00D9423B" w:rsidRPr="001E0AD1">
        <w:rPr>
          <w:b/>
          <w:bCs/>
          <w:i/>
          <w:iCs/>
        </w:rPr>
        <w:t>Nepaisant to, projekto metu nu</w:t>
      </w:r>
      <w:r w:rsidR="00EE7240" w:rsidRPr="001E0AD1">
        <w:rPr>
          <w:b/>
          <w:bCs/>
          <w:i/>
          <w:iCs/>
        </w:rPr>
        <w:t xml:space="preserve">tiesti vandentiekio ir nuotekų tinklai yra pilnai funkcionuojantys ir </w:t>
      </w:r>
      <w:r w:rsidR="00A74809" w:rsidRPr="001E0AD1">
        <w:rPr>
          <w:b/>
          <w:bCs/>
          <w:i/>
          <w:iCs/>
        </w:rPr>
        <w:t>yra sudaryta galimybė</w:t>
      </w:r>
      <w:r w:rsidR="00EE7240" w:rsidRPr="001E0AD1">
        <w:rPr>
          <w:b/>
          <w:bCs/>
          <w:i/>
          <w:iCs/>
        </w:rPr>
        <w:t xml:space="preserve"> vartotojams prisijungti prie centralizuotų vandentiekio ir nuotekų tinklų.</w:t>
      </w:r>
    </w:p>
    <w:p w:rsidR="00ED409E" w:rsidRPr="001E0AD1" w:rsidRDefault="00896CFD" w:rsidP="001A08CA">
      <w:pPr>
        <w:pStyle w:val="BodyTextIndent"/>
        <w:tabs>
          <w:tab w:val="left" w:pos="930"/>
        </w:tabs>
        <w:rPr>
          <w:b/>
          <w:bCs/>
          <w:i/>
          <w:iCs/>
        </w:rPr>
      </w:pPr>
      <w:r w:rsidRPr="001E0AD1">
        <w:rPr>
          <w:b/>
          <w:bCs/>
          <w:i/>
          <w:iCs/>
        </w:rPr>
        <w:t>Įvertinus Kęstučio gatvės tinklų būklę, nuspręsta jų rekonstrukciją atidėti vėlesniam laikotarpiui, o 2015 m. susikoncentruoti į kritinės būklės objektus</w:t>
      </w:r>
      <w:r w:rsidR="008B7149">
        <w:rPr>
          <w:b/>
          <w:bCs/>
          <w:i/>
          <w:iCs/>
        </w:rPr>
        <w:t>. Siekiant išsaugoti geros kokybės požeminį vandenį, Prienų miesto vandenvietės sanitarinės apsaugos zona buvo aptverta nauja tvora, atitinkančia apsaugos zonos reikalavimus. P</w:t>
      </w:r>
      <w:r w:rsidR="00ED409E" w:rsidRPr="001E0AD1">
        <w:rPr>
          <w:b/>
          <w:bCs/>
          <w:i/>
          <w:iCs/>
        </w:rPr>
        <w:t>akeist</w:t>
      </w:r>
      <w:r w:rsidR="008B7149">
        <w:rPr>
          <w:b/>
          <w:bCs/>
          <w:i/>
          <w:iCs/>
        </w:rPr>
        <w:t>as sugedęs</w:t>
      </w:r>
      <w:r w:rsidR="00ED409E" w:rsidRPr="001E0AD1">
        <w:rPr>
          <w:b/>
          <w:bCs/>
          <w:i/>
          <w:iCs/>
        </w:rPr>
        <w:t xml:space="preserve"> gi</w:t>
      </w:r>
      <w:r w:rsidR="00B41C39" w:rsidRPr="001E0AD1">
        <w:rPr>
          <w:b/>
          <w:bCs/>
          <w:i/>
          <w:iCs/>
        </w:rPr>
        <w:t>lumin</w:t>
      </w:r>
      <w:r w:rsidR="008B7149">
        <w:rPr>
          <w:b/>
          <w:bCs/>
          <w:i/>
          <w:iCs/>
        </w:rPr>
        <w:t>is</w:t>
      </w:r>
      <w:r w:rsidR="00B41C39" w:rsidRPr="001E0AD1">
        <w:rPr>
          <w:b/>
          <w:bCs/>
          <w:i/>
          <w:iCs/>
        </w:rPr>
        <w:t xml:space="preserve"> vandens siurbl</w:t>
      </w:r>
      <w:r w:rsidR="008B7149">
        <w:rPr>
          <w:b/>
          <w:bCs/>
          <w:i/>
          <w:iCs/>
        </w:rPr>
        <w:t>ys</w:t>
      </w:r>
      <w:r w:rsidR="00B41C39" w:rsidRPr="001E0AD1">
        <w:rPr>
          <w:b/>
          <w:bCs/>
          <w:i/>
          <w:iCs/>
        </w:rPr>
        <w:t xml:space="preserve"> Prienų m</w:t>
      </w:r>
      <w:r w:rsidR="00ED409E" w:rsidRPr="001E0AD1">
        <w:rPr>
          <w:b/>
          <w:bCs/>
          <w:i/>
          <w:iCs/>
        </w:rPr>
        <w:t>i</w:t>
      </w:r>
      <w:r w:rsidR="00B41C39" w:rsidRPr="001E0AD1">
        <w:rPr>
          <w:b/>
          <w:bCs/>
          <w:i/>
          <w:iCs/>
        </w:rPr>
        <w:t>e</w:t>
      </w:r>
      <w:r w:rsidR="00ED409E" w:rsidRPr="001E0AD1">
        <w:rPr>
          <w:b/>
          <w:bCs/>
          <w:i/>
          <w:iCs/>
        </w:rPr>
        <w:t xml:space="preserve">sto vandenvietėje, </w:t>
      </w:r>
      <w:r w:rsidRPr="001E0AD1">
        <w:rPr>
          <w:b/>
          <w:bCs/>
          <w:i/>
          <w:iCs/>
        </w:rPr>
        <w:t>teisiškai įsiregistruoti</w:t>
      </w:r>
      <w:r w:rsidR="001A08CA" w:rsidRPr="001E0AD1">
        <w:rPr>
          <w:b/>
          <w:bCs/>
          <w:i/>
          <w:iCs/>
        </w:rPr>
        <w:t xml:space="preserve"> Stadiono</w:t>
      </w:r>
      <w:r w:rsidRPr="001E0AD1">
        <w:rPr>
          <w:b/>
          <w:bCs/>
          <w:i/>
          <w:iCs/>
        </w:rPr>
        <w:t xml:space="preserve"> ir Statybininkų </w:t>
      </w:r>
      <w:r w:rsidR="001A08CA" w:rsidRPr="001E0AD1">
        <w:rPr>
          <w:b/>
          <w:bCs/>
          <w:i/>
          <w:iCs/>
        </w:rPr>
        <w:t>gatv</w:t>
      </w:r>
      <w:r w:rsidRPr="001E0AD1">
        <w:rPr>
          <w:b/>
          <w:bCs/>
          <w:i/>
          <w:iCs/>
        </w:rPr>
        <w:t>ių</w:t>
      </w:r>
      <w:r w:rsidR="001A08CA" w:rsidRPr="001E0AD1">
        <w:rPr>
          <w:b/>
          <w:bCs/>
          <w:i/>
          <w:iCs/>
        </w:rPr>
        <w:t xml:space="preserve"> vandentiekio tinkl</w:t>
      </w:r>
      <w:r w:rsidR="008B7149">
        <w:rPr>
          <w:b/>
          <w:bCs/>
          <w:i/>
          <w:iCs/>
        </w:rPr>
        <w:t>ai</w:t>
      </w:r>
      <w:r w:rsidR="00605CD0" w:rsidRPr="001E0AD1">
        <w:rPr>
          <w:b/>
          <w:bCs/>
          <w:i/>
          <w:iCs/>
        </w:rPr>
        <w:t>, padaryti kadastrini</w:t>
      </w:r>
      <w:r w:rsidR="008B7149">
        <w:rPr>
          <w:b/>
          <w:bCs/>
          <w:i/>
          <w:iCs/>
        </w:rPr>
        <w:t>ai</w:t>
      </w:r>
      <w:r w:rsidR="00605CD0" w:rsidRPr="001E0AD1">
        <w:rPr>
          <w:b/>
          <w:bCs/>
          <w:i/>
          <w:iCs/>
        </w:rPr>
        <w:t xml:space="preserve"> Basanavičiaus g. </w:t>
      </w:r>
      <w:r w:rsidR="00ED409E" w:rsidRPr="001E0AD1">
        <w:rPr>
          <w:b/>
          <w:bCs/>
          <w:i/>
          <w:iCs/>
        </w:rPr>
        <w:t xml:space="preserve">ir Pramonės g. </w:t>
      </w:r>
      <w:r w:rsidR="00605CD0" w:rsidRPr="001E0AD1">
        <w:rPr>
          <w:b/>
          <w:bCs/>
          <w:i/>
          <w:iCs/>
        </w:rPr>
        <w:t>matavim</w:t>
      </w:r>
      <w:r w:rsidR="008B7149">
        <w:rPr>
          <w:b/>
          <w:bCs/>
          <w:i/>
          <w:iCs/>
        </w:rPr>
        <w:t>ai</w:t>
      </w:r>
      <w:r w:rsidR="00605CD0" w:rsidRPr="001E0AD1">
        <w:rPr>
          <w:b/>
          <w:bCs/>
          <w:i/>
          <w:iCs/>
        </w:rPr>
        <w:t>.</w:t>
      </w:r>
    </w:p>
    <w:p w:rsidR="00605CD0" w:rsidRPr="001E0AD1" w:rsidRDefault="00605CD0" w:rsidP="001A08CA">
      <w:pPr>
        <w:pStyle w:val="BodyTextIndent"/>
        <w:tabs>
          <w:tab w:val="left" w:pos="930"/>
        </w:tabs>
        <w:rPr>
          <w:b/>
          <w:bCs/>
          <w:i/>
          <w:iCs/>
        </w:rPr>
      </w:pPr>
      <w:r w:rsidRPr="001E0AD1">
        <w:rPr>
          <w:b/>
          <w:bCs/>
          <w:i/>
          <w:iCs/>
        </w:rPr>
        <w:t>Be priežiūros neliko ir Prienų rajono kaimai. Jiezno krašte (Stakliškėse, Vyšniūnuose, Kašonyse, Strazdiškėse</w:t>
      </w:r>
      <w:r w:rsidR="000644F6" w:rsidRPr="001E0AD1">
        <w:rPr>
          <w:b/>
          <w:bCs/>
          <w:i/>
          <w:iCs/>
        </w:rPr>
        <w:t>,</w:t>
      </w:r>
      <w:r w:rsidR="00A74809" w:rsidRPr="001E0AD1">
        <w:rPr>
          <w:b/>
          <w:bCs/>
          <w:i/>
          <w:iCs/>
        </w:rPr>
        <w:t>Lielionyse, Pieštuvėnuose, Užuguostyje</w:t>
      </w:r>
      <w:r w:rsidRPr="001E0AD1">
        <w:rPr>
          <w:b/>
          <w:bCs/>
          <w:i/>
          <w:iCs/>
        </w:rPr>
        <w:t>) buvo renovuo</w:t>
      </w:r>
      <w:r w:rsidR="000644F6" w:rsidRPr="001E0AD1">
        <w:rPr>
          <w:b/>
          <w:bCs/>
          <w:i/>
          <w:iCs/>
        </w:rPr>
        <w:t>ta ir perklota apie 1 km. vanden</w:t>
      </w:r>
      <w:r w:rsidRPr="001E0AD1">
        <w:rPr>
          <w:b/>
          <w:bCs/>
          <w:i/>
          <w:iCs/>
        </w:rPr>
        <w:t>tiekio ir nuotekų tinklų, rekonstruoti 7 šuliniai</w:t>
      </w:r>
      <w:r w:rsidR="000644F6" w:rsidRPr="001E0AD1">
        <w:rPr>
          <w:b/>
          <w:bCs/>
          <w:i/>
          <w:iCs/>
        </w:rPr>
        <w:t>, Stakliškėse įrengtas naujas vandens gręžinys</w:t>
      </w:r>
      <w:r w:rsidRPr="001E0AD1">
        <w:rPr>
          <w:b/>
          <w:bCs/>
          <w:i/>
          <w:iCs/>
        </w:rPr>
        <w:t>. Veiverių krašte (Pakuonyje, Išlauže, Purvin</w:t>
      </w:r>
      <w:r w:rsidR="000644F6" w:rsidRPr="001E0AD1">
        <w:rPr>
          <w:b/>
          <w:bCs/>
          <w:i/>
          <w:iCs/>
        </w:rPr>
        <w:t>i</w:t>
      </w:r>
      <w:r w:rsidRPr="001E0AD1">
        <w:rPr>
          <w:b/>
          <w:bCs/>
          <w:i/>
          <w:iCs/>
        </w:rPr>
        <w:t>nkuose, Šilavote, Skriaudžiuose)</w:t>
      </w:r>
      <w:r w:rsidR="00F411FE" w:rsidRPr="001E0AD1">
        <w:rPr>
          <w:b/>
          <w:bCs/>
          <w:i/>
          <w:iCs/>
        </w:rPr>
        <w:t xml:space="preserve"> praverta daugiau kaip 200 m vandentiekio tinklų, rekonstruotas 1 vandentiekio šulinys.</w:t>
      </w:r>
      <w:r w:rsidR="000644F6" w:rsidRPr="001E0AD1">
        <w:rPr>
          <w:b/>
          <w:bCs/>
          <w:i/>
          <w:iCs/>
        </w:rPr>
        <w:t xml:space="preserve"> Taip pat 2015 m. Bendrovė perėmė Veiverių </w:t>
      </w:r>
      <w:r w:rsidR="00C05578" w:rsidRPr="001E0AD1">
        <w:rPr>
          <w:b/>
          <w:bCs/>
          <w:i/>
          <w:iCs/>
        </w:rPr>
        <w:t xml:space="preserve">seniūnijos </w:t>
      </w:r>
      <w:r w:rsidR="000644F6" w:rsidRPr="001E0AD1">
        <w:rPr>
          <w:b/>
          <w:bCs/>
          <w:i/>
          <w:iCs/>
        </w:rPr>
        <w:t xml:space="preserve">bendruomenės </w:t>
      </w:r>
      <w:r w:rsidR="00F411FE" w:rsidRPr="001E0AD1">
        <w:rPr>
          <w:b/>
          <w:bCs/>
          <w:i/>
          <w:iCs/>
        </w:rPr>
        <w:t>cen</w:t>
      </w:r>
      <w:r w:rsidR="00C05578" w:rsidRPr="001E0AD1">
        <w:rPr>
          <w:b/>
          <w:bCs/>
          <w:i/>
          <w:iCs/>
        </w:rPr>
        <w:t>tro vandentiekio ir nuotekų tinklus (1759 m vandentiekio ir 1138 m nuotekų tinklų) bei nuotekų perpumpavimo siurblinę. Kadangi siurbli</w:t>
      </w:r>
      <w:r w:rsidR="00B41C39" w:rsidRPr="001E0AD1">
        <w:rPr>
          <w:b/>
          <w:bCs/>
          <w:i/>
          <w:iCs/>
        </w:rPr>
        <w:t>nės būklė buvo prasta, teko sut</w:t>
      </w:r>
      <w:r w:rsidR="00C05578" w:rsidRPr="001E0AD1">
        <w:rPr>
          <w:b/>
          <w:bCs/>
          <w:i/>
          <w:iCs/>
        </w:rPr>
        <w:t>varkyti automatiką, pakeisti siurblius.</w:t>
      </w:r>
    </w:p>
    <w:p w:rsidR="00E03659" w:rsidRPr="001E0AD1" w:rsidRDefault="00D76F89" w:rsidP="00F21764">
      <w:pPr>
        <w:spacing w:before="360" w:after="360" w:line="360" w:lineRule="auto"/>
        <w:ind w:firstLine="851"/>
        <w:jc w:val="center"/>
        <w:rPr>
          <w:b/>
          <w:bCs/>
          <w:i/>
          <w:iCs/>
          <w:caps/>
          <w:sz w:val="28"/>
          <w:szCs w:val="28"/>
          <w:lang w:val="lt-LT"/>
        </w:rPr>
      </w:pPr>
      <w:r w:rsidRPr="001E0AD1">
        <w:rPr>
          <w:b/>
          <w:bCs/>
          <w:i/>
          <w:iCs/>
          <w:caps/>
          <w:sz w:val="28"/>
          <w:szCs w:val="28"/>
          <w:lang w:val="lt-LT"/>
        </w:rPr>
        <w:t xml:space="preserve">VYKDOMI PROJEKTAI IR </w:t>
      </w:r>
      <w:r w:rsidR="000C6C6C" w:rsidRPr="001E0AD1">
        <w:rPr>
          <w:b/>
          <w:bCs/>
          <w:i/>
          <w:iCs/>
          <w:caps/>
          <w:sz w:val="28"/>
          <w:szCs w:val="28"/>
          <w:lang w:val="lt-LT"/>
        </w:rPr>
        <w:t>investicijos</w:t>
      </w:r>
    </w:p>
    <w:p w:rsidR="006E45F0" w:rsidRPr="001E0AD1" w:rsidRDefault="006E45F0" w:rsidP="001967A9">
      <w:pPr>
        <w:spacing w:line="360" w:lineRule="auto"/>
        <w:ind w:firstLine="851"/>
        <w:jc w:val="both"/>
        <w:rPr>
          <w:b/>
          <w:i/>
          <w:lang w:val="lt-LT"/>
        </w:rPr>
      </w:pPr>
      <w:r w:rsidRPr="001E0AD1">
        <w:rPr>
          <w:b/>
          <w:i/>
          <w:lang w:val="lt-LT"/>
        </w:rPr>
        <w:t xml:space="preserve">Bendrovė nenutrūkstamai </w:t>
      </w:r>
      <w:r w:rsidR="00C55226" w:rsidRPr="001E0AD1">
        <w:rPr>
          <w:b/>
          <w:i/>
          <w:lang w:val="lt-LT"/>
        </w:rPr>
        <w:t xml:space="preserve">vykdo </w:t>
      </w:r>
      <w:r w:rsidRPr="001E0AD1">
        <w:rPr>
          <w:b/>
          <w:i/>
          <w:lang w:val="lt-LT"/>
        </w:rPr>
        <w:t>vandentiekio ir nuotekų tinkl</w:t>
      </w:r>
      <w:r w:rsidR="00C55226" w:rsidRPr="001E0AD1">
        <w:rPr>
          <w:b/>
          <w:i/>
          <w:lang w:val="lt-LT"/>
        </w:rPr>
        <w:t>ųplėtrą</w:t>
      </w:r>
      <w:r w:rsidR="00123FFF" w:rsidRPr="001E0AD1">
        <w:rPr>
          <w:b/>
          <w:i/>
          <w:lang w:val="lt-LT"/>
        </w:rPr>
        <w:t>:</w:t>
      </w:r>
      <w:r w:rsidRPr="001E0AD1">
        <w:rPr>
          <w:b/>
          <w:i/>
          <w:lang w:val="lt-LT"/>
        </w:rPr>
        <w:t xml:space="preserve"> stengiasi pagerinti infrastruktūros prieinamumą gyventojams tiesdama naujus tinklus, bei sumažinti netektis bei infiltraciją rekonstruodama senuosius.</w:t>
      </w:r>
    </w:p>
    <w:p w:rsidR="00D76F89" w:rsidRPr="001E0AD1" w:rsidRDefault="00ED409E" w:rsidP="006E45F0">
      <w:pPr>
        <w:spacing w:line="360" w:lineRule="auto"/>
        <w:ind w:firstLine="851"/>
        <w:jc w:val="both"/>
        <w:rPr>
          <w:b/>
          <w:i/>
          <w:lang w:val="lt-LT"/>
        </w:rPr>
      </w:pPr>
      <w:r w:rsidRPr="001E0AD1">
        <w:rPr>
          <w:b/>
          <w:i/>
          <w:lang w:val="lt-LT"/>
        </w:rPr>
        <w:lastRenderedPageBreak/>
        <w:t>Kaip jau minėta</w:t>
      </w:r>
      <w:r w:rsidR="006E45F0" w:rsidRPr="001E0AD1">
        <w:rPr>
          <w:b/>
          <w:i/>
          <w:lang w:val="lt-LT"/>
        </w:rPr>
        <w:t xml:space="preserve"> anksčiau</w:t>
      </w:r>
      <w:r w:rsidRPr="001E0AD1">
        <w:rPr>
          <w:b/>
          <w:i/>
          <w:lang w:val="lt-LT"/>
        </w:rPr>
        <w:t>, projekto</w:t>
      </w:r>
      <w:r w:rsidR="006D450F" w:rsidRPr="001E0AD1">
        <w:rPr>
          <w:b/>
          <w:i/>
          <w:lang w:val="lt-LT"/>
        </w:rPr>
        <w:t xml:space="preserve"> „Vandentiekio ir nuotekų tinklų plėtra Prienų ra</w:t>
      </w:r>
      <w:r w:rsidRPr="001E0AD1">
        <w:rPr>
          <w:b/>
          <w:i/>
          <w:lang w:val="lt-LT"/>
        </w:rPr>
        <w:t xml:space="preserve">jone (Balbieriškyje) II etapas” </w:t>
      </w:r>
      <w:r w:rsidR="00A90CC1">
        <w:rPr>
          <w:b/>
          <w:i/>
          <w:lang w:val="lt-LT"/>
        </w:rPr>
        <w:t xml:space="preserve">viešinimo darbų </w:t>
      </w:r>
      <w:r w:rsidRPr="001E0AD1">
        <w:rPr>
          <w:b/>
          <w:i/>
          <w:lang w:val="lt-LT"/>
        </w:rPr>
        <w:t xml:space="preserve">nepavyko užbaigti, tačiau visi rangos darbai užbaigti ir 2015 m. sausio mėn. priduoti Valstybinei </w:t>
      </w:r>
      <w:r w:rsidR="006E45F0" w:rsidRPr="001E0AD1">
        <w:rPr>
          <w:b/>
          <w:i/>
          <w:lang w:val="lt-LT"/>
        </w:rPr>
        <w:t xml:space="preserve">teritorijų planavimo ir </w:t>
      </w:r>
      <w:r w:rsidRPr="001E0AD1">
        <w:rPr>
          <w:b/>
          <w:i/>
          <w:lang w:val="lt-LT"/>
        </w:rPr>
        <w:t>statybos inspekcijai ir įtraukti į Bendrovės balansą.</w:t>
      </w:r>
      <w:r w:rsidR="00D76F89" w:rsidRPr="001E0AD1">
        <w:rPr>
          <w:b/>
          <w:i/>
          <w:lang w:val="lt-LT"/>
        </w:rPr>
        <w:t xml:space="preserve">Projekto įgyvendinimo metu </w:t>
      </w:r>
      <w:r w:rsidR="006E45F0" w:rsidRPr="001E0AD1">
        <w:rPr>
          <w:b/>
          <w:i/>
          <w:lang w:val="lt-LT"/>
        </w:rPr>
        <w:t xml:space="preserve">nutiesta </w:t>
      </w:r>
      <w:r w:rsidR="00F64114" w:rsidRPr="001E0AD1">
        <w:rPr>
          <w:b/>
          <w:i/>
          <w:lang w:val="lt-LT"/>
        </w:rPr>
        <w:t>2,118km vandentiekio ir 1,699</w:t>
      </w:r>
      <w:r w:rsidR="00D76F89" w:rsidRPr="001E0AD1">
        <w:rPr>
          <w:b/>
          <w:i/>
          <w:lang w:val="lt-LT"/>
        </w:rPr>
        <w:t xml:space="preserve"> km nuotekų surinkimo tinklų. 108 gyventojams sudaryta galimybė prisijungti prie</w:t>
      </w:r>
      <w:r w:rsidR="00123FFF" w:rsidRPr="001E0AD1">
        <w:rPr>
          <w:b/>
          <w:i/>
          <w:lang w:val="lt-LT"/>
        </w:rPr>
        <w:t xml:space="preserve"> naujai</w:t>
      </w:r>
      <w:r w:rsidR="00D76F89" w:rsidRPr="001E0AD1">
        <w:rPr>
          <w:b/>
          <w:i/>
          <w:lang w:val="lt-LT"/>
        </w:rPr>
        <w:t xml:space="preserve"> įrengtų vandentiekio tinklų ir 108 gyventojams prie naujai įrengtų nuotekų surinkimo tinklų. </w:t>
      </w:r>
      <w:r w:rsidR="006E45F0" w:rsidRPr="001E0AD1">
        <w:rPr>
          <w:b/>
          <w:i/>
          <w:lang w:val="lt-LT"/>
        </w:rPr>
        <w:t>Bendra p</w:t>
      </w:r>
      <w:r w:rsidR="00D76F89" w:rsidRPr="001E0AD1">
        <w:rPr>
          <w:b/>
          <w:i/>
          <w:lang w:val="lt-LT"/>
        </w:rPr>
        <w:t xml:space="preserve">rojekto </w:t>
      </w:r>
      <w:r w:rsidR="006E45F0" w:rsidRPr="001E0AD1">
        <w:rPr>
          <w:b/>
          <w:i/>
          <w:lang w:val="lt-LT"/>
        </w:rPr>
        <w:t>vertė400450,94 Eur.</w:t>
      </w:r>
    </w:p>
    <w:p w:rsidR="00F96330" w:rsidRPr="001E0AD1" w:rsidRDefault="00606638" w:rsidP="00F96330">
      <w:pPr>
        <w:spacing w:line="360" w:lineRule="auto"/>
        <w:ind w:firstLine="851"/>
        <w:jc w:val="both"/>
        <w:rPr>
          <w:b/>
          <w:i/>
          <w:lang w:val="lt-LT"/>
        </w:rPr>
      </w:pPr>
      <w:r w:rsidRPr="001E0AD1">
        <w:rPr>
          <w:b/>
          <w:i/>
          <w:lang w:val="lt-LT"/>
        </w:rPr>
        <w:t>Ruoš</w:t>
      </w:r>
      <w:r w:rsidR="00F96330" w:rsidRPr="001E0AD1">
        <w:rPr>
          <w:b/>
          <w:i/>
          <w:lang w:val="lt-LT"/>
        </w:rPr>
        <w:t>damasi</w:t>
      </w:r>
      <w:r w:rsidRPr="001E0AD1">
        <w:rPr>
          <w:b/>
          <w:i/>
          <w:lang w:val="lt-LT"/>
        </w:rPr>
        <w:t xml:space="preserve"> 2014 – 2020 m. iš ES fondų finansuojamų projektų paraiškų teikimui pagal priemonę „Vandens tiekimo ir nuotekų tvarkymo sistemų renovavimas ir plėtra“</w:t>
      </w:r>
      <w:r w:rsidR="00F96330" w:rsidRPr="001E0AD1">
        <w:rPr>
          <w:b/>
          <w:i/>
          <w:lang w:val="lt-LT"/>
        </w:rPr>
        <w:t xml:space="preserve"> (Priemonės uždavinys - </w:t>
      </w:r>
      <w:r w:rsidRPr="001E0AD1">
        <w:rPr>
          <w:b/>
          <w:i/>
          <w:lang w:val="lt-LT"/>
        </w:rPr>
        <w:t>renovuoti ir plėtoti vandens tiekimo ir nuotekų tvarkymo sistemas</w:t>
      </w:r>
      <w:r w:rsidR="00F96330" w:rsidRPr="001E0AD1">
        <w:rPr>
          <w:b/>
          <w:i/>
          <w:lang w:val="lt-LT"/>
        </w:rPr>
        <w:t>)</w:t>
      </w:r>
      <w:r w:rsidRPr="001E0AD1">
        <w:rPr>
          <w:b/>
          <w:i/>
          <w:lang w:val="lt-LT"/>
        </w:rPr>
        <w:t>, Bendrovė įsigijo projektinių pasiūlymų</w:t>
      </w:r>
      <w:r w:rsidR="00F96330" w:rsidRPr="001E0AD1">
        <w:rPr>
          <w:b/>
          <w:i/>
          <w:lang w:val="lt-LT"/>
        </w:rPr>
        <w:t xml:space="preserve">parengimo, </w:t>
      </w:r>
      <w:r w:rsidRPr="001E0AD1">
        <w:rPr>
          <w:b/>
          <w:i/>
          <w:lang w:val="lt-LT"/>
        </w:rPr>
        <w:t>investicini</w:t>
      </w:r>
      <w:r w:rsidR="00F96330" w:rsidRPr="001E0AD1">
        <w:rPr>
          <w:b/>
          <w:i/>
          <w:lang w:val="lt-LT"/>
        </w:rPr>
        <w:t>o projekto paruošimo paslaugas,Prienų</w:t>
      </w:r>
      <w:r w:rsidR="00D60B82" w:rsidRPr="001E0AD1">
        <w:rPr>
          <w:b/>
          <w:i/>
          <w:lang w:val="lt-LT"/>
        </w:rPr>
        <w:t xml:space="preserve"> m. </w:t>
      </w:r>
      <w:r w:rsidRPr="001E0AD1">
        <w:rPr>
          <w:b/>
          <w:i/>
          <w:lang w:val="lt-LT"/>
        </w:rPr>
        <w:t xml:space="preserve">Basanavičiaus g. </w:t>
      </w:r>
      <w:r w:rsidR="00F96330" w:rsidRPr="001E0AD1">
        <w:rPr>
          <w:b/>
          <w:i/>
          <w:lang w:val="lt-LT"/>
        </w:rPr>
        <w:t xml:space="preserve">vandentiekiotinklų </w:t>
      </w:r>
      <w:r w:rsidR="00D60B82" w:rsidRPr="001E0AD1">
        <w:rPr>
          <w:b/>
          <w:i/>
          <w:lang w:val="lt-LT"/>
        </w:rPr>
        <w:t>rekonstrukcijos</w:t>
      </w:r>
      <w:r w:rsidR="00F96330" w:rsidRPr="001E0AD1">
        <w:rPr>
          <w:b/>
          <w:i/>
          <w:lang w:val="lt-LT"/>
        </w:rPr>
        <w:t xml:space="preserve"> darbus. Pagal šią priemonę Bendrovė ketina sujungti Prienų ir Strielčių vandentiekio tinklus bei nutiesti nuotekų tinklus į gyvenvietę, taip pat pastatyti nuotekų valymo įrenginius, pakloti nuotekų tinklus bei išplėsti ir rekonstruoti </w:t>
      </w:r>
      <w:r w:rsidR="00D60B82" w:rsidRPr="001E0AD1">
        <w:rPr>
          <w:b/>
          <w:i/>
          <w:lang w:val="lt-LT"/>
        </w:rPr>
        <w:t xml:space="preserve">dalį </w:t>
      </w:r>
      <w:r w:rsidR="00F96330" w:rsidRPr="001E0AD1">
        <w:rPr>
          <w:b/>
          <w:i/>
          <w:lang w:val="lt-LT"/>
        </w:rPr>
        <w:t>vandentiekio tinkl</w:t>
      </w:r>
      <w:r w:rsidR="00D60B82" w:rsidRPr="001E0AD1">
        <w:rPr>
          <w:b/>
          <w:i/>
          <w:lang w:val="lt-LT"/>
        </w:rPr>
        <w:t>ų</w:t>
      </w:r>
      <w:r w:rsidR="00F96330" w:rsidRPr="001E0AD1">
        <w:rPr>
          <w:b/>
          <w:i/>
          <w:lang w:val="lt-LT"/>
        </w:rPr>
        <w:t xml:space="preserve"> Stakliškėse, taip pat rekonstruoti Prienuose Stadiono g. ir Basanavičiaus g. vandentiekio tinklus. Bendra šio projekto vertė – </w:t>
      </w:r>
      <w:r w:rsidR="00712B9D" w:rsidRPr="001E0AD1">
        <w:rPr>
          <w:b/>
          <w:i/>
          <w:lang w:val="lt-LT"/>
        </w:rPr>
        <w:t xml:space="preserve">3118120 </w:t>
      </w:r>
      <w:r w:rsidR="00F96330" w:rsidRPr="001E0AD1">
        <w:rPr>
          <w:b/>
          <w:i/>
          <w:lang w:val="lt-LT"/>
        </w:rPr>
        <w:t xml:space="preserve">Eur, iš jų 2316786 Eur planuojama gauti iš ES paramos fondų, o likusią dalį </w:t>
      </w:r>
      <w:r w:rsidR="00712B9D" w:rsidRPr="001E0AD1">
        <w:rPr>
          <w:b/>
          <w:i/>
          <w:lang w:val="lt-LT"/>
        </w:rPr>
        <w:t xml:space="preserve">851883 </w:t>
      </w:r>
      <w:r w:rsidR="00406209" w:rsidRPr="001E0AD1">
        <w:rPr>
          <w:b/>
          <w:i/>
          <w:lang w:val="lt-LT"/>
        </w:rPr>
        <w:t>Eur</w:t>
      </w:r>
      <w:r w:rsidR="00F96330" w:rsidRPr="001E0AD1">
        <w:rPr>
          <w:b/>
          <w:i/>
          <w:lang w:val="lt-LT"/>
        </w:rPr>
        <w:t xml:space="preserve">teks </w:t>
      </w:r>
      <w:r w:rsidR="00D60B82" w:rsidRPr="001E0AD1">
        <w:rPr>
          <w:b/>
          <w:i/>
          <w:lang w:val="lt-LT"/>
        </w:rPr>
        <w:t>padengti</w:t>
      </w:r>
      <w:r w:rsidR="00406209" w:rsidRPr="001E0AD1">
        <w:rPr>
          <w:b/>
          <w:i/>
          <w:lang w:val="lt-LT"/>
        </w:rPr>
        <w:t xml:space="preserve">Bendrovės ir Prienų rajono savivaldybės lėšomis. </w:t>
      </w:r>
    </w:p>
    <w:p w:rsidR="005155BE" w:rsidRPr="001E0AD1" w:rsidRDefault="005155BE" w:rsidP="00F21764">
      <w:pPr>
        <w:spacing w:before="360" w:after="360" w:line="360" w:lineRule="auto"/>
        <w:ind w:firstLine="851"/>
        <w:jc w:val="center"/>
        <w:rPr>
          <w:b/>
          <w:bCs/>
          <w:i/>
          <w:iCs/>
          <w:caps/>
          <w:sz w:val="28"/>
          <w:szCs w:val="28"/>
          <w:lang w:val="lt-LT"/>
        </w:rPr>
      </w:pPr>
      <w:r w:rsidRPr="001E0AD1">
        <w:rPr>
          <w:b/>
          <w:bCs/>
          <w:i/>
          <w:iCs/>
          <w:caps/>
          <w:sz w:val="28"/>
          <w:szCs w:val="28"/>
          <w:lang w:val="lt-LT"/>
        </w:rPr>
        <w:t>BENDROVĖS VALDYMAS</w:t>
      </w:r>
    </w:p>
    <w:p w:rsidR="005155BE" w:rsidRPr="001E0AD1" w:rsidRDefault="005155BE" w:rsidP="00752B53">
      <w:pPr>
        <w:pStyle w:val="BodyTextIndent"/>
        <w:rPr>
          <w:b/>
          <w:bCs/>
          <w:i/>
          <w:iCs/>
        </w:rPr>
      </w:pPr>
      <w:r w:rsidRPr="001E0AD1">
        <w:rPr>
          <w:b/>
          <w:bCs/>
          <w:i/>
          <w:iCs/>
        </w:rPr>
        <w:t>Bendrovės įstatuose numatyta, jog bendrovės valdymo organai yra trys: visuotinis akcininkų susirinkimas, valdyba ir Bendrovės vadovas (direktorius).</w:t>
      </w:r>
    </w:p>
    <w:p w:rsidR="005155BE" w:rsidRPr="001E0AD1" w:rsidRDefault="005155BE" w:rsidP="00752B53">
      <w:pPr>
        <w:pStyle w:val="BodyTextIndent"/>
        <w:rPr>
          <w:b/>
          <w:bCs/>
          <w:i/>
          <w:iCs/>
        </w:rPr>
      </w:pPr>
      <w:r w:rsidRPr="001E0AD1">
        <w:rPr>
          <w:b/>
          <w:bCs/>
          <w:i/>
          <w:iCs/>
        </w:rPr>
        <w:t>Visuotinis akcininkų susirinkimas – aukščiausias Bendrovės organas. Visos bendrovės akcijos priklauso Prienų rajono savivaldybės tarybai, kuri akcijų valdymą yra pavedusi Prienų rajono savivaldybės administracijos direktoriui</w:t>
      </w:r>
      <w:r w:rsidR="003F7719" w:rsidRPr="001E0AD1">
        <w:rPr>
          <w:b/>
          <w:bCs/>
          <w:i/>
          <w:iCs/>
        </w:rPr>
        <w:t>.</w:t>
      </w:r>
    </w:p>
    <w:p w:rsidR="00F8229A" w:rsidRPr="001E0AD1" w:rsidRDefault="005155BE" w:rsidP="00A90CC1">
      <w:pPr>
        <w:pStyle w:val="BodyTextIndent"/>
        <w:ind w:firstLine="851"/>
        <w:rPr>
          <w:b/>
          <w:bCs/>
          <w:i/>
          <w:iCs/>
        </w:rPr>
      </w:pPr>
      <w:r w:rsidRPr="001E0AD1">
        <w:rPr>
          <w:b/>
          <w:bCs/>
          <w:i/>
          <w:iCs/>
        </w:rPr>
        <w:t>Bendrovės valdybą sudaro 3 (trys) nariai, renkami 4 (ketverių) metų laikotarpiui. Valdyba iš savo narių renka valdybos pirmininką. Valdyba savo funkcijas atlieka įstatuose nustatytą laiką arba iki bus išrinkt</w:t>
      </w:r>
      <w:r w:rsidR="00A90CC1">
        <w:rPr>
          <w:b/>
          <w:bCs/>
          <w:i/>
          <w:iCs/>
        </w:rPr>
        <w:t>a ir pradės dirbti nauja valdyba.</w:t>
      </w:r>
    </w:p>
    <w:p w:rsidR="00A90CC1" w:rsidRDefault="00AD4C99" w:rsidP="00A90CC1">
      <w:pPr>
        <w:pStyle w:val="BodyTextIndent"/>
        <w:ind w:firstLine="0"/>
        <w:rPr>
          <w:b/>
          <w:bCs/>
          <w:i/>
          <w:iCs/>
          <w:caps/>
          <w:sz w:val="28"/>
          <w:szCs w:val="28"/>
        </w:rPr>
      </w:pPr>
      <w:r>
        <w:rPr>
          <w:b/>
          <w:bCs/>
          <w:i/>
          <w:iCs/>
          <w:caps/>
          <w:noProof/>
          <w:sz w:val="28"/>
          <w:szCs w:val="28"/>
          <w:lang w:eastAsia="lt-LT"/>
        </w:rPr>
        <w:lastRenderedPageBreak/>
        <w:pict>
          <v:shape id="Text Box 136" o:spid="_x0000_s1027" type="#_x0000_t202" style="position:absolute;left:0;text-align:left;margin-left:229.95pt;margin-top:292.85pt;width:218.25pt;height:16.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" stroked="f">
            <v:textbox>
              <w:txbxContent>
                <w:p w:rsidR="00B146B7" w:rsidRPr="00B146B7" w:rsidRDefault="00B146B7" w:rsidP="00B146B7">
                  <w:pPr>
                    <w:rPr>
                      <w:i/>
                      <w:sz w:val="16"/>
                      <w:szCs w:val="16"/>
                      <w:lang w:val="lt-LT"/>
                    </w:rPr>
                  </w:pPr>
                  <w:r>
                    <w:rPr>
                      <w:i/>
                      <w:sz w:val="16"/>
                      <w:szCs w:val="16"/>
                      <w:lang w:val="lt-LT"/>
                    </w:rPr>
                    <w:t>2</w:t>
                  </w:r>
                  <w:r w:rsidRPr="00B146B7">
                    <w:rPr>
                      <w:i/>
                      <w:sz w:val="16"/>
                      <w:szCs w:val="16"/>
                      <w:lang w:val="lt-LT"/>
                    </w:rPr>
                    <w:t xml:space="preserve"> paveikslėlis. </w:t>
                  </w:r>
                  <w:r>
                    <w:rPr>
                      <w:i/>
                      <w:sz w:val="16"/>
                      <w:szCs w:val="16"/>
                      <w:lang w:val="lt-LT"/>
                    </w:rPr>
                    <w:t>UAB „Prienų vandenys“ valdymo schema</w:t>
                  </w:r>
                </w:p>
              </w:txbxContent>
            </v:textbox>
          </v:shape>
        </w:pict>
      </w:r>
      <w:r w:rsidR="00A90CC1" w:rsidRPr="001E0AD1">
        <w:rPr>
          <w:noProof/>
          <w:lang w:eastAsia="lt-LT"/>
        </w:rPr>
        <w:drawing>
          <wp:anchor distT="0" distB="0" distL="114300" distR="114300" simplePos="0" relativeHeight="251651584" behindDoc="0" locked="0" layoutInCell="1" allowOverlap="1">
            <wp:simplePos x="0" y="0"/>
            <wp:positionH relativeFrom="column">
              <wp:posOffset>-3810</wp:posOffset>
            </wp:positionH>
            <wp:positionV relativeFrom="paragraph">
              <wp:posOffset>-290830</wp:posOffset>
            </wp:positionV>
            <wp:extent cx="5972175" cy="3914775"/>
            <wp:effectExtent l="19050" t="19050" r="28575" b="28575"/>
            <wp:wrapSquare wrapText="bothSides"/>
            <wp:docPr id="126" name="Picture 126" descr="valdymo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valdymo schema"/>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2175" cy="3914775"/>
                    </a:xfrm>
                    <a:prstGeom prst="rect">
                      <a:avLst/>
                    </a:prstGeom>
                    <a:noFill/>
                    <a:ln>
                      <a:solidFill>
                        <a:srgbClr val="0070C0"/>
                      </a:solidFill>
                    </a:ln>
                  </pic:spPr>
                </pic:pic>
              </a:graphicData>
            </a:graphic>
          </wp:anchor>
        </w:drawing>
      </w:r>
    </w:p>
    <w:p w:rsidR="00A90CC1" w:rsidRDefault="00A90CC1" w:rsidP="00A90CC1">
      <w:pPr>
        <w:pStyle w:val="BodyTextIndent"/>
        <w:ind w:firstLine="0"/>
        <w:rPr>
          <w:b/>
          <w:bCs/>
          <w:i/>
          <w:iCs/>
          <w:caps/>
          <w:sz w:val="28"/>
          <w:szCs w:val="28"/>
        </w:rPr>
      </w:pPr>
    </w:p>
    <w:p w:rsidR="005155BE" w:rsidRPr="001E0AD1" w:rsidRDefault="005155BE" w:rsidP="00A90CC1">
      <w:pPr>
        <w:pStyle w:val="BodyTextIndent"/>
        <w:ind w:firstLine="0"/>
        <w:jc w:val="center"/>
        <w:rPr>
          <w:b/>
          <w:bCs/>
          <w:i/>
          <w:iCs/>
          <w:caps/>
          <w:sz w:val="28"/>
          <w:szCs w:val="28"/>
        </w:rPr>
      </w:pPr>
      <w:r w:rsidRPr="001E0AD1">
        <w:rPr>
          <w:b/>
          <w:bCs/>
          <w:i/>
          <w:iCs/>
          <w:caps/>
          <w:sz w:val="28"/>
          <w:szCs w:val="28"/>
        </w:rPr>
        <w:t>DARBUOTOJAI</w:t>
      </w:r>
    </w:p>
    <w:p w:rsidR="005155BE" w:rsidRPr="001E0AD1" w:rsidRDefault="00A74809" w:rsidP="00F21764">
      <w:pPr>
        <w:pStyle w:val="BodyTextIndent"/>
        <w:ind w:firstLine="851"/>
        <w:rPr>
          <w:b/>
          <w:bCs/>
          <w:i/>
          <w:iCs/>
        </w:rPr>
      </w:pPr>
      <w:r w:rsidRPr="001E0AD1">
        <w:rPr>
          <w:noProof/>
          <w:lang w:eastAsia="lt-LT"/>
        </w:rPr>
        <w:drawing>
          <wp:anchor distT="0" distB="0" distL="114300" distR="114300" simplePos="0" relativeHeight="251652608" behindDoc="0" locked="0" layoutInCell="1" allowOverlap="1">
            <wp:simplePos x="0" y="0"/>
            <wp:positionH relativeFrom="column">
              <wp:posOffset>34290</wp:posOffset>
            </wp:positionH>
            <wp:positionV relativeFrom="paragraph">
              <wp:posOffset>356235</wp:posOffset>
            </wp:positionV>
            <wp:extent cx="3419475" cy="2837815"/>
            <wp:effectExtent l="0" t="0" r="9525" b="635"/>
            <wp:wrapSquare wrapText="bothSides"/>
            <wp:docPr id="1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9475" cy="2837815"/>
                    </a:xfrm>
                    <a:prstGeom prst="rect">
                      <a:avLst/>
                    </a:prstGeom>
                    <a:noFill/>
                    <a:ln>
                      <a:noFill/>
                    </a:ln>
                  </pic:spPr>
                </pic:pic>
              </a:graphicData>
            </a:graphic>
          </wp:anchor>
        </w:drawing>
      </w:r>
      <w:r w:rsidR="00D31B57" w:rsidRPr="001E0AD1">
        <w:rPr>
          <w:b/>
          <w:bCs/>
          <w:i/>
          <w:iCs/>
        </w:rPr>
        <w:t>Per 201</w:t>
      </w:r>
      <w:r w:rsidR="00CB4424" w:rsidRPr="001E0AD1">
        <w:rPr>
          <w:b/>
          <w:bCs/>
          <w:i/>
          <w:iCs/>
        </w:rPr>
        <w:t>5</w:t>
      </w:r>
      <w:r w:rsidR="00D31B57" w:rsidRPr="001E0AD1">
        <w:rPr>
          <w:b/>
          <w:bCs/>
          <w:i/>
          <w:iCs/>
        </w:rPr>
        <w:t xml:space="preserve"> m. darbu</w:t>
      </w:r>
      <w:r w:rsidR="00EB25D5" w:rsidRPr="001E0AD1">
        <w:rPr>
          <w:b/>
          <w:bCs/>
          <w:i/>
          <w:iCs/>
        </w:rPr>
        <w:t xml:space="preserve">otojų kaitos </w:t>
      </w:r>
      <w:r w:rsidR="00BE3A8D" w:rsidRPr="001E0AD1">
        <w:rPr>
          <w:b/>
          <w:bCs/>
          <w:i/>
          <w:iCs/>
        </w:rPr>
        <w:t>beveik</w:t>
      </w:r>
      <w:r w:rsidR="00EB25D5" w:rsidRPr="001E0AD1">
        <w:rPr>
          <w:b/>
          <w:bCs/>
          <w:i/>
          <w:iCs/>
        </w:rPr>
        <w:t xml:space="preserve"> nebuvo. </w:t>
      </w:r>
      <w:r w:rsidR="005155BE" w:rsidRPr="001E0AD1">
        <w:rPr>
          <w:b/>
          <w:bCs/>
          <w:i/>
          <w:iCs/>
        </w:rPr>
        <w:t>201</w:t>
      </w:r>
      <w:r w:rsidR="00CB4424" w:rsidRPr="001E0AD1">
        <w:rPr>
          <w:b/>
          <w:bCs/>
          <w:i/>
          <w:iCs/>
        </w:rPr>
        <w:t>5</w:t>
      </w:r>
      <w:r w:rsidR="005155BE" w:rsidRPr="001E0AD1">
        <w:rPr>
          <w:b/>
          <w:bCs/>
          <w:i/>
          <w:iCs/>
        </w:rPr>
        <w:t xml:space="preserve"> m. gruodžio 31 d. Bendrovėje dirbo 3</w:t>
      </w:r>
      <w:r w:rsidR="00CB4424" w:rsidRPr="001E0AD1">
        <w:rPr>
          <w:b/>
          <w:bCs/>
          <w:i/>
          <w:iCs/>
        </w:rPr>
        <w:t>8</w:t>
      </w:r>
      <w:r w:rsidR="005155BE" w:rsidRPr="001E0AD1">
        <w:rPr>
          <w:b/>
          <w:bCs/>
          <w:i/>
          <w:iCs/>
        </w:rPr>
        <w:t xml:space="preserve"> darbuotojai: </w:t>
      </w:r>
      <w:r w:rsidR="00CB4424" w:rsidRPr="001E0AD1">
        <w:rPr>
          <w:b/>
          <w:bCs/>
          <w:i/>
          <w:iCs/>
        </w:rPr>
        <w:t>6</w:t>
      </w:r>
      <w:r w:rsidR="005155BE" w:rsidRPr="001E0AD1">
        <w:rPr>
          <w:b/>
          <w:bCs/>
          <w:i/>
          <w:iCs/>
        </w:rPr>
        <w:t xml:space="preserve"> – administracijos darbuotojai; 3 – pardavimų veiklos darbuotojai; </w:t>
      </w:r>
      <w:r w:rsidR="006B32C7" w:rsidRPr="001E0AD1">
        <w:rPr>
          <w:b/>
          <w:bCs/>
          <w:i/>
          <w:iCs/>
        </w:rPr>
        <w:t>29</w:t>
      </w:r>
      <w:r w:rsidR="005155BE" w:rsidRPr="001E0AD1">
        <w:rPr>
          <w:b/>
          <w:bCs/>
          <w:i/>
          <w:iCs/>
        </w:rPr>
        <w:t xml:space="preserve"> – darbininkai bei linijinio personalo darbuotojai. Daugiausiai darbuotojų yrasutelkta pagrindinėje veikloje, t. y. vandens p</w:t>
      </w:r>
      <w:r w:rsidR="00844E7A" w:rsidRPr="001E0AD1">
        <w:rPr>
          <w:b/>
          <w:bCs/>
          <w:i/>
          <w:iCs/>
        </w:rPr>
        <w:t xml:space="preserve">ristatymebei nuotekų surinkime. </w:t>
      </w:r>
    </w:p>
    <w:p w:rsidR="004F76E3" w:rsidRPr="001E0AD1" w:rsidRDefault="00AD4C99" w:rsidP="00B146B7">
      <w:pPr>
        <w:pStyle w:val="BodyTextIndent"/>
        <w:ind w:firstLine="851"/>
        <w:rPr>
          <w:b/>
          <w:bCs/>
          <w:i/>
          <w:iCs/>
        </w:rPr>
      </w:pPr>
      <w:r>
        <w:rPr>
          <w:b/>
          <w:bCs/>
          <w:i/>
          <w:iCs/>
          <w:noProof/>
          <w:lang w:eastAsia="lt-LT"/>
        </w:rPr>
        <w:pict>
          <v:shape id="Text Box 137" o:spid="_x0000_s1028" type="#_x0000_t202" style="position:absolute;left:0;text-align:left;margin-left:-297pt;margin-top:65.2pt;width:291.75pt;height:29.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" stroked="f">
            <v:textbox>
              <w:txbxContent>
                <w:p w:rsidR="00B146B7" w:rsidRPr="00B146B7" w:rsidRDefault="00B146B7" w:rsidP="00B146B7">
                  <w:pPr>
                    <w:rPr>
                      <w:i/>
                      <w:sz w:val="16"/>
                      <w:szCs w:val="16"/>
                      <w:lang w:val="lt-LT"/>
                    </w:rPr>
                  </w:pPr>
                  <w:r w:rsidRPr="00B146B7">
                    <w:rPr>
                      <w:i/>
                      <w:sz w:val="16"/>
                      <w:szCs w:val="16"/>
                      <w:lang w:val="lt-LT"/>
                    </w:rPr>
                    <w:t xml:space="preserve">1 </w:t>
                  </w:r>
                  <w:r w:rsidR="00E77DC1">
                    <w:rPr>
                      <w:i/>
                      <w:sz w:val="16"/>
                      <w:szCs w:val="16"/>
                      <w:lang w:val="lt-LT"/>
                    </w:rPr>
                    <w:t>diagrama</w:t>
                  </w:r>
                  <w:r w:rsidRPr="00B146B7">
                    <w:rPr>
                      <w:i/>
                      <w:sz w:val="16"/>
                      <w:szCs w:val="16"/>
                      <w:lang w:val="lt-LT"/>
                    </w:rPr>
                    <w:t xml:space="preserve">. </w:t>
                  </w:r>
                  <w:r>
                    <w:rPr>
                      <w:i/>
                      <w:sz w:val="16"/>
                      <w:szCs w:val="16"/>
                      <w:lang w:val="lt-LT"/>
                    </w:rPr>
                    <w:t>UAB „Prienų vandenys“ darbuotojų pasiskirstymas pagal veiklos sritis</w:t>
                  </w:r>
                </w:p>
              </w:txbxContent>
            </v:textbox>
            <w10:wrap type="square"/>
          </v:shape>
        </w:pict>
      </w:r>
      <w:r w:rsidR="00844E7A" w:rsidRPr="001E0AD1">
        <w:rPr>
          <w:b/>
          <w:bCs/>
          <w:i/>
          <w:iCs/>
        </w:rPr>
        <w:t xml:space="preserve">Tik du Bendrovės darbuotojai dirba ne pilnu etatu. Darbuotojams suteikiamos visos </w:t>
      </w:r>
      <w:r w:rsidR="00844E7A" w:rsidRPr="001E0AD1">
        <w:rPr>
          <w:b/>
          <w:bCs/>
          <w:i/>
          <w:iCs/>
        </w:rPr>
        <w:lastRenderedPageBreak/>
        <w:t xml:space="preserve">garantijos, numatytos pagal Lietuvos Respublikos darbo kodeksą </w:t>
      </w:r>
      <w:r w:rsidR="00B146B7" w:rsidRPr="001E0AD1">
        <w:rPr>
          <w:b/>
          <w:bCs/>
          <w:i/>
          <w:iCs/>
        </w:rPr>
        <w:t>b</w:t>
      </w:r>
      <w:r w:rsidR="00844E7A" w:rsidRPr="001E0AD1">
        <w:rPr>
          <w:b/>
          <w:bCs/>
          <w:i/>
          <w:iCs/>
        </w:rPr>
        <w:t>ei kitus su darbo teise susijusius įstatyminius aktus.</w:t>
      </w:r>
      <w:r w:rsidR="00356E7F" w:rsidRPr="001E0AD1">
        <w:rPr>
          <w:b/>
          <w:bCs/>
          <w:i/>
          <w:iCs/>
        </w:rPr>
        <w:t xml:space="preserve"> Visi įmonėje dirbantys darbuotojai gauna didesnį nei minimalųjį mėnesinį darbo užmokestį. </w:t>
      </w:r>
      <w:r w:rsidR="00844E7A" w:rsidRPr="001E0AD1">
        <w:rPr>
          <w:b/>
          <w:bCs/>
          <w:i/>
          <w:iCs/>
        </w:rPr>
        <w:t>Kaip matyti iš žemiau pateik</w:t>
      </w:r>
      <w:r w:rsidR="0084597D" w:rsidRPr="001E0AD1">
        <w:rPr>
          <w:b/>
          <w:bCs/>
          <w:i/>
          <w:iCs/>
        </w:rPr>
        <w:t>t</w:t>
      </w:r>
      <w:r w:rsidR="00844E7A" w:rsidRPr="001E0AD1">
        <w:rPr>
          <w:b/>
          <w:bCs/>
          <w:i/>
          <w:iCs/>
        </w:rPr>
        <w:t>os ketvirtinės vidutinių atlyginimų lentelės,</w:t>
      </w:r>
      <w:r w:rsidR="0084597D" w:rsidRPr="001E0AD1">
        <w:rPr>
          <w:b/>
          <w:bCs/>
          <w:i/>
          <w:iCs/>
        </w:rPr>
        <w:t xml:space="preserve"> vidutinis mėnesinis atlyginima</w:t>
      </w:r>
      <w:r w:rsidR="00844E7A" w:rsidRPr="001E0AD1">
        <w:rPr>
          <w:b/>
          <w:bCs/>
          <w:i/>
          <w:iCs/>
        </w:rPr>
        <w:t xml:space="preserve">sviršija minimalųjį darbo užmokestį, kuris </w:t>
      </w:r>
      <w:r w:rsidR="00CB4424" w:rsidRPr="001E0AD1">
        <w:rPr>
          <w:b/>
          <w:bCs/>
          <w:i/>
          <w:iCs/>
        </w:rPr>
        <w:t>per 2015 m. keitėsi net du kartus</w:t>
      </w:r>
      <w:r w:rsidR="00844E7A" w:rsidRPr="001E0AD1">
        <w:rPr>
          <w:b/>
          <w:bCs/>
          <w:i/>
          <w:iCs/>
        </w:rPr>
        <w:t>.</w:t>
      </w:r>
    </w:p>
    <w:tbl>
      <w:tblPr>
        <w:tblW w:w="101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9"/>
        <w:gridCol w:w="572"/>
        <w:gridCol w:w="1418"/>
        <w:gridCol w:w="567"/>
        <w:gridCol w:w="1701"/>
        <w:gridCol w:w="567"/>
        <w:gridCol w:w="1559"/>
        <w:gridCol w:w="567"/>
        <w:gridCol w:w="1559"/>
      </w:tblGrid>
      <w:tr w:rsidR="00CB4424" w:rsidRPr="001E0AD1" w:rsidTr="0060246C">
        <w:tc>
          <w:tcPr>
            <w:tcW w:w="1649" w:type="dxa"/>
            <w:shd w:val="clear" w:color="auto" w:fill="auto"/>
          </w:tcPr>
          <w:p w:rsidR="00CB4424" w:rsidRPr="001E0AD1" w:rsidRDefault="00CB4424" w:rsidP="0034543E">
            <w:pPr>
              <w:pStyle w:val="BodyTextIndent"/>
              <w:ind w:firstLine="0"/>
              <w:jc w:val="center"/>
              <w:rPr>
                <w:rFonts w:eastAsia="Calibri"/>
                <w:b/>
                <w:bCs/>
                <w:iCs/>
                <w:sz w:val="20"/>
                <w:szCs w:val="20"/>
              </w:rPr>
            </w:pPr>
          </w:p>
        </w:tc>
        <w:tc>
          <w:tcPr>
            <w:tcW w:w="1990" w:type="dxa"/>
            <w:gridSpan w:val="2"/>
            <w:shd w:val="clear" w:color="auto" w:fill="auto"/>
            <w:vAlign w:val="center"/>
          </w:tcPr>
          <w:p w:rsidR="00CB4424" w:rsidRPr="001E0AD1" w:rsidRDefault="00CB4424" w:rsidP="0060246C">
            <w:pPr>
              <w:jc w:val="center"/>
              <w:rPr>
                <w:sz w:val="20"/>
                <w:szCs w:val="20"/>
                <w:lang w:val="lt-LT"/>
              </w:rPr>
            </w:pPr>
            <w:r w:rsidRPr="001E0AD1">
              <w:rPr>
                <w:sz w:val="20"/>
                <w:szCs w:val="20"/>
                <w:lang w:val="lt-LT"/>
              </w:rPr>
              <w:t>I ketvirtis</w:t>
            </w:r>
          </w:p>
        </w:tc>
        <w:tc>
          <w:tcPr>
            <w:tcW w:w="2268" w:type="dxa"/>
            <w:gridSpan w:val="2"/>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II ketvirtis</w:t>
            </w:r>
          </w:p>
        </w:tc>
        <w:tc>
          <w:tcPr>
            <w:tcW w:w="2126" w:type="dxa"/>
            <w:gridSpan w:val="2"/>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III ketvirtis</w:t>
            </w:r>
          </w:p>
        </w:tc>
        <w:tc>
          <w:tcPr>
            <w:tcW w:w="2126" w:type="dxa"/>
            <w:gridSpan w:val="2"/>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IV ketvirtis</w:t>
            </w:r>
          </w:p>
        </w:tc>
      </w:tr>
      <w:tr w:rsidR="00CB4424" w:rsidRPr="001E0AD1" w:rsidTr="00CB4424">
        <w:trPr>
          <w:cantSplit/>
          <w:trHeight w:val="1480"/>
        </w:trPr>
        <w:tc>
          <w:tcPr>
            <w:tcW w:w="1649" w:type="dxa"/>
            <w:shd w:val="clear" w:color="auto" w:fill="auto"/>
            <w:vAlign w:val="center"/>
          </w:tcPr>
          <w:p w:rsidR="00503396" w:rsidRPr="001E0AD1" w:rsidRDefault="00503396" w:rsidP="0034543E">
            <w:pPr>
              <w:spacing w:line="180" w:lineRule="atLeast"/>
              <w:jc w:val="center"/>
              <w:rPr>
                <w:rFonts w:eastAsia="Calibri"/>
                <w:b/>
                <w:sz w:val="20"/>
                <w:szCs w:val="20"/>
                <w:lang w:val="lt-LT"/>
              </w:rPr>
            </w:pPr>
          </w:p>
        </w:tc>
        <w:tc>
          <w:tcPr>
            <w:tcW w:w="572" w:type="dxa"/>
            <w:shd w:val="clear" w:color="auto" w:fill="auto"/>
            <w:textDirection w:val="btLr"/>
            <w:vAlign w:val="center"/>
          </w:tcPr>
          <w:p w:rsidR="00503396" w:rsidRPr="001E0AD1" w:rsidRDefault="00503396" w:rsidP="0034543E">
            <w:pPr>
              <w:spacing w:line="180" w:lineRule="atLeast"/>
              <w:ind w:left="113" w:right="113"/>
              <w:jc w:val="center"/>
              <w:rPr>
                <w:rFonts w:eastAsia="Calibri"/>
                <w:b/>
                <w:sz w:val="20"/>
                <w:szCs w:val="20"/>
                <w:lang w:val="lt-LT"/>
              </w:rPr>
            </w:pPr>
            <w:r w:rsidRPr="001E0AD1">
              <w:rPr>
                <w:rFonts w:eastAsia="Calibri"/>
                <w:b/>
                <w:sz w:val="20"/>
                <w:szCs w:val="20"/>
                <w:lang w:val="lt-LT"/>
              </w:rPr>
              <w:t>Darbuotojų skaičius</w:t>
            </w:r>
          </w:p>
        </w:tc>
        <w:tc>
          <w:tcPr>
            <w:tcW w:w="1418" w:type="dxa"/>
            <w:shd w:val="clear" w:color="auto" w:fill="auto"/>
            <w:textDirection w:val="btLr"/>
            <w:vAlign w:val="center"/>
          </w:tcPr>
          <w:p w:rsidR="00503396" w:rsidRPr="001E0AD1" w:rsidRDefault="0084597D" w:rsidP="0034543E">
            <w:pPr>
              <w:spacing w:line="180" w:lineRule="atLeast"/>
              <w:ind w:left="113" w:right="113"/>
              <w:jc w:val="center"/>
              <w:rPr>
                <w:rFonts w:eastAsia="Calibri"/>
                <w:b/>
                <w:sz w:val="20"/>
                <w:szCs w:val="20"/>
                <w:lang w:val="lt-LT"/>
              </w:rPr>
            </w:pPr>
            <w:r w:rsidRPr="001E0AD1">
              <w:rPr>
                <w:rFonts w:eastAsia="Calibri"/>
                <w:b/>
                <w:sz w:val="20"/>
                <w:szCs w:val="20"/>
                <w:lang w:val="lt-LT"/>
              </w:rPr>
              <w:t>Priskaičiuotas vidutinis mėne</w:t>
            </w:r>
            <w:r w:rsidR="00503396" w:rsidRPr="001E0AD1">
              <w:rPr>
                <w:rFonts w:eastAsia="Calibri"/>
                <w:b/>
                <w:sz w:val="20"/>
                <w:szCs w:val="20"/>
                <w:lang w:val="lt-LT"/>
              </w:rPr>
              <w:t>sio darbo užmokestis</w:t>
            </w:r>
          </w:p>
        </w:tc>
        <w:tc>
          <w:tcPr>
            <w:tcW w:w="567" w:type="dxa"/>
            <w:shd w:val="clear" w:color="auto" w:fill="auto"/>
            <w:textDirection w:val="btLr"/>
            <w:vAlign w:val="center"/>
          </w:tcPr>
          <w:p w:rsidR="00503396" w:rsidRPr="001E0AD1" w:rsidRDefault="00503396" w:rsidP="0034543E">
            <w:pPr>
              <w:spacing w:line="180" w:lineRule="atLeast"/>
              <w:ind w:left="113" w:right="113"/>
              <w:jc w:val="center"/>
              <w:rPr>
                <w:rFonts w:eastAsia="Calibri"/>
                <w:b/>
                <w:sz w:val="20"/>
                <w:szCs w:val="20"/>
                <w:lang w:val="lt-LT"/>
              </w:rPr>
            </w:pPr>
            <w:r w:rsidRPr="001E0AD1">
              <w:rPr>
                <w:rFonts w:eastAsia="Calibri"/>
                <w:b/>
                <w:sz w:val="20"/>
                <w:szCs w:val="20"/>
                <w:lang w:val="lt-LT"/>
              </w:rPr>
              <w:t>Darbuotojų skaičius</w:t>
            </w:r>
          </w:p>
        </w:tc>
        <w:tc>
          <w:tcPr>
            <w:tcW w:w="1701" w:type="dxa"/>
            <w:shd w:val="clear" w:color="auto" w:fill="auto"/>
            <w:textDirection w:val="btLr"/>
            <w:vAlign w:val="center"/>
          </w:tcPr>
          <w:p w:rsidR="00503396" w:rsidRPr="001E0AD1" w:rsidRDefault="00503396" w:rsidP="0084597D">
            <w:pPr>
              <w:spacing w:line="180" w:lineRule="atLeast"/>
              <w:ind w:left="113" w:right="113"/>
              <w:jc w:val="center"/>
              <w:rPr>
                <w:rFonts w:eastAsia="Calibri"/>
                <w:b/>
                <w:sz w:val="20"/>
                <w:szCs w:val="20"/>
                <w:lang w:val="lt-LT"/>
              </w:rPr>
            </w:pPr>
            <w:r w:rsidRPr="001E0AD1">
              <w:rPr>
                <w:rFonts w:eastAsia="Calibri"/>
                <w:b/>
                <w:sz w:val="20"/>
                <w:szCs w:val="20"/>
                <w:lang w:val="lt-LT"/>
              </w:rPr>
              <w:t>Priskaičiuotas vidutinis mėn</w:t>
            </w:r>
            <w:r w:rsidR="0084597D" w:rsidRPr="001E0AD1">
              <w:rPr>
                <w:rFonts w:eastAsia="Calibri"/>
                <w:b/>
                <w:sz w:val="20"/>
                <w:szCs w:val="20"/>
                <w:lang w:val="lt-LT"/>
              </w:rPr>
              <w:t>e</w:t>
            </w:r>
            <w:r w:rsidRPr="001E0AD1">
              <w:rPr>
                <w:rFonts w:eastAsia="Calibri"/>
                <w:b/>
                <w:sz w:val="20"/>
                <w:szCs w:val="20"/>
                <w:lang w:val="lt-LT"/>
              </w:rPr>
              <w:t>sio darbo užmokestis</w:t>
            </w:r>
          </w:p>
        </w:tc>
        <w:tc>
          <w:tcPr>
            <w:tcW w:w="567" w:type="dxa"/>
            <w:shd w:val="clear" w:color="auto" w:fill="auto"/>
            <w:textDirection w:val="btLr"/>
            <w:vAlign w:val="center"/>
          </w:tcPr>
          <w:p w:rsidR="00503396" w:rsidRPr="001E0AD1" w:rsidRDefault="00503396" w:rsidP="0034543E">
            <w:pPr>
              <w:spacing w:line="180" w:lineRule="atLeast"/>
              <w:ind w:left="113" w:right="113"/>
              <w:jc w:val="center"/>
              <w:rPr>
                <w:rFonts w:eastAsia="Calibri"/>
                <w:b/>
                <w:sz w:val="20"/>
                <w:szCs w:val="20"/>
                <w:lang w:val="lt-LT"/>
              </w:rPr>
            </w:pPr>
            <w:r w:rsidRPr="001E0AD1">
              <w:rPr>
                <w:rFonts w:eastAsia="Calibri"/>
                <w:b/>
                <w:sz w:val="20"/>
                <w:szCs w:val="20"/>
                <w:lang w:val="lt-LT"/>
              </w:rPr>
              <w:t>Darbuotojų skaičius</w:t>
            </w:r>
          </w:p>
        </w:tc>
        <w:tc>
          <w:tcPr>
            <w:tcW w:w="1559" w:type="dxa"/>
            <w:shd w:val="clear" w:color="auto" w:fill="auto"/>
            <w:textDirection w:val="btLr"/>
            <w:vAlign w:val="center"/>
          </w:tcPr>
          <w:p w:rsidR="00503396" w:rsidRPr="001E0AD1" w:rsidRDefault="00503396" w:rsidP="0084597D">
            <w:pPr>
              <w:spacing w:line="180" w:lineRule="atLeast"/>
              <w:ind w:left="113" w:right="113"/>
              <w:jc w:val="center"/>
              <w:rPr>
                <w:rFonts w:eastAsia="Calibri"/>
                <w:b/>
                <w:sz w:val="20"/>
                <w:szCs w:val="20"/>
                <w:lang w:val="lt-LT"/>
              </w:rPr>
            </w:pPr>
            <w:r w:rsidRPr="001E0AD1">
              <w:rPr>
                <w:rFonts w:eastAsia="Calibri"/>
                <w:b/>
                <w:sz w:val="20"/>
                <w:szCs w:val="20"/>
                <w:lang w:val="lt-LT"/>
              </w:rPr>
              <w:t>Priskaičiuotas vidutinis mėn</w:t>
            </w:r>
            <w:r w:rsidR="0084597D" w:rsidRPr="001E0AD1">
              <w:rPr>
                <w:rFonts w:eastAsia="Calibri"/>
                <w:b/>
                <w:sz w:val="20"/>
                <w:szCs w:val="20"/>
                <w:lang w:val="lt-LT"/>
              </w:rPr>
              <w:t>e</w:t>
            </w:r>
            <w:r w:rsidRPr="001E0AD1">
              <w:rPr>
                <w:rFonts w:eastAsia="Calibri"/>
                <w:b/>
                <w:sz w:val="20"/>
                <w:szCs w:val="20"/>
                <w:lang w:val="lt-LT"/>
              </w:rPr>
              <w:t>sio darbo užmokestis</w:t>
            </w:r>
          </w:p>
        </w:tc>
        <w:tc>
          <w:tcPr>
            <w:tcW w:w="567" w:type="dxa"/>
            <w:shd w:val="clear" w:color="auto" w:fill="auto"/>
            <w:textDirection w:val="btLr"/>
            <w:vAlign w:val="center"/>
          </w:tcPr>
          <w:p w:rsidR="00503396" w:rsidRPr="001E0AD1" w:rsidRDefault="00503396" w:rsidP="0034543E">
            <w:pPr>
              <w:spacing w:line="180" w:lineRule="atLeast"/>
              <w:ind w:left="113" w:right="113"/>
              <w:jc w:val="center"/>
              <w:rPr>
                <w:rFonts w:eastAsia="Calibri"/>
                <w:b/>
                <w:sz w:val="20"/>
                <w:szCs w:val="20"/>
                <w:lang w:val="lt-LT"/>
              </w:rPr>
            </w:pPr>
            <w:r w:rsidRPr="001E0AD1">
              <w:rPr>
                <w:rFonts w:eastAsia="Calibri"/>
                <w:b/>
                <w:sz w:val="20"/>
                <w:szCs w:val="20"/>
                <w:lang w:val="lt-LT"/>
              </w:rPr>
              <w:t>Darbuotojų skaičius</w:t>
            </w:r>
          </w:p>
        </w:tc>
        <w:tc>
          <w:tcPr>
            <w:tcW w:w="1559" w:type="dxa"/>
            <w:shd w:val="clear" w:color="auto" w:fill="auto"/>
            <w:textDirection w:val="btLr"/>
            <w:vAlign w:val="center"/>
          </w:tcPr>
          <w:p w:rsidR="00503396" w:rsidRPr="001E0AD1" w:rsidRDefault="00503396" w:rsidP="0084597D">
            <w:pPr>
              <w:spacing w:line="180" w:lineRule="atLeast"/>
              <w:ind w:left="113" w:right="113"/>
              <w:jc w:val="center"/>
              <w:rPr>
                <w:rFonts w:eastAsia="Calibri"/>
                <w:b/>
                <w:sz w:val="20"/>
                <w:szCs w:val="20"/>
                <w:lang w:val="lt-LT"/>
              </w:rPr>
            </w:pPr>
            <w:r w:rsidRPr="001E0AD1">
              <w:rPr>
                <w:rFonts w:eastAsia="Calibri"/>
                <w:b/>
                <w:sz w:val="20"/>
                <w:szCs w:val="20"/>
                <w:lang w:val="lt-LT"/>
              </w:rPr>
              <w:t>Priskaičiuotas vidutinis mėn</w:t>
            </w:r>
            <w:r w:rsidR="0084597D" w:rsidRPr="001E0AD1">
              <w:rPr>
                <w:rFonts w:eastAsia="Calibri"/>
                <w:b/>
                <w:sz w:val="20"/>
                <w:szCs w:val="20"/>
                <w:lang w:val="lt-LT"/>
              </w:rPr>
              <w:t>e</w:t>
            </w:r>
            <w:r w:rsidRPr="001E0AD1">
              <w:rPr>
                <w:rFonts w:eastAsia="Calibri"/>
                <w:b/>
                <w:sz w:val="20"/>
                <w:szCs w:val="20"/>
                <w:lang w:val="lt-LT"/>
              </w:rPr>
              <w:t>sio darbo užmokestis</w:t>
            </w:r>
          </w:p>
        </w:tc>
      </w:tr>
      <w:tr w:rsidR="00CB4424" w:rsidRPr="001E0AD1" w:rsidTr="00CB4424">
        <w:tc>
          <w:tcPr>
            <w:tcW w:w="1649" w:type="dxa"/>
            <w:shd w:val="clear" w:color="auto" w:fill="auto"/>
            <w:vAlign w:val="center"/>
          </w:tcPr>
          <w:p w:rsidR="00CB4424" w:rsidRPr="001E0AD1" w:rsidRDefault="00CB4424" w:rsidP="0034543E">
            <w:pPr>
              <w:spacing w:line="360" w:lineRule="auto"/>
              <w:jc w:val="center"/>
              <w:rPr>
                <w:rFonts w:eastAsia="Calibri"/>
                <w:b/>
                <w:sz w:val="20"/>
                <w:szCs w:val="20"/>
                <w:lang w:val="lt-LT"/>
              </w:rPr>
            </w:pPr>
            <w:r w:rsidRPr="001E0AD1">
              <w:rPr>
                <w:rFonts w:eastAsia="Calibri"/>
                <w:b/>
                <w:sz w:val="20"/>
                <w:szCs w:val="20"/>
                <w:lang w:val="lt-LT"/>
              </w:rPr>
              <w:t>Administracija</w:t>
            </w:r>
          </w:p>
        </w:tc>
        <w:tc>
          <w:tcPr>
            <w:tcW w:w="572"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7</w:t>
            </w:r>
          </w:p>
        </w:tc>
        <w:tc>
          <w:tcPr>
            <w:tcW w:w="1418"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828,88</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7</w:t>
            </w:r>
          </w:p>
        </w:tc>
        <w:tc>
          <w:tcPr>
            <w:tcW w:w="1701"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848,73</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6</w:t>
            </w:r>
          </w:p>
        </w:tc>
        <w:tc>
          <w:tcPr>
            <w:tcW w:w="1559"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942,71</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 xml:space="preserve">6 </w:t>
            </w:r>
          </w:p>
        </w:tc>
        <w:tc>
          <w:tcPr>
            <w:tcW w:w="1559"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 xml:space="preserve">994,09 </w:t>
            </w:r>
          </w:p>
        </w:tc>
      </w:tr>
      <w:tr w:rsidR="00CB4424" w:rsidRPr="001E0AD1" w:rsidTr="00CB4424">
        <w:tc>
          <w:tcPr>
            <w:tcW w:w="1649" w:type="dxa"/>
            <w:shd w:val="clear" w:color="auto" w:fill="auto"/>
            <w:vAlign w:val="center"/>
          </w:tcPr>
          <w:p w:rsidR="00CB4424" w:rsidRPr="001E0AD1" w:rsidRDefault="00CB4424" w:rsidP="00CB4424">
            <w:pPr>
              <w:jc w:val="center"/>
              <w:rPr>
                <w:rFonts w:eastAsia="Calibri"/>
                <w:b/>
                <w:sz w:val="20"/>
                <w:szCs w:val="20"/>
                <w:lang w:val="lt-LT"/>
              </w:rPr>
            </w:pPr>
            <w:r w:rsidRPr="001E0AD1">
              <w:rPr>
                <w:rFonts w:eastAsia="Calibri"/>
                <w:b/>
                <w:sz w:val="20"/>
                <w:szCs w:val="20"/>
                <w:lang w:val="lt-LT"/>
              </w:rPr>
              <w:t>Abonentinė grupė</w:t>
            </w:r>
          </w:p>
        </w:tc>
        <w:tc>
          <w:tcPr>
            <w:tcW w:w="572"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3</w:t>
            </w:r>
          </w:p>
        </w:tc>
        <w:tc>
          <w:tcPr>
            <w:tcW w:w="1418"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539,12</w:t>
            </w:r>
          </w:p>
        </w:tc>
        <w:tc>
          <w:tcPr>
            <w:tcW w:w="567"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3</w:t>
            </w:r>
          </w:p>
        </w:tc>
        <w:tc>
          <w:tcPr>
            <w:tcW w:w="1701"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 558,14</w:t>
            </w:r>
          </w:p>
        </w:tc>
        <w:tc>
          <w:tcPr>
            <w:tcW w:w="567"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3</w:t>
            </w:r>
          </w:p>
        </w:tc>
        <w:tc>
          <w:tcPr>
            <w:tcW w:w="1559"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566,75</w:t>
            </w:r>
          </w:p>
        </w:tc>
        <w:tc>
          <w:tcPr>
            <w:tcW w:w="567"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 3</w:t>
            </w:r>
          </w:p>
        </w:tc>
        <w:tc>
          <w:tcPr>
            <w:tcW w:w="1559" w:type="dxa"/>
            <w:shd w:val="clear" w:color="auto" w:fill="auto"/>
            <w:vAlign w:val="center"/>
          </w:tcPr>
          <w:p w:rsidR="00CB4424" w:rsidRPr="001E0AD1" w:rsidRDefault="00CB4424" w:rsidP="00CB4424">
            <w:pPr>
              <w:jc w:val="center"/>
              <w:rPr>
                <w:sz w:val="20"/>
                <w:szCs w:val="20"/>
                <w:lang w:val="lt-LT"/>
              </w:rPr>
            </w:pPr>
            <w:r w:rsidRPr="001E0AD1">
              <w:rPr>
                <w:sz w:val="20"/>
                <w:szCs w:val="20"/>
                <w:lang w:val="lt-LT"/>
              </w:rPr>
              <w:t> 497,44</w:t>
            </w:r>
          </w:p>
        </w:tc>
      </w:tr>
      <w:tr w:rsidR="00CB4424" w:rsidRPr="001E0AD1" w:rsidTr="00CB4424">
        <w:tc>
          <w:tcPr>
            <w:tcW w:w="1649" w:type="dxa"/>
            <w:shd w:val="clear" w:color="auto" w:fill="auto"/>
            <w:vAlign w:val="center"/>
          </w:tcPr>
          <w:p w:rsidR="00CB4424" w:rsidRPr="001E0AD1" w:rsidRDefault="00CB4424" w:rsidP="0034543E">
            <w:pPr>
              <w:spacing w:line="360" w:lineRule="auto"/>
              <w:jc w:val="center"/>
              <w:rPr>
                <w:rFonts w:eastAsia="Calibri"/>
                <w:b/>
                <w:sz w:val="20"/>
                <w:szCs w:val="20"/>
                <w:lang w:val="lt-LT"/>
              </w:rPr>
            </w:pPr>
            <w:r w:rsidRPr="001E0AD1">
              <w:rPr>
                <w:rFonts w:eastAsia="Calibri"/>
                <w:b/>
                <w:sz w:val="20"/>
                <w:szCs w:val="20"/>
                <w:lang w:val="lt-LT"/>
              </w:rPr>
              <w:t>Darbininkai</w:t>
            </w:r>
          </w:p>
        </w:tc>
        <w:tc>
          <w:tcPr>
            <w:tcW w:w="572"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29</w:t>
            </w:r>
          </w:p>
        </w:tc>
        <w:tc>
          <w:tcPr>
            <w:tcW w:w="1418"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481,28</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29</w:t>
            </w:r>
          </w:p>
        </w:tc>
        <w:tc>
          <w:tcPr>
            <w:tcW w:w="1701"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467,36</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30</w:t>
            </w:r>
          </w:p>
        </w:tc>
        <w:tc>
          <w:tcPr>
            <w:tcW w:w="1559"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468,99</w:t>
            </w:r>
          </w:p>
        </w:tc>
        <w:tc>
          <w:tcPr>
            <w:tcW w:w="567"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 30</w:t>
            </w:r>
          </w:p>
        </w:tc>
        <w:tc>
          <w:tcPr>
            <w:tcW w:w="1559" w:type="dxa"/>
            <w:shd w:val="clear" w:color="auto" w:fill="auto"/>
            <w:vAlign w:val="center"/>
          </w:tcPr>
          <w:p w:rsidR="00CB4424" w:rsidRPr="001E0AD1" w:rsidRDefault="00CB4424" w:rsidP="0060246C">
            <w:pPr>
              <w:spacing w:line="180" w:lineRule="atLeast"/>
              <w:jc w:val="center"/>
              <w:rPr>
                <w:sz w:val="20"/>
                <w:szCs w:val="20"/>
                <w:lang w:val="lt-LT"/>
              </w:rPr>
            </w:pPr>
            <w:r w:rsidRPr="001E0AD1">
              <w:rPr>
                <w:sz w:val="20"/>
                <w:szCs w:val="20"/>
                <w:lang w:val="lt-LT"/>
              </w:rPr>
              <w:t> 457,58</w:t>
            </w:r>
          </w:p>
        </w:tc>
      </w:tr>
    </w:tbl>
    <w:p w:rsidR="00B146B7" w:rsidRPr="001E0AD1" w:rsidRDefault="00B146B7" w:rsidP="00B146B7">
      <w:pPr>
        <w:spacing w:after="120" w:line="360" w:lineRule="auto"/>
        <w:ind w:left="720"/>
        <w:contextualSpacing/>
        <w:jc w:val="right"/>
        <w:rPr>
          <w:i/>
          <w:sz w:val="16"/>
          <w:szCs w:val="16"/>
          <w:lang w:val="lt-LT"/>
        </w:rPr>
      </w:pPr>
      <w:r w:rsidRPr="001E0AD1">
        <w:rPr>
          <w:i/>
          <w:sz w:val="16"/>
          <w:szCs w:val="16"/>
          <w:lang w:val="lt-LT"/>
        </w:rPr>
        <w:t>1. Lentelė: UAB „Prienų vandenys“  2015 m. priskaičiuotas bruto vidutinis mėnesio darbo užmokestis Eur.</w:t>
      </w:r>
    </w:p>
    <w:p w:rsidR="001C110F" w:rsidRPr="001E0AD1" w:rsidRDefault="001C110F" w:rsidP="001C110F">
      <w:pPr>
        <w:pStyle w:val="BodyTextIndent"/>
        <w:ind w:firstLine="851"/>
        <w:rPr>
          <w:b/>
          <w:bCs/>
          <w:i/>
          <w:iCs/>
        </w:rPr>
      </w:pPr>
      <w:r w:rsidRPr="001E0AD1">
        <w:rPr>
          <w:b/>
          <w:bCs/>
          <w:i/>
          <w:iCs/>
        </w:rPr>
        <w:t xml:space="preserve">Bendrovė ieškodama darbuotojų remiasi Lietuvos darbo biržos teikiama pagalba ir </w:t>
      </w:r>
      <w:r w:rsidR="00CB4424" w:rsidRPr="001E0AD1">
        <w:rPr>
          <w:b/>
          <w:bCs/>
          <w:i/>
          <w:iCs/>
        </w:rPr>
        <w:t>2015 m. įdarbino darbuotoją, pasinaudodama Lietuvos darbo biržos teikiama parama.</w:t>
      </w:r>
      <w:r w:rsidRPr="001E0AD1">
        <w:rPr>
          <w:b/>
          <w:bCs/>
          <w:i/>
          <w:iCs/>
        </w:rPr>
        <w:t xml:space="preserve"> Pagal Aktyvios darbo rinkos politikos priemonių įgyvendinimo sąlygų ir tvarkos aprašo, patvirtinto Lietuvos Respublikos socialinės apsaugos ir darbo ministro 2009 m. rugpjūčio 13 d. įsakymu Nr. A1-499 „Dėl aktyvios darbo rinkos politikos priemonių įgyvendinimo sąlygų ir tvarkos aprašo patvirtinimo“ sąlygas.</w:t>
      </w:r>
    </w:p>
    <w:p w:rsidR="00293170" w:rsidRPr="001E0AD1" w:rsidRDefault="00293170" w:rsidP="00293170">
      <w:pPr>
        <w:spacing w:before="360" w:after="360" w:line="360" w:lineRule="auto"/>
        <w:ind w:firstLine="851"/>
        <w:jc w:val="center"/>
        <w:rPr>
          <w:b/>
          <w:bCs/>
          <w:i/>
          <w:iCs/>
          <w:caps/>
          <w:sz w:val="28"/>
          <w:szCs w:val="28"/>
          <w:lang w:val="lt-LT"/>
        </w:rPr>
      </w:pPr>
      <w:r w:rsidRPr="001E0AD1">
        <w:rPr>
          <w:b/>
          <w:bCs/>
          <w:i/>
          <w:iCs/>
          <w:caps/>
          <w:sz w:val="28"/>
          <w:szCs w:val="28"/>
          <w:lang w:val="lt-LT"/>
        </w:rPr>
        <w:t>AKCINIS KAPITALAS IR AKCIJOS</w:t>
      </w:r>
    </w:p>
    <w:p w:rsidR="00293170" w:rsidRPr="001E0AD1" w:rsidRDefault="00293170" w:rsidP="00293170">
      <w:pPr>
        <w:pStyle w:val="BodyTextIndent"/>
        <w:ind w:firstLine="851"/>
        <w:rPr>
          <w:b/>
          <w:bCs/>
          <w:i/>
          <w:iCs/>
        </w:rPr>
      </w:pPr>
      <w:r w:rsidRPr="001E0AD1">
        <w:rPr>
          <w:b/>
          <w:bCs/>
          <w:i/>
          <w:iCs/>
        </w:rPr>
        <w:t>Bendrovės įstatinis kapitalas 2015 m. gruodžio 31 d. buvo  7508662,60 Eur  (septyni milijonai penki šimtai aštuoni tūkstančiai šeši šimtai šešiasdešimt du eurus 60 ct). Įstatinis kapitalas yra padalintas į 2589194 (du milijonus penkis šimtus aštuoniasdešimt devynis tūkstančius vieną šimtą devyniasdešimt keturias) paprastąsias vardines akcijas, kurių kiekvienos nominali vertė yra 2,90 Eur (du eurai 90 ct ). Visos Bendrovės akcijos yra paprastosios vardinės akcijos.</w:t>
      </w:r>
    </w:p>
    <w:p w:rsidR="00293170" w:rsidRPr="001E0AD1" w:rsidRDefault="00293170" w:rsidP="00293170">
      <w:pPr>
        <w:pStyle w:val="BodyTextIndent"/>
        <w:ind w:firstLine="851"/>
        <w:rPr>
          <w:b/>
          <w:bCs/>
          <w:i/>
          <w:iCs/>
        </w:rPr>
      </w:pPr>
      <w:r w:rsidRPr="001E0AD1">
        <w:rPr>
          <w:b/>
          <w:bCs/>
          <w:i/>
          <w:iCs/>
        </w:rPr>
        <w:lastRenderedPageBreak/>
        <w:t xml:space="preserve">2015 m. lapkričio 26 d. Prienų rajono savivaldybės taryba sprendimu T3-228, atsižvelgiant į UAB „Prienų vandenys“ 2015-10-01 raštą Nr. 397, nusprendė pakeisti UAB „Prienų vandenys“ išleistų 2589194 akcijų nominalios vertės išraišką litais (25891940 Lt) į išraišką eurais: vienos akcijos nominali vertė yra 2,90 Eur, įstatinio kapitalo dydis 7508662,60 Eur. </w:t>
      </w:r>
    </w:p>
    <w:p w:rsidR="00293170" w:rsidRPr="001E0AD1" w:rsidRDefault="00293170" w:rsidP="00293170">
      <w:pPr>
        <w:pStyle w:val="BodyTextIndent"/>
        <w:ind w:firstLine="851"/>
        <w:rPr>
          <w:b/>
          <w:bCs/>
          <w:i/>
          <w:iCs/>
        </w:rPr>
      </w:pPr>
      <w:r w:rsidRPr="001E0AD1">
        <w:rPr>
          <w:b/>
          <w:bCs/>
          <w:i/>
          <w:iCs/>
        </w:rPr>
        <w:t xml:space="preserve">Litais išreikštas akcijų nominaliųjų verčių sumas perskaičiuojant į eurus ir apvalinant iki euro centų, susidarę skirtumai pripažįstami ataskaitinio laikotarpio, kuris apima euro įvedimo dieną, finansinės ir investicinės veiklos pajamomis arba sąnaudomis. Perskaičiavimo rezultatas – pelnas arba nuostoliai – parodomas ataskaitinio laikotarpio pelno (nuostolių) ataskaitos finansinės ir investicinės veiklos straipsniuose. Perskaičiuojant UAB „Prienų vandenys“ į eurus litais išreikšto įstatinio kapitalo straipsnio sumą gautas perskaičiavimo rezultatas - susidarę nuostoliai (9839 Eur). </w:t>
      </w:r>
    </w:p>
    <w:p w:rsidR="00293170" w:rsidRPr="001E0AD1" w:rsidRDefault="00293170" w:rsidP="00293170">
      <w:pPr>
        <w:pStyle w:val="BodyTextIndent"/>
        <w:ind w:firstLine="851"/>
        <w:rPr>
          <w:b/>
          <w:bCs/>
          <w:i/>
          <w:iCs/>
        </w:rPr>
      </w:pPr>
      <w:r w:rsidRPr="001E0AD1">
        <w:rPr>
          <w:b/>
          <w:bCs/>
          <w:i/>
          <w:iCs/>
        </w:rPr>
        <w:t>Bendrovės išleidžiamos akcijos yra nematerialios, t.y. pažymimos įrašais akcininkų asmeninėse vertybinių popierių sąskaitose, kurias tvarko Bendrovė pagal taisykles nustatytas Lietuvos Respublikos Vyriausybės ar jos įgaliotos institucijos. Bendrovė, atidariusi akcininko vertybinių popierių sąskaitą, akcininko pageidavimu turi išduoti išrašą iš šios sąskaitos, rodantį akcijų skaičių ir kitą teisės aktuose nustatytą informaciją apie į sąskaitą įrašytas akcijas.</w:t>
      </w:r>
    </w:p>
    <w:p w:rsidR="00293170" w:rsidRPr="001E0AD1" w:rsidRDefault="00293170" w:rsidP="00293170">
      <w:pPr>
        <w:pStyle w:val="BodyTextIndent"/>
        <w:ind w:firstLine="851"/>
        <w:rPr>
          <w:b/>
          <w:bCs/>
          <w:i/>
          <w:iCs/>
        </w:rPr>
      </w:pPr>
      <w:r w:rsidRPr="001E0AD1">
        <w:rPr>
          <w:b/>
          <w:bCs/>
          <w:i/>
          <w:iCs/>
        </w:rPr>
        <w:t>Nematerialios akcijos savininkas (akcininkas) yra asmuo, kurio vardu atidaryta asmeninė vertybinių popierių sąskaita, išskyrus įstatymų nustatytas išimtis. Šioje sąskaitoje turi būti įrašytos akcininkui nuosavybės teise priklausančios akcijos.</w:t>
      </w:r>
    </w:p>
    <w:p w:rsidR="00293170" w:rsidRPr="001E0AD1" w:rsidRDefault="00293170" w:rsidP="00293170">
      <w:pPr>
        <w:spacing w:before="360" w:after="360" w:line="360" w:lineRule="auto"/>
        <w:ind w:firstLine="851"/>
        <w:jc w:val="center"/>
        <w:rPr>
          <w:b/>
          <w:bCs/>
          <w:i/>
          <w:iCs/>
          <w:caps/>
          <w:sz w:val="28"/>
          <w:szCs w:val="28"/>
          <w:lang w:val="lt-LT"/>
        </w:rPr>
      </w:pPr>
      <w:r w:rsidRPr="001E0AD1">
        <w:rPr>
          <w:b/>
          <w:bCs/>
          <w:i/>
          <w:iCs/>
          <w:caps/>
          <w:sz w:val="28"/>
          <w:szCs w:val="28"/>
          <w:lang w:val="lt-LT"/>
        </w:rPr>
        <w:t>FINANSINIAI VEIKLOS REZULTATAI</w:t>
      </w:r>
    </w:p>
    <w:p w:rsidR="00293170" w:rsidRPr="001E0AD1" w:rsidRDefault="004F4B97" w:rsidP="00293170">
      <w:pPr>
        <w:pStyle w:val="BodyTextIndent"/>
        <w:ind w:firstLine="851"/>
        <w:rPr>
          <w:b/>
          <w:bCs/>
          <w:i/>
          <w:iCs/>
        </w:rPr>
      </w:pPr>
      <w:r w:rsidRPr="001E0AD1">
        <w:rPr>
          <w:b/>
          <w:bCs/>
          <w:i/>
          <w:iCs/>
          <w:caps/>
          <w:sz w:val="28"/>
          <w:szCs w:val="28"/>
        </w:rPr>
        <w:t>PAJAMOS.</w:t>
      </w:r>
      <w:r w:rsidR="00293170" w:rsidRPr="001E0AD1">
        <w:rPr>
          <w:b/>
          <w:bCs/>
          <w:i/>
          <w:iCs/>
        </w:rPr>
        <w:t xml:space="preserve">UAB „Prienų vandenys“ gautos pajamos 2015 m. siekė 974982 Eur. Pajamos gautos iš pagrindinės veiklos sudarė </w:t>
      </w:r>
      <w:r w:rsidR="00E768E8">
        <w:rPr>
          <w:b/>
          <w:bCs/>
          <w:i/>
          <w:iCs/>
        </w:rPr>
        <w:t>971771</w:t>
      </w:r>
      <w:r w:rsidR="00293170" w:rsidRPr="001E0AD1">
        <w:rPr>
          <w:b/>
          <w:bCs/>
          <w:i/>
          <w:iCs/>
        </w:rPr>
        <w:t xml:space="preserve">Eur, kitos veiklos pajamos sudarė </w:t>
      </w:r>
      <w:r w:rsidR="00AB16EF">
        <w:rPr>
          <w:b/>
          <w:bCs/>
          <w:i/>
          <w:iCs/>
        </w:rPr>
        <w:t xml:space="preserve">3211 </w:t>
      </w:r>
      <w:r w:rsidR="00293170" w:rsidRPr="001E0AD1">
        <w:rPr>
          <w:b/>
          <w:bCs/>
          <w:i/>
          <w:iCs/>
        </w:rPr>
        <w:t xml:space="preserve">Eur. Pagal teikiamų paslaugų grupes pagrindinėje veikloje: už vandens tiekimą ir nuotekų šalinimą UAB „Prienų vandenys“ surinko  </w:t>
      </w:r>
      <w:r w:rsidR="001B22AF">
        <w:rPr>
          <w:b/>
          <w:bCs/>
          <w:i/>
          <w:iCs/>
        </w:rPr>
        <w:t>864 017</w:t>
      </w:r>
      <w:r w:rsidR="00293170" w:rsidRPr="001E0AD1">
        <w:rPr>
          <w:b/>
          <w:bCs/>
          <w:i/>
          <w:iCs/>
        </w:rPr>
        <w:t xml:space="preserve">Eur pajamų, iš pardavimo veiklos – 67950 </w:t>
      </w:r>
      <w:r w:rsidR="00293170" w:rsidRPr="001E0AD1">
        <w:rPr>
          <w:b/>
          <w:bCs/>
          <w:i/>
          <w:iCs/>
        </w:rPr>
        <w:lastRenderedPageBreak/>
        <w:t xml:space="preserve">Eur, iš lietaus nuotekų 1853 Eur, iš nuotekų išvežimo asenizacinėmis mašinomis 30696 Eur, iš kitos veiklos 7255 Eur. </w:t>
      </w:r>
    </w:p>
    <w:p w:rsidR="00293170" w:rsidRPr="001E0AD1" w:rsidRDefault="00293170" w:rsidP="00293170">
      <w:pPr>
        <w:pStyle w:val="BodyTextIndent"/>
        <w:ind w:firstLine="851"/>
        <w:rPr>
          <w:b/>
          <w:bCs/>
          <w:i/>
          <w:iCs/>
        </w:rPr>
      </w:pPr>
      <w:r w:rsidRPr="001E0AD1">
        <w:rPr>
          <w:b/>
          <w:bCs/>
          <w:i/>
          <w:iCs/>
        </w:rPr>
        <w:t xml:space="preserve">2015 m. palyginus su 2014 m. Bendrovė surinko </w:t>
      </w:r>
      <w:r w:rsidR="0073396B">
        <w:rPr>
          <w:b/>
          <w:bCs/>
          <w:i/>
          <w:iCs/>
        </w:rPr>
        <w:t>2,65</w:t>
      </w:r>
      <w:r w:rsidRPr="001E0AD1">
        <w:rPr>
          <w:b/>
          <w:bCs/>
          <w:i/>
          <w:iCs/>
        </w:rPr>
        <w:t xml:space="preserve"> proc. daugiau pajamų (1. Lentelė).  Pajamos iš pardavimo veiklos padidėjo 1275 Eur, iš vandens tiekimo </w:t>
      </w:r>
      <w:r w:rsidR="00126C35">
        <w:rPr>
          <w:b/>
          <w:bCs/>
          <w:i/>
          <w:iCs/>
        </w:rPr>
        <w:t>16692</w:t>
      </w:r>
      <w:r w:rsidRPr="001E0AD1">
        <w:rPr>
          <w:b/>
          <w:bCs/>
          <w:i/>
          <w:iCs/>
        </w:rPr>
        <w:t>Eur, iš nuotekų šalinimo 121</w:t>
      </w:r>
      <w:r w:rsidR="00126C35">
        <w:rPr>
          <w:b/>
          <w:bCs/>
          <w:i/>
          <w:iCs/>
        </w:rPr>
        <w:t>7</w:t>
      </w:r>
      <w:r w:rsidRPr="001E0AD1">
        <w:rPr>
          <w:b/>
          <w:bCs/>
          <w:i/>
          <w:iCs/>
        </w:rPr>
        <w:t xml:space="preserve">Eur, iš nuotekų išvežimo asenizacinėmis mašinomis 4449 Eur, iš kitos veiklos </w:t>
      </w:r>
      <w:r w:rsidR="00126C35">
        <w:rPr>
          <w:b/>
          <w:bCs/>
          <w:i/>
          <w:iCs/>
        </w:rPr>
        <w:t>1538</w:t>
      </w:r>
      <w:r w:rsidRPr="001E0AD1">
        <w:rPr>
          <w:b/>
          <w:bCs/>
          <w:i/>
          <w:iCs/>
        </w:rPr>
        <w:t xml:space="preserve">Eur. Pajamos iš lietaus nuotekų sumažėjo 3 Eur. </w:t>
      </w:r>
    </w:p>
    <w:tbl>
      <w:tblPr>
        <w:tblpPr w:leftFromText="180" w:rightFromText="180" w:vertAnchor="text" w:horzAnchor="margin" w:tblpXSpec="center" w:tblpY="91"/>
        <w:tblW w:w="8755" w:type="dxa"/>
        <w:tblLook w:val="04A0"/>
      </w:tblPr>
      <w:tblGrid>
        <w:gridCol w:w="2760"/>
        <w:gridCol w:w="1601"/>
        <w:gridCol w:w="1417"/>
        <w:gridCol w:w="1418"/>
        <w:gridCol w:w="1559"/>
      </w:tblGrid>
      <w:tr w:rsidR="00293170" w:rsidRPr="001E0AD1" w:rsidTr="00871886">
        <w:trPr>
          <w:trHeight w:val="315"/>
        </w:trPr>
        <w:tc>
          <w:tcPr>
            <w:tcW w:w="2760" w:type="dxa"/>
            <w:tcBorders>
              <w:top w:val="single" w:sz="8" w:space="0" w:color="4F81BD"/>
              <w:left w:val="nil"/>
              <w:bottom w:val="single" w:sz="8" w:space="0" w:color="4F81BD"/>
              <w:right w:val="nil"/>
            </w:tcBorders>
            <w:shd w:val="clear" w:color="auto" w:fill="auto"/>
            <w:noWrap/>
            <w:vAlign w:val="center"/>
            <w:hideMark/>
          </w:tcPr>
          <w:p w:rsidR="00293170" w:rsidRPr="001E0AD1" w:rsidRDefault="00293170" w:rsidP="00871886">
            <w:pPr>
              <w:jc w:val="center"/>
              <w:rPr>
                <w:b/>
                <w:bCs/>
                <w:sz w:val="22"/>
                <w:szCs w:val="22"/>
                <w:lang w:val="lt-LT" w:eastAsia="lt-LT"/>
              </w:rPr>
            </w:pPr>
            <w:r w:rsidRPr="001E0AD1">
              <w:rPr>
                <w:b/>
                <w:bCs/>
                <w:sz w:val="22"/>
                <w:szCs w:val="22"/>
                <w:lang w:val="lt-LT" w:eastAsia="lt-LT"/>
              </w:rPr>
              <w:t xml:space="preserve">Pajamos </w:t>
            </w:r>
          </w:p>
        </w:tc>
        <w:tc>
          <w:tcPr>
            <w:tcW w:w="1601" w:type="dxa"/>
            <w:tcBorders>
              <w:top w:val="single" w:sz="8" w:space="0" w:color="4F81BD"/>
              <w:left w:val="nil"/>
              <w:bottom w:val="single" w:sz="8" w:space="0" w:color="4F81BD"/>
              <w:right w:val="nil"/>
            </w:tcBorders>
            <w:shd w:val="clear" w:color="auto" w:fill="auto"/>
            <w:noWrap/>
            <w:vAlign w:val="center"/>
            <w:hideMark/>
          </w:tcPr>
          <w:p w:rsidR="00293170" w:rsidRPr="001E0AD1" w:rsidRDefault="00293170" w:rsidP="00871886">
            <w:pPr>
              <w:jc w:val="right"/>
              <w:rPr>
                <w:b/>
                <w:bCs/>
                <w:sz w:val="22"/>
                <w:szCs w:val="22"/>
                <w:lang w:val="lt-LT" w:eastAsia="lt-LT"/>
              </w:rPr>
            </w:pPr>
            <w:r w:rsidRPr="001E0AD1">
              <w:rPr>
                <w:b/>
                <w:bCs/>
                <w:sz w:val="22"/>
                <w:szCs w:val="22"/>
                <w:lang w:val="lt-LT" w:eastAsia="lt-LT"/>
              </w:rPr>
              <w:t>2015 m.</w:t>
            </w:r>
          </w:p>
        </w:tc>
        <w:tc>
          <w:tcPr>
            <w:tcW w:w="1417" w:type="dxa"/>
            <w:tcBorders>
              <w:top w:val="single" w:sz="8" w:space="0" w:color="4F81BD"/>
              <w:left w:val="nil"/>
              <w:bottom w:val="single" w:sz="8" w:space="0" w:color="4F81BD"/>
              <w:right w:val="nil"/>
            </w:tcBorders>
            <w:shd w:val="clear" w:color="auto" w:fill="auto"/>
            <w:noWrap/>
            <w:vAlign w:val="center"/>
            <w:hideMark/>
          </w:tcPr>
          <w:p w:rsidR="00293170" w:rsidRPr="001E0AD1" w:rsidRDefault="00293170" w:rsidP="00871886">
            <w:pPr>
              <w:jc w:val="right"/>
              <w:rPr>
                <w:b/>
                <w:bCs/>
                <w:sz w:val="22"/>
                <w:szCs w:val="22"/>
                <w:lang w:val="lt-LT" w:eastAsia="lt-LT"/>
              </w:rPr>
            </w:pPr>
            <w:r w:rsidRPr="001E0AD1">
              <w:rPr>
                <w:b/>
                <w:bCs/>
                <w:sz w:val="22"/>
                <w:szCs w:val="22"/>
                <w:lang w:val="lt-LT" w:eastAsia="lt-LT"/>
              </w:rPr>
              <w:t>2014 m.</w:t>
            </w:r>
          </w:p>
        </w:tc>
        <w:tc>
          <w:tcPr>
            <w:tcW w:w="1418" w:type="dxa"/>
            <w:tcBorders>
              <w:top w:val="single" w:sz="8" w:space="0" w:color="4F81BD"/>
              <w:left w:val="nil"/>
              <w:bottom w:val="single" w:sz="8" w:space="0" w:color="4F81BD"/>
              <w:right w:val="nil"/>
            </w:tcBorders>
            <w:shd w:val="clear" w:color="auto" w:fill="auto"/>
            <w:noWrap/>
            <w:vAlign w:val="center"/>
            <w:hideMark/>
          </w:tcPr>
          <w:p w:rsidR="00293170" w:rsidRPr="001E0AD1" w:rsidRDefault="00293170" w:rsidP="00871886">
            <w:pPr>
              <w:jc w:val="right"/>
              <w:rPr>
                <w:b/>
                <w:bCs/>
                <w:sz w:val="22"/>
                <w:szCs w:val="22"/>
                <w:lang w:val="lt-LT" w:eastAsia="lt-LT"/>
              </w:rPr>
            </w:pPr>
            <w:r w:rsidRPr="001E0AD1">
              <w:rPr>
                <w:b/>
                <w:bCs/>
                <w:sz w:val="22"/>
                <w:szCs w:val="22"/>
                <w:lang w:val="lt-LT" w:eastAsia="lt-LT"/>
              </w:rPr>
              <w:t>Skirtumas</w:t>
            </w:r>
          </w:p>
        </w:tc>
        <w:tc>
          <w:tcPr>
            <w:tcW w:w="1559" w:type="dxa"/>
            <w:tcBorders>
              <w:top w:val="single" w:sz="8" w:space="0" w:color="4F81BD"/>
              <w:left w:val="nil"/>
              <w:bottom w:val="single" w:sz="8" w:space="0" w:color="4F81BD"/>
              <w:right w:val="nil"/>
            </w:tcBorders>
            <w:shd w:val="clear" w:color="auto" w:fill="auto"/>
            <w:noWrap/>
            <w:vAlign w:val="center"/>
            <w:hideMark/>
          </w:tcPr>
          <w:p w:rsidR="00293170" w:rsidRPr="001E0AD1" w:rsidRDefault="00293170" w:rsidP="00871886">
            <w:pPr>
              <w:jc w:val="right"/>
              <w:rPr>
                <w:b/>
                <w:bCs/>
                <w:sz w:val="22"/>
                <w:szCs w:val="22"/>
                <w:lang w:val="lt-LT" w:eastAsia="lt-LT"/>
              </w:rPr>
            </w:pPr>
            <w:r w:rsidRPr="001E0AD1">
              <w:rPr>
                <w:b/>
                <w:bCs/>
                <w:sz w:val="22"/>
                <w:szCs w:val="22"/>
                <w:lang w:val="lt-LT" w:eastAsia="lt-LT"/>
              </w:rPr>
              <w:t>Proc. pokytis</w:t>
            </w:r>
          </w:p>
        </w:tc>
      </w:tr>
      <w:tr w:rsidR="00293170" w:rsidRPr="001E0AD1" w:rsidTr="00871886">
        <w:trPr>
          <w:trHeight w:val="300"/>
        </w:trPr>
        <w:tc>
          <w:tcPr>
            <w:tcW w:w="2760" w:type="dxa"/>
            <w:tcBorders>
              <w:top w:val="nil"/>
              <w:left w:val="nil"/>
              <w:bottom w:val="nil"/>
              <w:right w:val="nil"/>
            </w:tcBorders>
            <w:shd w:val="clear" w:color="000000" w:fill="D3DFEE"/>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Pardavimo veikla</w:t>
            </w:r>
          </w:p>
        </w:tc>
        <w:tc>
          <w:tcPr>
            <w:tcW w:w="1601"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67.950 €</w:t>
            </w:r>
          </w:p>
        </w:tc>
        <w:tc>
          <w:tcPr>
            <w:tcW w:w="1417"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66.675 €</w:t>
            </w:r>
          </w:p>
        </w:tc>
        <w:tc>
          <w:tcPr>
            <w:tcW w:w="1418"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1.275 €</w:t>
            </w:r>
          </w:p>
        </w:tc>
        <w:tc>
          <w:tcPr>
            <w:tcW w:w="1559" w:type="dxa"/>
            <w:tcBorders>
              <w:top w:val="nil"/>
              <w:left w:val="nil"/>
              <w:bottom w:val="nil"/>
              <w:right w:val="nil"/>
            </w:tcBorders>
            <w:shd w:val="clear" w:color="000000" w:fill="D3DFEE"/>
            <w:noWrap/>
            <w:vAlign w:val="center"/>
            <w:hideMark/>
          </w:tcPr>
          <w:p w:rsidR="00293170" w:rsidRPr="001E0AD1" w:rsidRDefault="00293170" w:rsidP="00871886">
            <w:pPr>
              <w:jc w:val="center"/>
              <w:rPr>
                <w:sz w:val="22"/>
                <w:szCs w:val="22"/>
                <w:lang w:val="lt-LT" w:eastAsia="lt-LT"/>
              </w:rPr>
            </w:pPr>
            <w:r w:rsidRPr="001E0AD1">
              <w:rPr>
                <w:sz w:val="22"/>
                <w:szCs w:val="22"/>
                <w:lang w:val="lt-LT" w:eastAsia="lt-LT"/>
              </w:rPr>
              <w:t>1,9</w:t>
            </w:r>
          </w:p>
        </w:tc>
      </w:tr>
      <w:tr w:rsidR="00293170" w:rsidRPr="001E0AD1" w:rsidTr="00871886">
        <w:trPr>
          <w:trHeight w:val="300"/>
        </w:trPr>
        <w:tc>
          <w:tcPr>
            <w:tcW w:w="2760" w:type="dxa"/>
            <w:tcBorders>
              <w:top w:val="nil"/>
              <w:left w:val="nil"/>
              <w:bottom w:val="nil"/>
              <w:right w:val="nil"/>
            </w:tcBorders>
            <w:shd w:val="clear" w:color="auto" w:fill="auto"/>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 xml:space="preserve">Vandens tiekimas </w:t>
            </w:r>
          </w:p>
        </w:tc>
        <w:tc>
          <w:tcPr>
            <w:tcW w:w="1601" w:type="dxa"/>
            <w:tcBorders>
              <w:top w:val="nil"/>
              <w:left w:val="nil"/>
              <w:bottom w:val="nil"/>
              <w:right w:val="nil"/>
            </w:tcBorders>
            <w:shd w:val="clear" w:color="auto" w:fill="auto"/>
            <w:noWrap/>
            <w:vAlign w:val="center"/>
            <w:hideMark/>
          </w:tcPr>
          <w:p w:rsidR="00293170" w:rsidRPr="001E0AD1" w:rsidRDefault="00863D68" w:rsidP="00871886">
            <w:pPr>
              <w:jc w:val="right"/>
              <w:rPr>
                <w:sz w:val="22"/>
                <w:szCs w:val="22"/>
                <w:lang w:val="lt-LT" w:eastAsia="lt-LT"/>
              </w:rPr>
            </w:pPr>
            <w:r>
              <w:rPr>
                <w:sz w:val="22"/>
                <w:szCs w:val="22"/>
                <w:lang w:val="lt-LT" w:eastAsia="lt-LT"/>
              </w:rPr>
              <w:t>414.</w:t>
            </w:r>
            <w:r w:rsidR="001B22AF">
              <w:rPr>
                <w:sz w:val="22"/>
                <w:szCs w:val="22"/>
                <w:lang w:val="lt-LT" w:eastAsia="lt-LT"/>
              </w:rPr>
              <w:t>018</w:t>
            </w:r>
            <w:r w:rsidR="00293170" w:rsidRPr="001E0AD1">
              <w:rPr>
                <w:sz w:val="22"/>
                <w:szCs w:val="22"/>
                <w:lang w:val="lt-LT" w:eastAsia="lt-LT"/>
              </w:rPr>
              <w:t xml:space="preserve"> €</w:t>
            </w:r>
          </w:p>
        </w:tc>
        <w:tc>
          <w:tcPr>
            <w:tcW w:w="1417" w:type="dxa"/>
            <w:tcBorders>
              <w:top w:val="nil"/>
              <w:left w:val="nil"/>
              <w:bottom w:val="nil"/>
              <w:right w:val="nil"/>
            </w:tcBorders>
            <w:shd w:val="clear" w:color="auto" w:fill="auto"/>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397.326 €</w:t>
            </w:r>
          </w:p>
        </w:tc>
        <w:tc>
          <w:tcPr>
            <w:tcW w:w="1418" w:type="dxa"/>
            <w:tcBorders>
              <w:top w:val="nil"/>
              <w:left w:val="nil"/>
              <w:bottom w:val="nil"/>
              <w:right w:val="nil"/>
            </w:tcBorders>
            <w:shd w:val="clear" w:color="auto" w:fill="auto"/>
            <w:noWrap/>
            <w:vAlign w:val="center"/>
            <w:hideMark/>
          </w:tcPr>
          <w:p w:rsidR="00293170" w:rsidRPr="00863D68" w:rsidRDefault="00863D68" w:rsidP="00871886">
            <w:pPr>
              <w:jc w:val="right"/>
              <w:rPr>
                <w:sz w:val="22"/>
                <w:szCs w:val="22"/>
                <w:lang w:val="lt-LT" w:eastAsia="lt-LT"/>
              </w:rPr>
            </w:pPr>
            <w:r>
              <w:rPr>
                <w:sz w:val="22"/>
                <w:szCs w:val="22"/>
                <w:lang w:val="lt-LT" w:eastAsia="lt-LT"/>
              </w:rPr>
              <w:t>16.</w:t>
            </w:r>
            <w:r w:rsidRPr="00863D68">
              <w:rPr>
                <w:sz w:val="22"/>
                <w:szCs w:val="22"/>
                <w:lang w:val="lt-LT" w:eastAsia="lt-LT"/>
              </w:rPr>
              <w:t>692 €</w:t>
            </w:r>
          </w:p>
        </w:tc>
        <w:tc>
          <w:tcPr>
            <w:tcW w:w="1559" w:type="dxa"/>
            <w:tcBorders>
              <w:top w:val="nil"/>
              <w:left w:val="nil"/>
              <w:bottom w:val="nil"/>
              <w:right w:val="nil"/>
            </w:tcBorders>
            <w:shd w:val="clear" w:color="auto" w:fill="auto"/>
            <w:noWrap/>
            <w:vAlign w:val="center"/>
            <w:hideMark/>
          </w:tcPr>
          <w:p w:rsidR="00293170" w:rsidRPr="001E0AD1" w:rsidRDefault="001B22AF" w:rsidP="00871886">
            <w:pPr>
              <w:jc w:val="center"/>
              <w:rPr>
                <w:sz w:val="22"/>
                <w:szCs w:val="22"/>
                <w:lang w:val="lt-LT" w:eastAsia="lt-LT"/>
              </w:rPr>
            </w:pPr>
            <w:r>
              <w:rPr>
                <w:sz w:val="22"/>
                <w:szCs w:val="22"/>
                <w:lang w:val="lt-LT" w:eastAsia="lt-LT"/>
              </w:rPr>
              <w:t>4,2</w:t>
            </w:r>
          </w:p>
        </w:tc>
      </w:tr>
      <w:tr w:rsidR="00293170" w:rsidRPr="001E0AD1" w:rsidTr="00871886">
        <w:trPr>
          <w:trHeight w:val="300"/>
        </w:trPr>
        <w:tc>
          <w:tcPr>
            <w:tcW w:w="2760" w:type="dxa"/>
            <w:tcBorders>
              <w:top w:val="nil"/>
              <w:left w:val="nil"/>
              <w:bottom w:val="nil"/>
              <w:right w:val="nil"/>
            </w:tcBorders>
            <w:shd w:val="clear" w:color="000000" w:fill="D3DFEE"/>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Nuotekų šalinimas</w:t>
            </w:r>
          </w:p>
        </w:tc>
        <w:tc>
          <w:tcPr>
            <w:tcW w:w="1601"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449.999 €</w:t>
            </w:r>
          </w:p>
        </w:tc>
        <w:tc>
          <w:tcPr>
            <w:tcW w:w="1417"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448.782 €</w:t>
            </w:r>
          </w:p>
        </w:tc>
        <w:tc>
          <w:tcPr>
            <w:tcW w:w="1418"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1.217 €</w:t>
            </w:r>
          </w:p>
        </w:tc>
        <w:tc>
          <w:tcPr>
            <w:tcW w:w="1559" w:type="dxa"/>
            <w:tcBorders>
              <w:top w:val="nil"/>
              <w:left w:val="nil"/>
              <w:bottom w:val="nil"/>
              <w:right w:val="nil"/>
            </w:tcBorders>
            <w:shd w:val="clear" w:color="000000" w:fill="D3DFEE"/>
            <w:noWrap/>
            <w:vAlign w:val="center"/>
            <w:hideMark/>
          </w:tcPr>
          <w:p w:rsidR="00293170" w:rsidRPr="001E0AD1" w:rsidRDefault="00293170" w:rsidP="00871886">
            <w:pPr>
              <w:jc w:val="center"/>
              <w:rPr>
                <w:sz w:val="22"/>
                <w:szCs w:val="22"/>
                <w:lang w:val="lt-LT" w:eastAsia="lt-LT"/>
              </w:rPr>
            </w:pPr>
            <w:r w:rsidRPr="001E0AD1">
              <w:rPr>
                <w:sz w:val="22"/>
                <w:szCs w:val="22"/>
                <w:lang w:val="lt-LT" w:eastAsia="lt-LT"/>
              </w:rPr>
              <w:t>0,3</w:t>
            </w:r>
          </w:p>
        </w:tc>
      </w:tr>
      <w:tr w:rsidR="00293170" w:rsidRPr="001E0AD1" w:rsidTr="00871886">
        <w:trPr>
          <w:trHeight w:val="300"/>
        </w:trPr>
        <w:tc>
          <w:tcPr>
            <w:tcW w:w="2760" w:type="dxa"/>
            <w:tcBorders>
              <w:top w:val="nil"/>
              <w:left w:val="nil"/>
              <w:bottom w:val="nil"/>
              <w:right w:val="nil"/>
            </w:tcBorders>
            <w:shd w:val="clear" w:color="auto" w:fill="auto"/>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Lietaus nuotekos</w:t>
            </w:r>
          </w:p>
        </w:tc>
        <w:tc>
          <w:tcPr>
            <w:tcW w:w="1601" w:type="dxa"/>
            <w:tcBorders>
              <w:top w:val="nil"/>
              <w:left w:val="nil"/>
              <w:bottom w:val="nil"/>
              <w:right w:val="nil"/>
            </w:tcBorders>
            <w:shd w:val="clear" w:color="auto" w:fill="auto"/>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1.853 €</w:t>
            </w:r>
          </w:p>
        </w:tc>
        <w:tc>
          <w:tcPr>
            <w:tcW w:w="1417" w:type="dxa"/>
            <w:tcBorders>
              <w:top w:val="nil"/>
              <w:left w:val="nil"/>
              <w:bottom w:val="nil"/>
              <w:right w:val="nil"/>
            </w:tcBorders>
            <w:shd w:val="clear" w:color="auto" w:fill="auto"/>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1.856 €</w:t>
            </w:r>
          </w:p>
        </w:tc>
        <w:tc>
          <w:tcPr>
            <w:tcW w:w="1418" w:type="dxa"/>
            <w:tcBorders>
              <w:top w:val="nil"/>
              <w:left w:val="nil"/>
              <w:bottom w:val="nil"/>
              <w:right w:val="nil"/>
            </w:tcBorders>
            <w:shd w:val="clear" w:color="auto" w:fill="auto"/>
            <w:noWrap/>
            <w:vAlign w:val="center"/>
            <w:hideMark/>
          </w:tcPr>
          <w:p w:rsidR="00293170" w:rsidRPr="00863D68" w:rsidRDefault="00293170" w:rsidP="00871886">
            <w:pPr>
              <w:jc w:val="right"/>
              <w:rPr>
                <w:sz w:val="22"/>
                <w:szCs w:val="22"/>
                <w:lang w:val="lt-LT" w:eastAsia="lt-LT"/>
              </w:rPr>
            </w:pPr>
            <w:r w:rsidRPr="00863D68">
              <w:rPr>
                <w:color w:val="FF0000"/>
                <w:sz w:val="22"/>
                <w:szCs w:val="22"/>
                <w:lang w:val="lt-LT" w:eastAsia="lt-LT"/>
              </w:rPr>
              <w:t>-3 €</w:t>
            </w:r>
          </w:p>
        </w:tc>
        <w:tc>
          <w:tcPr>
            <w:tcW w:w="1559" w:type="dxa"/>
            <w:tcBorders>
              <w:top w:val="nil"/>
              <w:left w:val="nil"/>
              <w:bottom w:val="nil"/>
              <w:right w:val="nil"/>
            </w:tcBorders>
            <w:shd w:val="clear" w:color="auto" w:fill="auto"/>
            <w:noWrap/>
            <w:vAlign w:val="center"/>
            <w:hideMark/>
          </w:tcPr>
          <w:p w:rsidR="00293170" w:rsidRPr="001E0AD1" w:rsidRDefault="00293170" w:rsidP="00871886">
            <w:pPr>
              <w:jc w:val="center"/>
              <w:rPr>
                <w:color w:val="FF0000"/>
                <w:sz w:val="22"/>
                <w:szCs w:val="22"/>
                <w:lang w:val="lt-LT" w:eastAsia="lt-LT"/>
              </w:rPr>
            </w:pPr>
            <w:r w:rsidRPr="001E0AD1">
              <w:rPr>
                <w:color w:val="FF0000"/>
                <w:sz w:val="22"/>
                <w:szCs w:val="22"/>
                <w:lang w:val="lt-LT" w:eastAsia="lt-LT"/>
              </w:rPr>
              <w:t>-0,2</w:t>
            </w:r>
          </w:p>
        </w:tc>
      </w:tr>
      <w:tr w:rsidR="00293170" w:rsidRPr="001E0AD1" w:rsidTr="00871886">
        <w:trPr>
          <w:trHeight w:val="690"/>
        </w:trPr>
        <w:tc>
          <w:tcPr>
            <w:tcW w:w="2760" w:type="dxa"/>
            <w:tcBorders>
              <w:top w:val="nil"/>
              <w:left w:val="nil"/>
              <w:bottom w:val="nil"/>
              <w:right w:val="nil"/>
            </w:tcBorders>
            <w:shd w:val="clear" w:color="000000" w:fill="D3DFEE"/>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Nuotekų išvežimas asenizacinėmis mašinomis</w:t>
            </w:r>
          </w:p>
        </w:tc>
        <w:tc>
          <w:tcPr>
            <w:tcW w:w="1601"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30.696 €</w:t>
            </w:r>
          </w:p>
        </w:tc>
        <w:tc>
          <w:tcPr>
            <w:tcW w:w="1417"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26.247 €</w:t>
            </w:r>
          </w:p>
        </w:tc>
        <w:tc>
          <w:tcPr>
            <w:tcW w:w="1418" w:type="dxa"/>
            <w:tcBorders>
              <w:top w:val="nil"/>
              <w:left w:val="nil"/>
              <w:bottom w:val="nil"/>
              <w:right w:val="nil"/>
            </w:tcBorders>
            <w:shd w:val="clear" w:color="000000" w:fill="D3DFEE"/>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4.449 €</w:t>
            </w:r>
          </w:p>
        </w:tc>
        <w:tc>
          <w:tcPr>
            <w:tcW w:w="1559" w:type="dxa"/>
            <w:tcBorders>
              <w:top w:val="nil"/>
              <w:left w:val="nil"/>
              <w:bottom w:val="nil"/>
              <w:right w:val="nil"/>
            </w:tcBorders>
            <w:shd w:val="clear" w:color="000000" w:fill="D3DFEE"/>
            <w:noWrap/>
            <w:vAlign w:val="center"/>
            <w:hideMark/>
          </w:tcPr>
          <w:p w:rsidR="00293170" w:rsidRPr="001E0AD1" w:rsidRDefault="00293170" w:rsidP="00871886">
            <w:pPr>
              <w:jc w:val="center"/>
              <w:rPr>
                <w:sz w:val="22"/>
                <w:szCs w:val="22"/>
                <w:lang w:val="lt-LT" w:eastAsia="lt-LT"/>
              </w:rPr>
            </w:pPr>
            <w:r w:rsidRPr="001E0AD1">
              <w:rPr>
                <w:sz w:val="22"/>
                <w:szCs w:val="22"/>
                <w:lang w:val="lt-LT" w:eastAsia="lt-LT"/>
              </w:rPr>
              <w:t>17,0</w:t>
            </w:r>
          </w:p>
        </w:tc>
      </w:tr>
      <w:tr w:rsidR="00293170" w:rsidRPr="001E0AD1" w:rsidTr="00871886">
        <w:trPr>
          <w:trHeight w:val="315"/>
        </w:trPr>
        <w:tc>
          <w:tcPr>
            <w:tcW w:w="2760" w:type="dxa"/>
            <w:tcBorders>
              <w:top w:val="nil"/>
              <w:left w:val="nil"/>
              <w:bottom w:val="single" w:sz="8" w:space="0" w:color="auto"/>
              <w:right w:val="nil"/>
            </w:tcBorders>
            <w:shd w:val="clear" w:color="auto" w:fill="auto"/>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Kita veikla</w:t>
            </w:r>
          </w:p>
        </w:tc>
        <w:tc>
          <w:tcPr>
            <w:tcW w:w="1601" w:type="dxa"/>
            <w:tcBorders>
              <w:top w:val="nil"/>
              <w:left w:val="nil"/>
              <w:bottom w:val="single" w:sz="8" w:space="0" w:color="auto"/>
              <w:right w:val="nil"/>
            </w:tcBorders>
            <w:shd w:val="clear" w:color="auto" w:fill="auto"/>
            <w:noWrap/>
            <w:vAlign w:val="center"/>
            <w:hideMark/>
          </w:tcPr>
          <w:p w:rsidR="00293170" w:rsidRPr="001E0AD1" w:rsidRDefault="00293170" w:rsidP="00871886">
            <w:pPr>
              <w:jc w:val="right"/>
              <w:rPr>
                <w:sz w:val="22"/>
                <w:szCs w:val="22"/>
                <w:lang w:val="lt-LT" w:eastAsia="lt-LT"/>
              </w:rPr>
            </w:pPr>
            <w:r w:rsidRPr="001E0AD1">
              <w:rPr>
                <w:sz w:val="22"/>
                <w:szCs w:val="22"/>
                <w:lang w:val="lt-LT" w:eastAsia="lt-LT"/>
              </w:rPr>
              <w:t>7.255 €</w:t>
            </w:r>
          </w:p>
        </w:tc>
        <w:tc>
          <w:tcPr>
            <w:tcW w:w="1417" w:type="dxa"/>
            <w:tcBorders>
              <w:top w:val="nil"/>
              <w:left w:val="nil"/>
              <w:bottom w:val="single" w:sz="8" w:space="0" w:color="auto"/>
              <w:right w:val="nil"/>
            </w:tcBorders>
            <w:shd w:val="clear" w:color="auto" w:fill="auto"/>
            <w:noWrap/>
            <w:vAlign w:val="center"/>
            <w:hideMark/>
          </w:tcPr>
          <w:p w:rsidR="00293170" w:rsidRPr="001E0AD1" w:rsidRDefault="00293170" w:rsidP="001B22AF">
            <w:pPr>
              <w:jc w:val="right"/>
              <w:rPr>
                <w:sz w:val="22"/>
                <w:szCs w:val="22"/>
                <w:lang w:val="lt-LT" w:eastAsia="lt-LT"/>
              </w:rPr>
            </w:pPr>
            <w:r w:rsidRPr="001E0AD1">
              <w:rPr>
                <w:sz w:val="22"/>
                <w:szCs w:val="22"/>
                <w:lang w:val="lt-LT" w:eastAsia="lt-LT"/>
              </w:rPr>
              <w:t>5.</w:t>
            </w:r>
            <w:r w:rsidR="001B22AF">
              <w:rPr>
                <w:sz w:val="22"/>
                <w:szCs w:val="22"/>
                <w:lang w:val="lt-LT" w:eastAsia="lt-LT"/>
              </w:rPr>
              <w:t>7</w:t>
            </w:r>
            <w:r w:rsidRPr="001E0AD1">
              <w:rPr>
                <w:sz w:val="22"/>
                <w:szCs w:val="22"/>
                <w:lang w:val="lt-LT" w:eastAsia="lt-LT"/>
              </w:rPr>
              <w:t>1</w:t>
            </w:r>
            <w:r w:rsidR="001B22AF">
              <w:rPr>
                <w:sz w:val="22"/>
                <w:szCs w:val="22"/>
                <w:lang w:val="lt-LT" w:eastAsia="lt-LT"/>
              </w:rPr>
              <w:t>7</w:t>
            </w:r>
            <w:r w:rsidRPr="001E0AD1">
              <w:rPr>
                <w:sz w:val="22"/>
                <w:szCs w:val="22"/>
                <w:lang w:val="lt-LT" w:eastAsia="lt-LT"/>
              </w:rPr>
              <w:t xml:space="preserve"> €</w:t>
            </w:r>
          </w:p>
        </w:tc>
        <w:tc>
          <w:tcPr>
            <w:tcW w:w="1418" w:type="dxa"/>
            <w:tcBorders>
              <w:top w:val="nil"/>
              <w:left w:val="nil"/>
              <w:bottom w:val="single" w:sz="8" w:space="0" w:color="auto"/>
              <w:right w:val="nil"/>
            </w:tcBorders>
            <w:shd w:val="clear" w:color="auto" w:fill="auto"/>
            <w:noWrap/>
            <w:vAlign w:val="center"/>
            <w:hideMark/>
          </w:tcPr>
          <w:p w:rsidR="00293170" w:rsidRPr="001E0AD1" w:rsidRDefault="00293170" w:rsidP="0073396B">
            <w:pPr>
              <w:jc w:val="right"/>
              <w:rPr>
                <w:sz w:val="22"/>
                <w:szCs w:val="22"/>
                <w:lang w:val="lt-LT" w:eastAsia="lt-LT"/>
              </w:rPr>
            </w:pPr>
            <w:r w:rsidRPr="001E0AD1">
              <w:rPr>
                <w:sz w:val="22"/>
                <w:szCs w:val="22"/>
                <w:lang w:val="lt-LT" w:eastAsia="lt-LT"/>
              </w:rPr>
              <w:t>1.</w:t>
            </w:r>
            <w:r w:rsidR="0073396B">
              <w:rPr>
                <w:sz w:val="22"/>
                <w:szCs w:val="22"/>
                <w:lang w:val="lt-LT" w:eastAsia="lt-LT"/>
              </w:rPr>
              <w:t>538</w:t>
            </w:r>
            <w:r w:rsidRPr="001E0AD1">
              <w:rPr>
                <w:sz w:val="22"/>
                <w:szCs w:val="22"/>
                <w:lang w:val="lt-LT" w:eastAsia="lt-LT"/>
              </w:rPr>
              <w:t xml:space="preserve"> €</w:t>
            </w:r>
          </w:p>
        </w:tc>
        <w:tc>
          <w:tcPr>
            <w:tcW w:w="1559" w:type="dxa"/>
            <w:tcBorders>
              <w:top w:val="nil"/>
              <w:left w:val="nil"/>
              <w:bottom w:val="single" w:sz="8" w:space="0" w:color="auto"/>
              <w:right w:val="nil"/>
            </w:tcBorders>
            <w:shd w:val="clear" w:color="auto" w:fill="auto"/>
            <w:noWrap/>
            <w:vAlign w:val="center"/>
            <w:hideMark/>
          </w:tcPr>
          <w:p w:rsidR="00293170" w:rsidRPr="001E0AD1" w:rsidRDefault="0073396B" w:rsidP="00871886">
            <w:pPr>
              <w:jc w:val="center"/>
              <w:rPr>
                <w:sz w:val="22"/>
                <w:szCs w:val="22"/>
                <w:lang w:val="lt-LT" w:eastAsia="lt-LT"/>
              </w:rPr>
            </w:pPr>
            <w:r>
              <w:rPr>
                <w:sz w:val="22"/>
                <w:szCs w:val="22"/>
                <w:lang w:val="lt-LT" w:eastAsia="lt-LT"/>
              </w:rPr>
              <w:t>26,9</w:t>
            </w:r>
          </w:p>
        </w:tc>
      </w:tr>
      <w:tr w:rsidR="00293170" w:rsidRPr="001E0AD1" w:rsidTr="00871886">
        <w:trPr>
          <w:trHeight w:val="315"/>
        </w:trPr>
        <w:tc>
          <w:tcPr>
            <w:tcW w:w="2760" w:type="dxa"/>
            <w:tcBorders>
              <w:top w:val="nil"/>
              <w:left w:val="nil"/>
              <w:bottom w:val="single" w:sz="8" w:space="0" w:color="4F81BD"/>
              <w:right w:val="nil"/>
            </w:tcBorders>
            <w:shd w:val="clear" w:color="auto" w:fill="auto"/>
            <w:noWrap/>
            <w:vAlign w:val="center"/>
            <w:hideMark/>
          </w:tcPr>
          <w:p w:rsidR="00293170" w:rsidRPr="001E0AD1" w:rsidRDefault="00293170" w:rsidP="00871886">
            <w:pPr>
              <w:rPr>
                <w:b/>
                <w:bCs/>
                <w:sz w:val="22"/>
                <w:szCs w:val="22"/>
                <w:lang w:val="lt-LT" w:eastAsia="lt-LT"/>
              </w:rPr>
            </w:pPr>
            <w:r w:rsidRPr="001E0AD1">
              <w:rPr>
                <w:b/>
                <w:bCs/>
                <w:sz w:val="22"/>
                <w:szCs w:val="22"/>
                <w:lang w:val="lt-LT" w:eastAsia="lt-LT"/>
              </w:rPr>
              <w:t>Viso:</w:t>
            </w:r>
          </w:p>
        </w:tc>
        <w:tc>
          <w:tcPr>
            <w:tcW w:w="1601" w:type="dxa"/>
            <w:tcBorders>
              <w:top w:val="nil"/>
              <w:left w:val="nil"/>
              <w:bottom w:val="single" w:sz="8" w:space="0" w:color="4F81BD"/>
              <w:right w:val="nil"/>
            </w:tcBorders>
            <w:shd w:val="clear" w:color="auto" w:fill="auto"/>
            <w:noWrap/>
            <w:vAlign w:val="center"/>
            <w:hideMark/>
          </w:tcPr>
          <w:p w:rsidR="00293170" w:rsidRPr="001E0AD1" w:rsidRDefault="001B22AF" w:rsidP="00871886">
            <w:pPr>
              <w:jc w:val="right"/>
              <w:rPr>
                <w:b/>
                <w:bCs/>
                <w:sz w:val="22"/>
                <w:szCs w:val="22"/>
                <w:lang w:val="lt-LT" w:eastAsia="lt-LT"/>
              </w:rPr>
            </w:pPr>
            <w:r>
              <w:rPr>
                <w:b/>
                <w:bCs/>
                <w:sz w:val="22"/>
                <w:szCs w:val="22"/>
                <w:lang w:val="lt-LT" w:eastAsia="lt-LT"/>
              </w:rPr>
              <w:t>971 771</w:t>
            </w:r>
          </w:p>
        </w:tc>
        <w:tc>
          <w:tcPr>
            <w:tcW w:w="1417" w:type="dxa"/>
            <w:tcBorders>
              <w:top w:val="nil"/>
              <w:left w:val="nil"/>
              <w:bottom w:val="single" w:sz="8" w:space="0" w:color="4F81BD"/>
              <w:right w:val="nil"/>
            </w:tcBorders>
            <w:shd w:val="clear" w:color="auto" w:fill="auto"/>
            <w:noWrap/>
            <w:vAlign w:val="center"/>
            <w:hideMark/>
          </w:tcPr>
          <w:p w:rsidR="00293170" w:rsidRPr="001E0AD1" w:rsidRDefault="00293170" w:rsidP="001B22AF">
            <w:pPr>
              <w:jc w:val="right"/>
              <w:rPr>
                <w:b/>
                <w:bCs/>
                <w:sz w:val="22"/>
                <w:szCs w:val="22"/>
                <w:lang w:val="lt-LT" w:eastAsia="lt-LT"/>
              </w:rPr>
            </w:pPr>
            <w:r w:rsidRPr="001E0AD1">
              <w:rPr>
                <w:b/>
                <w:bCs/>
                <w:sz w:val="22"/>
                <w:szCs w:val="22"/>
                <w:lang w:val="lt-LT" w:eastAsia="lt-LT"/>
              </w:rPr>
              <w:t>946.</w:t>
            </w:r>
            <w:r w:rsidR="001B22AF">
              <w:rPr>
                <w:b/>
                <w:bCs/>
                <w:sz w:val="22"/>
                <w:szCs w:val="22"/>
                <w:lang w:val="lt-LT" w:eastAsia="lt-LT"/>
              </w:rPr>
              <w:t>603</w:t>
            </w:r>
            <w:r w:rsidRPr="001E0AD1">
              <w:rPr>
                <w:b/>
                <w:bCs/>
                <w:sz w:val="22"/>
                <w:szCs w:val="22"/>
                <w:lang w:val="lt-LT" w:eastAsia="lt-LT"/>
              </w:rPr>
              <w:t xml:space="preserve"> €</w:t>
            </w:r>
          </w:p>
        </w:tc>
        <w:tc>
          <w:tcPr>
            <w:tcW w:w="1418" w:type="dxa"/>
            <w:tcBorders>
              <w:top w:val="nil"/>
              <w:left w:val="nil"/>
              <w:bottom w:val="single" w:sz="8" w:space="0" w:color="4F81BD"/>
              <w:right w:val="nil"/>
            </w:tcBorders>
            <w:shd w:val="clear" w:color="auto" w:fill="auto"/>
            <w:noWrap/>
            <w:vAlign w:val="center"/>
            <w:hideMark/>
          </w:tcPr>
          <w:p w:rsidR="00293170" w:rsidRPr="001E0AD1" w:rsidRDefault="0073396B" w:rsidP="0076736E">
            <w:pPr>
              <w:jc w:val="right"/>
              <w:rPr>
                <w:b/>
                <w:bCs/>
                <w:sz w:val="22"/>
                <w:szCs w:val="22"/>
                <w:lang w:val="lt-LT" w:eastAsia="lt-LT"/>
              </w:rPr>
            </w:pPr>
            <w:r>
              <w:rPr>
                <w:b/>
                <w:bCs/>
                <w:sz w:val="22"/>
                <w:szCs w:val="22"/>
                <w:lang w:val="lt-LT" w:eastAsia="lt-LT"/>
              </w:rPr>
              <w:t>25.</w:t>
            </w:r>
            <w:r w:rsidR="0076736E">
              <w:rPr>
                <w:b/>
                <w:bCs/>
                <w:sz w:val="22"/>
                <w:szCs w:val="22"/>
                <w:lang w:val="lt-LT" w:eastAsia="lt-LT"/>
              </w:rPr>
              <w:t>168</w:t>
            </w:r>
            <w:r w:rsidR="00293170" w:rsidRPr="001E0AD1">
              <w:rPr>
                <w:b/>
                <w:bCs/>
                <w:sz w:val="22"/>
                <w:szCs w:val="22"/>
                <w:lang w:val="lt-LT" w:eastAsia="lt-LT"/>
              </w:rPr>
              <w:t xml:space="preserve"> €</w:t>
            </w:r>
          </w:p>
        </w:tc>
        <w:tc>
          <w:tcPr>
            <w:tcW w:w="1559" w:type="dxa"/>
            <w:tcBorders>
              <w:top w:val="nil"/>
              <w:left w:val="nil"/>
              <w:bottom w:val="single" w:sz="8" w:space="0" w:color="4F81BD"/>
              <w:right w:val="nil"/>
            </w:tcBorders>
            <w:shd w:val="clear" w:color="auto" w:fill="auto"/>
            <w:noWrap/>
            <w:vAlign w:val="center"/>
            <w:hideMark/>
          </w:tcPr>
          <w:p w:rsidR="00293170" w:rsidRPr="001E0AD1" w:rsidRDefault="0073396B" w:rsidP="00871886">
            <w:pPr>
              <w:jc w:val="center"/>
              <w:rPr>
                <w:b/>
                <w:bCs/>
                <w:sz w:val="22"/>
                <w:szCs w:val="22"/>
                <w:lang w:val="lt-LT" w:eastAsia="lt-LT"/>
              </w:rPr>
            </w:pPr>
            <w:r>
              <w:rPr>
                <w:b/>
                <w:bCs/>
                <w:sz w:val="22"/>
                <w:szCs w:val="22"/>
                <w:lang w:val="lt-LT" w:eastAsia="lt-LT"/>
              </w:rPr>
              <w:t>2,65</w:t>
            </w:r>
          </w:p>
        </w:tc>
      </w:tr>
    </w:tbl>
    <w:p w:rsidR="00293170" w:rsidRPr="001E0AD1" w:rsidRDefault="00B146B7" w:rsidP="00293170">
      <w:pPr>
        <w:spacing w:after="120" w:line="360" w:lineRule="auto"/>
        <w:ind w:left="720"/>
        <w:contextualSpacing/>
        <w:jc w:val="right"/>
        <w:rPr>
          <w:i/>
          <w:sz w:val="16"/>
          <w:szCs w:val="16"/>
          <w:lang w:val="lt-LT"/>
        </w:rPr>
      </w:pPr>
      <w:r w:rsidRPr="001E0AD1">
        <w:rPr>
          <w:i/>
          <w:sz w:val="16"/>
          <w:szCs w:val="16"/>
          <w:lang w:val="lt-LT"/>
        </w:rPr>
        <w:t>2</w:t>
      </w:r>
      <w:r w:rsidR="00293170" w:rsidRPr="001E0AD1">
        <w:rPr>
          <w:i/>
          <w:sz w:val="16"/>
          <w:szCs w:val="16"/>
          <w:lang w:val="lt-LT"/>
        </w:rPr>
        <w:t>. Lentelė: UAB „Prienų vandenys“  pagrindinės veiklos pajamos</w:t>
      </w:r>
    </w:p>
    <w:p w:rsidR="00293170" w:rsidRPr="001E0AD1" w:rsidRDefault="0087457F" w:rsidP="00293170">
      <w:pPr>
        <w:pStyle w:val="BodyTextIndent"/>
        <w:ind w:firstLine="851"/>
        <w:rPr>
          <w:b/>
          <w:bCs/>
          <w:i/>
          <w:iCs/>
        </w:rPr>
      </w:pPr>
      <w:r w:rsidRPr="001E0AD1">
        <w:rPr>
          <w:noProof/>
          <w:lang w:eastAsia="lt-LT"/>
        </w:rPr>
        <w:drawing>
          <wp:anchor distT="6096" distB="4191" distL="120396" distR="123317" simplePos="0" relativeHeight="251653632" behindDoc="0" locked="0" layoutInCell="1" allowOverlap="1">
            <wp:simplePos x="0" y="0"/>
            <wp:positionH relativeFrom="column">
              <wp:posOffset>-59055</wp:posOffset>
            </wp:positionH>
            <wp:positionV relativeFrom="paragraph">
              <wp:posOffset>1957705</wp:posOffset>
            </wp:positionV>
            <wp:extent cx="5581015" cy="2043430"/>
            <wp:effectExtent l="0" t="0" r="19685" b="13970"/>
            <wp:wrapSquare wrapText="bothSides"/>
            <wp:docPr id="13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293170" w:rsidRPr="001E0AD1">
        <w:rPr>
          <w:b/>
          <w:bCs/>
          <w:i/>
          <w:iCs/>
        </w:rPr>
        <w:t xml:space="preserve">Pagrindinis veiksnys lėmęs </w:t>
      </w:r>
      <w:r w:rsidR="0076736E">
        <w:rPr>
          <w:b/>
          <w:bCs/>
          <w:i/>
          <w:iCs/>
        </w:rPr>
        <w:t>2,65</w:t>
      </w:r>
      <w:r w:rsidR="00293170" w:rsidRPr="001E0AD1">
        <w:rPr>
          <w:b/>
          <w:bCs/>
          <w:i/>
          <w:iCs/>
        </w:rPr>
        <w:t xml:space="preserve"> proc. bendrą teigiamą pajamų pokytį - išaugusi vandens realizacija. Geriamojo vandens realizacija Bendrovės aptarnaujamoje teritorijoje per penkerių metų laikotarpį buvo didžiausia ir siekė 381426 kūb. m (2. Diagrama). Pagrindinės priežastys lėmusios didesnį realizuoto geriamojo vandens kiekį, tai meteorologinės sąlygos (alinanti sausra), bei anksčiau įvykdyti geriamojo vandens tinklų plėtros projektai Balbieriškyje. Tačiau būtina paminėti, jog bendras realizuoto geriamojo vandens kiekio pokytis, neatspindi esamos situacijos atskirose gyvenvietėse. </w:t>
      </w:r>
    </w:p>
    <w:p w:rsidR="00293170" w:rsidRPr="001E0AD1" w:rsidRDefault="00AD4C99" w:rsidP="00293170">
      <w:pPr>
        <w:spacing w:line="360" w:lineRule="auto"/>
        <w:jc w:val="center"/>
        <w:rPr>
          <w:i/>
          <w:sz w:val="20"/>
          <w:szCs w:val="20"/>
          <w:lang w:val="lt-LT"/>
        </w:rPr>
      </w:pPr>
      <w:r>
        <w:rPr>
          <w:i/>
          <w:noProof/>
          <w:sz w:val="20"/>
          <w:szCs w:val="20"/>
          <w:lang w:val="lt-LT" w:eastAsia="lt-LT"/>
        </w:rPr>
        <w:pict>
          <v:shape id="Text Box 11" o:spid="_x0000_s1029" type="#_x0000_t202" style="position:absolute;left:0;text-align:left;margin-left:-446.35pt;margin-top:180pt;width:428.25pt;height:18.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" fillcolor="white [3201]" stroked="f" strokeweight=".5pt">
            <v:textbox>
              <w:txbxContent>
                <w:p w:rsidR="0087457F" w:rsidRDefault="0087457F">
                  <w:r w:rsidRPr="001E0AD1">
                    <w:rPr>
                      <w:i/>
                      <w:sz w:val="20"/>
                      <w:szCs w:val="20"/>
                      <w:lang w:val="lt-LT"/>
                    </w:rPr>
                    <w:t>2. Diagrama: patiektas geriamojo vandens kiekis įmonėms ir gyventojams Prienų rajone kūb. m.</w:t>
                  </w:r>
                </w:p>
              </w:txbxContent>
            </v:textbox>
          </v:shape>
        </w:pict>
      </w: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87457F" w:rsidRDefault="0087457F" w:rsidP="00293170">
      <w:pPr>
        <w:pStyle w:val="BodyTextIndent"/>
        <w:ind w:firstLine="851"/>
        <w:rPr>
          <w:b/>
          <w:bCs/>
          <w:i/>
          <w:iCs/>
        </w:rPr>
      </w:pPr>
    </w:p>
    <w:p w:rsidR="00293170" w:rsidRPr="001E0AD1" w:rsidRDefault="00293170" w:rsidP="00293170">
      <w:pPr>
        <w:pStyle w:val="BodyTextIndent"/>
        <w:ind w:firstLine="851"/>
        <w:rPr>
          <w:b/>
          <w:bCs/>
          <w:i/>
          <w:iCs/>
        </w:rPr>
      </w:pPr>
      <w:r w:rsidRPr="001E0AD1">
        <w:rPr>
          <w:b/>
          <w:bCs/>
          <w:i/>
          <w:iCs/>
        </w:rPr>
        <w:lastRenderedPageBreak/>
        <w:t xml:space="preserve">Prienų mieste realizuoto geriamojo vandens kiekis lyginant 2015 m. su 2014 m. sumažėjo 2893 kūb. m., o jei lyginsime 2015 m. su 2011 m. sumažėjimas siekia 11898 kūb. m. Pagrindinė priežastis lemianti neigiamą realizuoto geriamojo vandens kiekio pokytį Prienų mieste – gyventojų skaičiaus mažėjimo tendencijos. Remiantis Lietuvos statistikos departamento duomenimis per 2011 m. – 2015 m. Prienų mieste sumažėjo 640 gyventojų. </w:t>
      </w:r>
    </w:p>
    <w:p w:rsidR="00293170" w:rsidRPr="001E0AD1" w:rsidRDefault="00293170" w:rsidP="00293170">
      <w:pPr>
        <w:pStyle w:val="BodyTextIndent"/>
        <w:ind w:firstLine="851"/>
        <w:rPr>
          <w:b/>
          <w:bCs/>
          <w:i/>
          <w:iCs/>
        </w:rPr>
      </w:pPr>
      <w:r w:rsidRPr="001E0AD1">
        <w:rPr>
          <w:b/>
          <w:bCs/>
          <w:i/>
          <w:iCs/>
        </w:rPr>
        <w:t xml:space="preserve">Apibendrinant galima teigti, jog Bendrovės pajamos išaugo dėl didesnio patiekto geriamojo vandens kiekio. Patiekto geriamojo vandens kiekis per paskutinius tris metus tendencingai augo ir 2015 m. buvo didžiausias per penkerių metų laikotarpį. Bendrovei įgyvendinant naujus vandentiekio plėtros projektus galimas ir tolimesnis patiekto geriamojo vandens kiekio augimas trumpajame laikotarpyje, tačiau ilgajame laikotarpyje gyventojų skaičiaus mažėjimas įtakos Bendrovės pagrindinės veiklos pajamų mažėjimą. </w:t>
      </w:r>
    </w:p>
    <w:p w:rsidR="00293170" w:rsidRPr="001E0AD1" w:rsidRDefault="004F4B97" w:rsidP="00293170">
      <w:pPr>
        <w:pStyle w:val="BodyTextIndent"/>
        <w:ind w:firstLine="851"/>
        <w:rPr>
          <w:b/>
          <w:bCs/>
          <w:i/>
          <w:iCs/>
        </w:rPr>
      </w:pPr>
      <w:r w:rsidRPr="001E0AD1">
        <w:rPr>
          <w:b/>
          <w:bCs/>
          <w:i/>
          <w:iCs/>
          <w:caps/>
          <w:sz w:val="28"/>
          <w:szCs w:val="28"/>
        </w:rPr>
        <w:t>SĄNAUDOS.</w:t>
      </w:r>
      <w:r w:rsidR="00293170" w:rsidRPr="001E0AD1">
        <w:rPr>
          <w:b/>
          <w:bCs/>
          <w:i/>
          <w:iCs/>
        </w:rPr>
        <w:t xml:space="preserve">UAB „Prienų vandenys“ sąnaudos 2015 m. siekė 978824 Eur. Pagrindinės veiklos sąnaudos sudarė </w:t>
      </w:r>
      <w:r w:rsidR="0076736E">
        <w:rPr>
          <w:b/>
          <w:bCs/>
          <w:i/>
          <w:iCs/>
        </w:rPr>
        <w:t>833596</w:t>
      </w:r>
      <w:r w:rsidR="00293170" w:rsidRPr="001E0AD1">
        <w:rPr>
          <w:b/>
          <w:bCs/>
          <w:i/>
          <w:iCs/>
        </w:rPr>
        <w:t xml:space="preserve">Eur, bendrosios administracinės </w:t>
      </w:r>
      <w:r w:rsidR="0076736E">
        <w:rPr>
          <w:b/>
          <w:bCs/>
          <w:i/>
          <w:iCs/>
        </w:rPr>
        <w:t>–135 301</w:t>
      </w:r>
      <w:r w:rsidR="00293170" w:rsidRPr="001E0AD1">
        <w:rPr>
          <w:b/>
          <w:bCs/>
          <w:i/>
          <w:iCs/>
        </w:rPr>
        <w:t xml:space="preserve">Eur, </w:t>
      </w:r>
      <w:r w:rsidR="008B6BE0">
        <w:rPr>
          <w:b/>
          <w:bCs/>
          <w:i/>
          <w:iCs/>
        </w:rPr>
        <w:t>tame skaičiuje</w:t>
      </w:r>
      <w:r w:rsidR="0076736E">
        <w:rPr>
          <w:b/>
          <w:bCs/>
          <w:i/>
          <w:iCs/>
        </w:rPr>
        <w:t>:</w:t>
      </w:r>
      <w:r w:rsidR="00293170" w:rsidRPr="001E0AD1">
        <w:rPr>
          <w:b/>
          <w:bCs/>
          <w:i/>
          <w:iCs/>
        </w:rPr>
        <w:t xml:space="preserve">veiklos mokesčių sąnaudos - </w:t>
      </w:r>
      <w:r w:rsidR="0076736E">
        <w:rPr>
          <w:b/>
          <w:bCs/>
          <w:i/>
          <w:iCs/>
        </w:rPr>
        <w:t>4075</w:t>
      </w:r>
      <w:r w:rsidR="00293170" w:rsidRPr="001E0AD1">
        <w:rPr>
          <w:b/>
          <w:bCs/>
          <w:i/>
          <w:iCs/>
        </w:rPr>
        <w:t>Eur, finansinės – investicinės veiklos sąnaudos - 9839 Eur, kitos 88 Eur.  Patirtos sąnaudos 2015 m. lyginant su 2014 m. padidėjo 4 proc.</w:t>
      </w:r>
    </w:p>
    <w:p w:rsidR="00293170" w:rsidRPr="001E0AD1" w:rsidRDefault="00293170" w:rsidP="00293170">
      <w:pPr>
        <w:pStyle w:val="BodyTextIndent"/>
        <w:ind w:firstLine="851"/>
        <w:rPr>
          <w:b/>
          <w:bCs/>
          <w:i/>
          <w:iCs/>
        </w:rPr>
      </w:pPr>
      <w:r w:rsidRPr="001E0AD1">
        <w:rPr>
          <w:b/>
          <w:bCs/>
          <w:i/>
          <w:iCs/>
        </w:rPr>
        <w:t>Atkreipiant dėmesį į pagrindines sąnaudų grupes, kurios sudaro didžiausią procentinę dalį nuo bendrųjų sąnaudų galime teigti, jog 2015 m. padidėjo atlyginimų, ilgalaikio materialaus turto nusidėvėjimo, veiklos mokesčių ir socialinio draudimo sąnaudos, tačiau sumažėjo elektros, nuotekų valymo Birštono valymo įrenginiuose, medžiagų ir kuro sąnaudos (2, 3 lentelės).</w:t>
      </w:r>
    </w:p>
    <w:tbl>
      <w:tblPr>
        <w:tblpPr w:leftFromText="180" w:rightFromText="180" w:vertAnchor="text" w:horzAnchor="margin" w:tblpXSpec="center" w:tblpY="68"/>
        <w:tblW w:w="8257" w:type="dxa"/>
        <w:tblLayout w:type="fixed"/>
        <w:tblLook w:val="04A0"/>
      </w:tblPr>
      <w:tblGrid>
        <w:gridCol w:w="2269"/>
        <w:gridCol w:w="1434"/>
        <w:gridCol w:w="1840"/>
        <w:gridCol w:w="1219"/>
        <w:gridCol w:w="1495"/>
      </w:tblGrid>
      <w:tr w:rsidR="00293170" w:rsidRPr="001E0AD1" w:rsidTr="009D4750">
        <w:trPr>
          <w:trHeight w:val="1200"/>
        </w:trPr>
        <w:tc>
          <w:tcPr>
            <w:tcW w:w="2269" w:type="dxa"/>
            <w:tcBorders>
              <w:top w:val="single" w:sz="8" w:space="0" w:color="4F81BD"/>
              <w:left w:val="nil"/>
              <w:bottom w:val="single" w:sz="8" w:space="0" w:color="4F81BD"/>
              <w:right w:val="nil"/>
            </w:tcBorders>
            <w:shd w:val="clear" w:color="auto" w:fill="auto"/>
            <w:vAlign w:val="center"/>
            <w:hideMark/>
          </w:tcPr>
          <w:p w:rsidR="00293170" w:rsidRPr="001E0AD1" w:rsidRDefault="00293170" w:rsidP="00293170">
            <w:pPr>
              <w:jc w:val="center"/>
              <w:rPr>
                <w:b/>
                <w:bCs/>
                <w:color w:val="000000"/>
                <w:sz w:val="22"/>
                <w:szCs w:val="22"/>
                <w:lang w:val="lt-LT" w:eastAsia="lt-LT"/>
              </w:rPr>
            </w:pPr>
            <w:r w:rsidRPr="001E0AD1">
              <w:rPr>
                <w:b/>
                <w:bCs/>
                <w:color w:val="000000"/>
                <w:sz w:val="22"/>
                <w:szCs w:val="22"/>
                <w:lang w:val="lt-LT" w:eastAsia="lt-LT"/>
              </w:rPr>
              <w:t xml:space="preserve">Sąnaudos </w:t>
            </w:r>
          </w:p>
        </w:tc>
        <w:tc>
          <w:tcPr>
            <w:tcW w:w="1434" w:type="dxa"/>
            <w:tcBorders>
              <w:top w:val="single" w:sz="8" w:space="0" w:color="4F81BD"/>
              <w:left w:val="nil"/>
              <w:bottom w:val="single" w:sz="8" w:space="0" w:color="4F81BD"/>
              <w:right w:val="nil"/>
            </w:tcBorders>
            <w:shd w:val="clear" w:color="auto" w:fill="auto"/>
            <w:vAlign w:val="center"/>
            <w:hideMark/>
          </w:tcPr>
          <w:p w:rsidR="00293170" w:rsidRPr="001E0AD1" w:rsidRDefault="00293170" w:rsidP="00293170">
            <w:pPr>
              <w:jc w:val="center"/>
              <w:rPr>
                <w:b/>
                <w:bCs/>
                <w:color w:val="000000"/>
                <w:sz w:val="22"/>
                <w:szCs w:val="22"/>
                <w:lang w:val="lt-LT" w:eastAsia="lt-LT"/>
              </w:rPr>
            </w:pPr>
            <w:r w:rsidRPr="001E0AD1">
              <w:rPr>
                <w:b/>
                <w:bCs/>
                <w:color w:val="000000"/>
                <w:sz w:val="22"/>
                <w:szCs w:val="22"/>
                <w:lang w:val="lt-LT" w:eastAsia="lt-LT"/>
              </w:rPr>
              <w:t>Atlyginimai</w:t>
            </w:r>
          </w:p>
        </w:tc>
        <w:tc>
          <w:tcPr>
            <w:tcW w:w="1840" w:type="dxa"/>
            <w:tcBorders>
              <w:top w:val="single" w:sz="8" w:space="0" w:color="4F81BD"/>
              <w:left w:val="nil"/>
              <w:bottom w:val="single" w:sz="8" w:space="0" w:color="4F81BD"/>
              <w:right w:val="nil"/>
            </w:tcBorders>
            <w:shd w:val="clear" w:color="auto" w:fill="auto"/>
            <w:vAlign w:val="center"/>
            <w:hideMark/>
          </w:tcPr>
          <w:p w:rsidR="00293170" w:rsidRPr="001E0AD1" w:rsidRDefault="00293170" w:rsidP="00293170">
            <w:pPr>
              <w:jc w:val="center"/>
              <w:rPr>
                <w:b/>
                <w:bCs/>
                <w:color w:val="000000"/>
                <w:sz w:val="22"/>
                <w:szCs w:val="22"/>
                <w:lang w:val="lt-LT" w:eastAsia="lt-LT"/>
              </w:rPr>
            </w:pPr>
            <w:r w:rsidRPr="001E0AD1">
              <w:rPr>
                <w:b/>
                <w:bCs/>
                <w:color w:val="000000"/>
                <w:sz w:val="22"/>
                <w:szCs w:val="22"/>
                <w:lang w:val="lt-LT" w:eastAsia="lt-LT"/>
              </w:rPr>
              <w:t>Ilgalaikio materialaus turto nusidėvėjmas</w:t>
            </w:r>
          </w:p>
        </w:tc>
        <w:tc>
          <w:tcPr>
            <w:tcW w:w="1219" w:type="dxa"/>
            <w:tcBorders>
              <w:top w:val="single" w:sz="8" w:space="0" w:color="4F81BD"/>
              <w:left w:val="nil"/>
              <w:bottom w:val="single" w:sz="8" w:space="0" w:color="4F81BD"/>
              <w:right w:val="nil"/>
            </w:tcBorders>
            <w:shd w:val="clear" w:color="auto" w:fill="auto"/>
            <w:vAlign w:val="center"/>
            <w:hideMark/>
          </w:tcPr>
          <w:p w:rsidR="00293170" w:rsidRPr="001E0AD1" w:rsidRDefault="00293170" w:rsidP="00293170">
            <w:pPr>
              <w:jc w:val="center"/>
              <w:rPr>
                <w:b/>
                <w:bCs/>
                <w:color w:val="000000"/>
                <w:sz w:val="22"/>
                <w:szCs w:val="22"/>
                <w:lang w:val="lt-LT" w:eastAsia="lt-LT"/>
              </w:rPr>
            </w:pPr>
            <w:r w:rsidRPr="001E0AD1">
              <w:rPr>
                <w:b/>
                <w:bCs/>
                <w:color w:val="000000"/>
                <w:sz w:val="22"/>
                <w:szCs w:val="22"/>
                <w:lang w:val="lt-LT" w:eastAsia="lt-LT"/>
              </w:rPr>
              <w:t>Medžiagos</w:t>
            </w:r>
          </w:p>
        </w:tc>
        <w:tc>
          <w:tcPr>
            <w:tcW w:w="1495" w:type="dxa"/>
            <w:tcBorders>
              <w:top w:val="single" w:sz="8" w:space="0" w:color="4F81BD"/>
              <w:left w:val="nil"/>
              <w:bottom w:val="single" w:sz="8" w:space="0" w:color="4F81BD"/>
              <w:right w:val="nil"/>
            </w:tcBorders>
            <w:shd w:val="clear" w:color="auto" w:fill="auto"/>
            <w:vAlign w:val="center"/>
            <w:hideMark/>
          </w:tcPr>
          <w:p w:rsidR="00293170" w:rsidRPr="001E0AD1" w:rsidRDefault="00293170" w:rsidP="00293170">
            <w:pPr>
              <w:jc w:val="center"/>
              <w:rPr>
                <w:b/>
                <w:bCs/>
                <w:color w:val="000000"/>
                <w:sz w:val="22"/>
                <w:szCs w:val="22"/>
                <w:lang w:val="lt-LT" w:eastAsia="lt-LT"/>
              </w:rPr>
            </w:pPr>
            <w:r w:rsidRPr="001E0AD1">
              <w:rPr>
                <w:b/>
                <w:bCs/>
                <w:color w:val="000000"/>
                <w:sz w:val="22"/>
                <w:szCs w:val="22"/>
                <w:lang w:val="lt-LT" w:eastAsia="lt-LT"/>
              </w:rPr>
              <w:t xml:space="preserve">Elektra </w:t>
            </w:r>
          </w:p>
        </w:tc>
      </w:tr>
      <w:tr w:rsidR="00293170" w:rsidRPr="001E0AD1" w:rsidTr="009D4750">
        <w:trPr>
          <w:trHeight w:val="300"/>
        </w:trPr>
        <w:tc>
          <w:tcPr>
            <w:tcW w:w="2269" w:type="dxa"/>
            <w:tcBorders>
              <w:top w:val="nil"/>
              <w:left w:val="nil"/>
              <w:bottom w:val="nil"/>
              <w:right w:val="nil"/>
            </w:tcBorders>
            <w:shd w:val="clear" w:color="000000" w:fill="D3DFEE"/>
            <w:noWrap/>
            <w:vAlign w:val="center"/>
            <w:hideMark/>
          </w:tcPr>
          <w:p w:rsidR="00293170" w:rsidRPr="001E0AD1" w:rsidRDefault="00293170" w:rsidP="00293170">
            <w:pPr>
              <w:jc w:val="center"/>
              <w:rPr>
                <w:sz w:val="22"/>
                <w:szCs w:val="22"/>
                <w:lang w:val="lt-LT" w:eastAsia="lt-LT"/>
              </w:rPr>
            </w:pPr>
            <w:r w:rsidRPr="001E0AD1">
              <w:rPr>
                <w:sz w:val="22"/>
                <w:szCs w:val="22"/>
                <w:lang w:val="lt-LT" w:eastAsia="lt-LT"/>
              </w:rPr>
              <w:t>2015 m.</w:t>
            </w:r>
          </w:p>
        </w:tc>
        <w:tc>
          <w:tcPr>
            <w:tcW w:w="1434" w:type="dxa"/>
            <w:tcBorders>
              <w:top w:val="nil"/>
              <w:left w:val="nil"/>
              <w:bottom w:val="nil"/>
              <w:right w:val="nil"/>
            </w:tcBorders>
            <w:shd w:val="clear" w:color="000000" w:fill="D3DFEE"/>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259.281 €</w:t>
            </w:r>
          </w:p>
        </w:tc>
        <w:tc>
          <w:tcPr>
            <w:tcW w:w="1840" w:type="dxa"/>
            <w:tcBorders>
              <w:top w:val="nil"/>
              <w:left w:val="nil"/>
              <w:bottom w:val="nil"/>
              <w:right w:val="nil"/>
            </w:tcBorders>
            <w:shd w:val="clear" w:color="000000" w:fill="D3DFEE"/>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323.217 €</w:t>
            </w:r>
          </w:p>
        </w:tc>
        <w:tc>
          <w:tcPr>
            <w:tcW w:w="1219" w:type="dxa"/>
            <w:tcBorders>
              <w:top w:val="nil"/>
              <w:left w:val="nil"/>
              <w:bottom w:val="nil"/>
              <w:right w:val="nil"/>
            </w:tcBorders>
            <w:shd w:val="clear" w:color="000000" w:fill="D3DFEE"/>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33.696 €</w:t>
            </w:r>
          </w:p>
        </w:tc>
        <w:tc>
          <w:tcPr>
            <w:tcW w:w="1495" w:type="dxa"/>
            <w:tcBorders>
              <w:top w:val="nil"/>
              <w:left w:val="nil"/>
              <w:bottom w:val="nil"/>
              <w:right w:val="nil"/>
            </w:tcBorders>
            <w:shd w:val="clear" w:color="000000" w:fill="D3DFEE"/>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58.782 €</w:t>
            </w:r>
          </w:p>
        </w:tc>
      </w:tr>
      <w:tr w:rsidR="00293170" w:rsidRPr="001E0AD1" w:rsidTr="009D4750">
        <w:trPr>
          <w:trHeight w:val="300"/>
        </w:trPr>
        <w:tc>
          <w:tcPr>
            <w:tcW w:w="2269" w:type="dxa"/>
            <w:tcBorders>
              <w:top w:val="nil"/>
              <w:left w:val="nil"/>
              <w:bottom w:val="nil"/>
              <w:right w:val="nil"/>
            </w:tcBorders>
            <w:shd w:val="clear" w:color="auto" w:fill="auto"/>
            <w:noWrap/>
            <w:vAlign w:val="center"/>
            <w:hideMark/>
          </w:tcPr>
          <w:p w:rsidR="00293170" w:rsidRPr="001E0AD1" w:rsidRDefault="00293170" w:rsidP="00293170">
            <w:pPr>
              <w:jc w:val="center"/>
              <w:rPr>
                <w:sz w:val="22"/>
                <w:szCs w:val="22"/>
                <w:lang w:val="lt-LT" w:eastAsia="lt-LT"/>
              </w:rPr>
            </w:pPr>
            <w:r w:rsidRPr="001E0AD1">
              <w:rPr>
                <w:sz w:val="22"/>
                <w:szCs w:val="22"/>
                <w:lang w:val="lt-LT" w:eastAsia="lt-LT"/>
              </w:rPr>
              <w:t>2014 m.</w:t>
            </w:r>
          </w:p>
        </w:tc>
        <w:tc>
          <w:tcPr>
            <w:tcW w:w="1434" w:type="dxa"/>
            <w:tcBorders>
              <w:top w:val="nil"/>
              <w:left w:val="nil"/>
              <w:bottom w:val="nil"/>
              <w:right w:val="nil"/>
            </w:tcBorders>
            <w:shd w:val="clear" w:color="auto" w:fill="auto"/>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235.131 €</w:t>
            </w:r>
          </w:p>
        </w:tc>
        <w:tc>
          <w:tcPr>
            <w:tcW w:w="1840" w:type="dxa"/>
            <w:tcBorders>
              <w:top w:val="nil"/>
              <w:left w:val="nil"/>
              <w:bottom w:val="nil"/>
              <w:right w:val="nil"/>
            </w:tcBorders>
            <w:shd w:val="clear" w:color="auto" w:fill="auto"/>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288.525 €</w:t>
            </w:r>
          </w:p>
        </w:tc>
        <w:tc>
          <w:tcPr>
            <w:tcW w:w="1219" w:type="dxa"/>
            <w:tcBorders>
              <w:top w:val="nil"/>
              <w:left w:val="nil"/>
              <w:bottom w:val="nil"/>
              <w:right w:val="nil"/>
            </w:tcBorders>
            <w:shd w:val="clear" w:color="auto" w:fill="auto"/>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36.805 €</w:t>
            </w:r>
          </w:p>
        </w:tc>
        <w:tc>
          <w:tcPr>
            <w:tcW w:w="1495" w:type="dxa"/>
            <w:tcBorders>
              <w:top w:val="nil"/>
              <w:left w:val="nil"/>
              <w:bottom w:val="nil"/>
              <w:right w:val="nil"/>
            </w:tcBorders>
            <w:shd w:val="clear" w:color="auto" w:fill="auto"/>
            <w:noWrap/>
            <w:vAlign w:val="center"/>
            <w:hideMark/>
          </w:tcPr>
          <w:p w:rsidR="00293170" w:rsidRPr="001E0AD1" w:rsidRDefault="00293170" w:rsidP="00293170">
            <w:pPr>
              <w:jc w:val="right"/>
              <w:rPr>
                <w:sz w:val="22"/>
                <w:szCs w:val="22"/>
                <w:lang w:val="lt-LT" w:eastAsia="lt-LT"/>
              </w:rPr>
            </w:pPr>
            <w:r w:rsidRPr="001E0AD1">
              <w:rPr>
                <w:sz w:val="22"/>
                <w:szCs w:val="22"/>
                <w:lang w:val="lt-LT" w:eastAsia="lt-LT"/>
              </w:rPr>
              <w:t>65.405 €</w:t>
            </w:r>
          </w:p>
        </w:tc>
      </w:tr>
      <w:tr w:rsidR="00293170" w:rsidRPr="001E0AD1" w:rsidTr="009D4750">
        <w:trPr>
          <w:trHeight w:val="300"/>
        </w:trPr>
        <w:tc>
          <w:tcPr>
            <w:tcW w:w="2269" w:type="dxa"/>
            <w:tcBorders>
              <w:top w:val="nil"/>
              <w:left w:val="nil"/>
              <w:bottom w:val="nil"/>
              <w:right w:val="nil"/>
            </w:tcBorders>
            <w:shd w:val="clear" w:color="000000" w:fill="D3DFEE"/>
            <w:noWrap/>
            <w:vAlign w:val="center"/>
            <w:hideMark/>
          </w:tcPr>
          <w:p w:rsidR="00293170" w:rsidRPr="001E0AD1" w:rsidRDefault="00293170" w:rsidP="00293170">
            <w:pPr>
              <w:rPr>
                <w:b/>
                <w:bCs/>
                <w:color w:val="000000"/>
                <w:sz w:val="22"/>
                <w:szCs w:val="22"/>
                <w:lang w:val="lt-LT" w:eastAsia="lt-LT"/>
              </w:rPr>
            </w:pPr>
            <w:r w:rsidRPr="001E0AD1">
              <w:rPr>
                <w:b/>
                <w:bCs/>
                <w:color w:val="000000"/>
                <w:sz w:val="22"/>
                <w:szCs w:val="22"/>
                <w:lang w:val="lt-LT" w:eastAsia="lt-LT"/>
              </w:rPr>
              <w:t>Viso skirtumas:</w:t>
            </w:r>
          </w:p>
        </w:tc>
        <w:tc>
          <w:tcPr>
            <w:tcW w:w="1434" w:type="dxa"/>
            <w:tcBorders>
              <w:top w:val="nil"/>
              <w:left w:val="nil"/>
              <w:bottom w:val="nil"/>
              <w:right w:val="nil"/>
            </w:tcBorders>
            <w:shd w:val="clear" w:color="000000" w:fill="D3DFEE"/>
            <w:noWrap/>
            <w:vAlign w:val="center"/>
            <w:hideMark/>
          </w:tcPr>
          <w:p w:rsidR="00293170" w:rsidRPr="001E0AD1" w:rsidRDefault="00293170" w:rsidP="00293170">
            <w:pPr>
              <w:jc w:val="right"/>
              <w:rPr>
                <w:b/>
                <w:color w:val="000000"/>
                <w:sz w:val="22"/>
                <w:szCs w:val="22"/>
                <w:lang w:val="lt-LT" w:eastAsia="lt-LT"/>
              </w:rPr>
            </w:pPr>
            <w:r w:rsidRPr="001E0AD1">
              <w:rPr>
                <w:b/>
                <w:color w:val="000000"/>
                <w:sz w:val="22"/>
                <w:szCs w:val="22"/>
                <w:lang w:val="lt-LT" w:eastAsia="lt-LT"/>
              </w:rPr>
              <w:t>24.150 €</w:t>
            </w:r>
          </w:p>
        </w:tc>
        <w:tc>
          <w:tcPr>
            <w:tcW w:w="1840" w:type="dxa"/>
            <w:tcBorders>
              <w:top w:val="nil"/>
              <w:left w:val="nil"/>
              <w:bottom w:val="nil"/>
              <w:right w:val="nil"/>
            </w:tcBorders>
            <w:shd w:val="clear" w:color="000000" w:fill="D3DFEE"/>
            <w:noWrap/>
            <w:vAlign w:val="center"/>
            <w:hideMark/>
          </w:tcPr>
          <w:p w:rsidR="00293170" w:rsidRPr="001E0AD1" w:rsidRDefault="00293170" w:rsidP="00293170">
            <w:pPr>
              <w:jc w:val="right"/>
              <w:rPr>
                <w:b/>
                <w:color w:val="000000"/>
                <w:sz w:val="22"/>
                <w:szCs w:val="22"/>
                <w:lang w:val="lt-LT" w:eastAsia="lt-LT"/>
              </w:rPr>
            </w:pPr>
            <w:r w:rsidRPr="001E0AD1">
              <w:rPr>
                <w:b/>
                <w:color w:val="000000"/>
                <w:sz w:val="22"/>
                <w:szCs w:val="22"/>
                <w:lang w:val="lt-LT" w:eastAsia="lt-LT"/>
              </w:rPr>
              <w:t>34.692 €</w:t>
            </w:r>
          </w:p>
        </w:tc>
        <w:tc>
          <w:tcPr>
            <w:tcW w:w="1219" w:type="dxa"/>
            <w:tcBorders>
              <w:top w:val="nil"/>
              <w:left w:val="nil"/>
              <w:bottom w:val="nil"/>
              <w:right w:val="nil"/>
            </w:tcBorders>
            <w:shd w:val="clear" w:color="000000" w:fill="D3DFEE"/>
            <w:noWrap/>
            <w:vAlign w:val="center"/>
            <w:hideMark/>
          </w:tcPr>
          <w:p w:rsidR="00293170" w:rsidRPr="001E0AD1" w:rsidRDefault="00293170" w:rsidP="00293170">
            <w:pPr>
              <w:jc w:val="right"/>
              <w:rPr>
                <w:b/>
                <w:color w:val="000000"/>
                <w:sz w:val="22"/>
                <w:szCs w:val="22"/>
                <w:lang w:val="lt-LT" w:eastAsia="lt-LT"/>
              </w:rPr>
            </w:pPr>
            <w:r w:rsidRPr="001E0AD1">
              <w:rPr>
                <w:b/>
                <w:color w:val="FF0000"/>
                <w:sz w:val="22"/>
                <w:szCs w:val="22"/>
                <w:lang w:val="lt-LT" w:eastAsia="lt-LT"/>
              </w:rPr>
              <w:t>-3.109 €</w:t>
            </w:r>
          </w:p>
        </w:tc>
        <w:tc>
          <w:tcPr>
            <w:tcW w:w="1495" w:type="dxa"/>
            <w:tcBorders>
              <w:top w:val="nil"/>
              <w:left w:val="nil"/>
              <w:bottom w:val="nil"/>
              <w:right w:val="nil"/>
            </w:tcBorders>
            <w:shd w:val="clear" w:color="000000" w:fill="D3DFEE"/>
            <w:noWrap/>
            <w:vAlign w:val="center"/>
            <w:hideMark/>
          </w:tcPr>
          <w:p w:rsidR="00293170" w:rsidRPr="001E0AD1" w:rsidRDefault="00293170" w:rsidP="00293170">
            <w:pPr>
              <w:jc w:val="right"/>
              <w:rPr>
                <w:b/>
                <w:color w:val="000000"/>
                <w:sz w:val="22"/>
                <w:szCs w:val="22"/>
                <w:lang w:val="lt-LT" w:eastAsia="lt-LT"/>
              </w:rPr>
            </w:pPr>
            <w:r w:rsidRPr="001E0AD1">
              <w:rPr>
                <w:b/>
                <w:color w:val="FF0000"/>
                <w:sz w:val="22"/>
                <w:szCs w:val="22"/>
                <w:lang w:val="lt-LT" w:eastAsia="lt-LT"/>
              </w:rPr>
              <w:t>-6.623 €</w:t>
            </w:r>
          </w:p>
        </w:tc>
      </w:tr>
      <w:tr w:rsidR="00293170" w:rsidRPr="001E0AD1" w:rsidTr="009D4750">
        <w:trPr>
          <w:trHeight w:val="315"/>
        </w:trPr>
        <w:tc>
          <w:tcPr>
            <w:tcW w:w="2269" w:type="dxa"/>
            <w:tcBorders>
              <w:top w:val="nil"/>
              <w:left w:val="nil"/>
              <w:bottom w:val="single" w:sz="8" w:space="0" w:color="4F81BD"/>
              <w:right w:val="nil"/>
            </w:tcBorders>
            <w:shd w:val="clear" w:color="auto" w:fill="auto"/>
            <w:noWrap/>
            <w:vAlign w:val="center"/>
            <w:hideMark/>
          </w:tcPr>
          <w:p w:rsidR="00293170" w:rsidRPr="001E0AD1" w:rsidRDefault="00293170" w:rsidP="00293170">
            <w:pPr>
              <w:rPr>
                <w:b/>
                <w:bCs/>
                <w:color w:val="000000"/>
                <w:sz w:val="22"/>
                <w:szCs w:val="22"/>
                <w:lang w:val="lt-LT" w:eastAsia="lt-LT"/>
              </w:rPr>
            </w:pPr>
            <w:r w:rsidRPr="001E0AD1">
              <w:rPr>
                <w:b/>
                <w:bCs/>
                <w:color w:val="000000"/>
                <w:sz w:val="22"/>
                <w:szCs w:val="22"/>
                <w:lang w:val="lt-LT" w:eastAsia="lt-LT"/>
              </w:rPr>
              <w:t>Viso proc. pokytis:</w:t>
            </w:r>
          </w:p>
        </w:tc>
        <w:tc>
          <w:tcPr>
            <w:tcW w:w="1434" w:type="dxa"/>
            <w:tcBorders>
              <w:top w:val="nil"/>
              <w:left w:val="nil"/>
              <w:bottom w:val="single" w:sz="8" w:space="0" w:color="4F81BD"/>
              <w:right w:val="nil"/>
            </w:tcBorders>
            <w:shd w:val="clear" w:color="auto" w:fill="auto"/>
            <w:noWrap/>
            <w:vAlign w:val="center"/>
            <w:hideMark/>
          </w:tcPr>
          <w:p w:rsidR="00293170" w:rsidRPr="001E0AD1" w:rsidRDefault="00293170" w:rsidP="00293170">
            <w:pPr>
              <w:jc w:val="right"/>
              <w:rPr>
                <w:b/>
                <w:sz w:val="22"/>
                <w:szCs w:val="22"/>
                <w:lang w:val="lt-LT" w:eastAsia="lt-LT"/>
              </w:rPr>
            </w:pPr>
            <w:r w:rsidRPr="001E0AD1">
              <w:rPr>
                <w:b/>
                <w:sz w:val="22"/>
                <w:szCs w:val="22"/>
                <w:lang w:val="lt-LT" w:eastAsia="lt-LT"/>
              </w:rPr>
              <w:t>10</w:t>
            </w:r>
          </w:p>
        </w:tc>
        <w:tc>
          <w:tcPr>
            <w:tcW w:w="1840" w:type="dxa"/>
            <w:tcBorders>
              <w:top w:val="nil"/>
              <w:left w:val="nil"/>
              <w:bottom w:val="single" w:sz="8" w:space="0" w:color="4F81BD"/>
              <w:right w:val="nil"/>
            </w:tcBorders>
            <w:shd w:val="clear" w:color="auto" w:fill="auto"/>
            <w:noWrap/>
            <w:vAlign w:val="center"/>
            <w:hideMark/>
          </w:tcPr>
          <w:p w:rsidR="00293170" w:rsidRPr="001E0AD1" w:rsidRDefault="00293170" w:rsidP="00293170">
            <w:pPr>
              <w:jc w:val="right"/>
              <w:rPr>
                <w:b/>
                <w:sz w:val="22"/>
                <w:szCs w:val="22"/>
                <w:lang w:val="lt-LT" w:eastAsia="lt-LT"/>
              </w:rPr>
            </w:pPr>
            <w:r w:rsidRPr="001E0AD1">
              <w:rPr>
                <w:b/>
                <w:sz w:val="22"/>
                <w:szCs w:val="22"/>
                <w:lang w:val="lt-LT" w:eastAsia="lt-LT"/>
              </w:rPr>
              <w:t>12</w:t>
            </w:r>
          </w:p>
        </w:tc>
        <w:tc>
          <w:tcPr>
            <w:tcW w:w="1219" w:type="dxa"/>
            <w:tcBorders>
              <w:top w:val="nil"/>
              <w:left w:val="nil"/>
              <w:bottom w:val="single" w:sz="8" w:space="0" w:color="4F81BD"/>
              <w:right w:val="nil"/>
            </w:tcBorders>
            <w:shd w:val="clear" w:color="auto" w:fill="auto"/>
            <w:noWrap/>
            <w:vAlign w:val="center"/>
            <w:hideMark/>
          </w:tcPr>
          <w:p w:rsidR="00293170" w:rsidRPr="001E0AD1" w:rsidRDefault="00293170" w:rsidP="00293170">
            <w:pPr>
              <w:jc w:val="right"/>
              <w:rPr>
                <w:b/>
                <w:color w:val="FF0000"/>
                <w:sz w:val="22"/>
                <w:szCs w:val="22"/>
                <w:lang w:val="lt-LT" w:eastAsia="lt-LT"/>
              </w:rPr>
            </w:pPr>
            <w:r w:rsidRPr="001E0AD1">
              <w:rPr>
                <w:b/>
                <w:color w:val="FF0000"/>
                <w:sz w:val="22"/>
                <w:szCs w:val="22"/>
                <w:lang w:val="lt-LT" w:eastAsia="lt-LT"/>
              </w:rPr>
              <w:t>-8</w:t>
            </w:r>
          </w:p>
        </w:tc>
        <w:tc>
          <w:tcPr>
            <w:tcW w:w="1495" w:type="dxa"/>
            <w:tcBorders>
              <w:top w:val="nil"/>
              <w:left w:val="nil"/>
              <w:bottom w:val="single" w:sz="8" w:space="0" w:color="4F81BD"/>
              <w:right w:val="nil"/>
            </w:tcBorders>
            <w:shd w:val="clear" w:color="auto" w:fill="auto"/>
            <w:noWrap/>
            <w:vAlign w:val="center"/>
            <w:hideMark/>
          </w:tcPr>
          <w:p w:rsidR="00293170" w:rsidRPr="001E0AD1" w:rsidRDefault="00293170" w:rsidP="00293170">
            <w:pPr>
              <w:jc w:val="right"/>
              <w:rPr>
                <w:b/>
                <w:color w:val="FF0000"/>
                <w:sz w:val="22"/>
                <w:szCs w:val="22"/>
                <w:lang w:val="lt-LT" w:eastAsia="lt-LT"/>
              </w:rPr>
            </w:pPr>
            <w:r w:rsidRPr="001E0AD1">
              <w:rPr>
                <w:b/>
                <w:color w:val="FF0000"/>
                <w:sz w:val="22"/>
                <w:szCs w:val="22"/>
                <w:lang w:val="lt-LT" w:eastAsia="lt-LT"/>
              </w:rPr>
              <w:t>-10</w:t>
            </w:r>
          </w:p>
        </w:tc>
      </w:tr>
    </w:tbl>
    <w:p w:rsidR="00293170" w:rsidRPr="001E0AD1" w:rsidRDefault="00293170" w:rsidP="00293170">
      <w:pPr>
        <w:pStyle w:val="ListParagraph"/>
        <w:spacing w:after="120" w:line="360" w:lineRule="auto"/>
        <w:ind w:left="1077"/>
        <w:contextualSpacing w:val="0"/>
        <w:jc w:val="center"/>
        <w:rPr>
          <w:rFonts w:ascii="Times New Roman" w:hAnsi="Times New Roman"/>
          <w:i/>
          <w:sz w:val="20"/>
          <w:szCs w:val="20"/>
        </w:rPr>
      </w:pPr>
    </w:p>
    <w:p w:rsidR="00293170" w:rsidRPr="001E0AD1" w:rsidRDefault="00293170" w:rsidP="00293170">
      <w:pPr>
        <w:spacing w:line="360" w:lineRule="auto"/>
        <w:jc w:val="both"/>
        <w:rPr>
          <w:lang w:val="lt-LT"/>
        </w:rPr>
      </w:pPr>
    </w:p>
    <w:p w:rsidR="00293170" w:rsidRPr="001E0AD1" w:rsidRDefault="00293170" w:rsidP="00293170">
      <w:pPr>
        <w:spacing w:line="360" w:lineRule="auto"/>
        <w:ind w:firstLine="720"/>
        <w:jc w:val="both"/>
        <w:rPr>
          <w:lang w:val="lt-LT"/>
        </w:rPr>
      </w:pPr>
    </w:p>
    <w:p w:rsidR="00293170" w:rsidRPr="001E0AD1" w:rsidRDefault="00293170" w:rsidP="00293170">
      <w:pPr>
        <w:spacing w:line="360" w:lineRule="auto"/>
        <w:ind w:firstLine="720"/>
        <w:jc w:val="both"/>
        <w:rPr>
          <w:lang w:val="lt-LT"/>
        </w:rPr>
      </w:pPr>
    </w:p>
    <w:p w:rsidR="00293170" w:rsidRPr="001E0AD1" w:rsidRDefault="00293170" w:rsidP="00293170">
      <w:pPr>
        <w:spacing w:line="360" w:lineRule="auto"/>
        <w:ind w:firstLine="720"/>
        <w:jc w:val="both"/>
        <w:rPr>
          <w:lang w:val="lt-LT"/>
        </w:rPr>
      </w:pPr>
    </w:p>
    <w:p w:rsidR="0087457F" w:rsidRDefault="0087457F" w:rsidP="00293170">
      <w:pPr>
        <w:spacing w:line="360" w:lineRule="auto"/>
        <w:ind w:firstLine="720"/>
        <w:jc w:val="both"/>
        <w:rPr>
          <w:lang w:val="lt-LT"/>
        </w:rPr>
      </w:pPr>
    </w:p>
    <w:p w:rsidR="0087457F" w:rsidRDefault="00AD4C99" w:rsidP="0087457F">
      <w:pPr>
        <w:rPr>
          <w:lang w:val="lt-LT"/>
        </w:rPr>
      </w:pPr>
      <w:r>
        <w:rPr>
          <w:noProof/>
          <w:lang w:val="lt-LT" w:eastAsia="lt-LT"/>
        </w:rPr>
        <w:pict>
          <v:shape id="Text Box 12" o:spid="_x0000_s1030" type="#_x0000_t202" style="position:absolute;margin-left:76.2pt;margin-top:7.85pt;width:372.75pt;height:20.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hlggIAAGs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" filled="f" stroked="f" strokeweight=".5pt">
            <v:textbox>
              <w:txbxContent>
                <w:p w:rsidR="0087457F" w:rsidRPr="001E0AD1" w:rsidRDefault="0087457F" w:rsidP="0087457F">
                  <w:pPr>
                    <w:jc w:val="right"/>
                    <w:rPr>
                      <w:i/>
                      <w:sz w:val="20"/>
                      <w:szCs w:val="20"/>
                      <w:lang w:val="lt-LT"/>
                    </w:rPr>
                  </w:pPr>
                  <w:r w:rsidRPr="001E0AD1">
                    <w:rPr>
                      <w:i/>
                      <w:sz w:val="20"/>
                      <w:szCs w:val="20"/>
                      <w:lang w:val="lt-LT"/>
                    </w:rPr>
                    <w:t>3.Lentelė: UAB „Prienų vandenys“ patirtos sąnaudos 2015 m. – 2014 m.</w:t>
                  </w:r>
                </w:p>
                <w:p w:rsidR="0087457F" w:rsidRDefault="0087457F"/>
              </w:txbxContent>
            </v:textbox>
          </v:shape>
        </w:pict>
      </w:r>
    </w:p>
    <w:p w:rsidR="00293170" w:rsidRPr="0087457F" w:rsidRDefault="00293170" w:rsidP="0087457F">
      <w:pPr>
        <w:jc w:val="center"/>
        <w:rPr>
          <w:lang w:val="lt-LT"/>
        </w:rPr>
      </w:pPr>
    </w:p>
    <w:p w:rsidR="008B6BE0" w:rsidRDefault="00293170" w:rsidP="008B6BE0">
      <w:pPr>
        <w:pStyle w:val="BodyTextIndent"/>
        <w:ind w:firstLine="851"/>
        <w:rPr>
          <w:b/>
          <w:bCs/>
          <w:i/>
          <w:iCs/>
        </w:rPr>
      </w:pPr>
      <w:r w:rsidRPr="001E0AD1">
        <w:rPr>
          <w:b/>
          <w:bCs/>
          <w:i/>
          <w:iCs/>
        </w:rPr>
        <w:t>Pagrindiniai veiksniai nulėmę Bendrovės patirtų sąnaudų pokyčius:</w:t>
      </w:r>
    </w:p>
    <w:p w:rsidR="00293170" w:rsidRPr="001E0AD1" w:rsidRDefault="00293170" w:rsidP="00293170">
      <w:pPr>
        <w:pStyle w:val="BodyTextIndent"/>
        <w:ind w:firstLine="851"/>
        <w:rPr>
          <w:b/>
          <w:bCs/>
          <w:i/>
          <w:iCs/>
        </w:rPr>
      </w:pPr>
      <w:r w:rsidRPr="001E0AD1">
        <w:rPr>
          <w:b/>
          <w:bCs/>
          <w:i/>
          <w:iCs/>
        </w:rPr>
        <w:lastRenderedPageBreak/>
        <w:t>Atlyginimų sąnaudos padidėjo dėl padidėjusios minimalios mėnesinės algos, išeitinių išmokų darbuotojams, didesnių mokesčių esant didesniam minimaliam darbo užmokesčiui;</w:t>
      </w:r>
    </w:p>
    <w:p w:rsidR="00293170" w:rsidRPr="001E0AD1" w:rsidRDefault="00293170" w:rsidP="00293170">
      <w:pPr>
        <w:pStyle w:val="BodyTextIndent"/>
        <w:ind w:firstLine="851"/>
        <w:rPr>
          <w:b/>
          <w:bCs/>
          <w:i/>
          <w:iCs/>
        </w:rPr>
      </w:pPr>
      <w:r w:rsidRPr="001E0AD1">
        <w:rPr>
          <w:b/>
          <w:bCs/>
          <w:i/>
          <w:iCs/>
        </w:rPr>
        <w:t xml:space="preserve">Nusidėvėjimo sąnaudos padidėjo dėl vykdomų didelės vertės projektų ar darbų (vandentiekio tinklų rekonstrukcijos darbai Tyliojoje gatvėje Prienuose, gerinimo įrenginių statyba Balbieriškyje ir vandens gerinimo įrenginių statyba Skriaudžių gyvenvietėje) , kurie pakeitė, pagerino turto būklę ar buvo naujai įtraukti į eksploataciją; </w:t>
      </w:r>
    </w:p>
    <w:tbl>
      <w:tblPr>
        <w:tblpPr w:leftFromText="180" w:rightFromText="180" w:vertAnchor="page" w:horzAnchor="margin" w:tblpXSpec="right" w:tblpY="5371"/>
        <w:tblW w:w="8991" w:type="dxa"/>
        <w:tblLook w:val="04A0"/>
      </w:tblPr>
      <w:tblGrid>
        <w:gridCol w:w="2093"/>
        <w:gridCol w:w="1710"/>
        <w:gridCol w:w="674"/>
        <w:gridCol w:w="1362"/>
        <w:gridCol w:w="1217"/>
        <w:gridCol w:w="1935"/>
      </w:tblGrid>
      <w:tr w:rsidR="0087457F" w:rsidRPr="001E0AD1" w:rsidTr="0087457F">
        <w:trPr>
          <w:trHeight w:val="1219"/>
        </w:trPr>
        <w:tc>
          <w:tcPr>
            <w:tcW w:w="2093" w:type="dxa"/>
            <w:tcBorders>
              <w:top w:val="single" w:sz="8" w:space="0" w:color="4F81BD"/>
              <w:left w:val="nil"/>
              <w:bottom w:val="single" w:sz="8" w:space="0" w:color="4F81BD"/>
              <w:right w:val="nil"/>
            </w:tcBorders>
            <w:shd w:val="clear" w:color="auto" w:fill="auto"/>
            <w:vAlign w:val="center"/>
            <w:hideMark/>
          </w:tcPr>
          <w:p w:rsidR="0087457F" w:rsidRPr="001E0AD1" w:rsidRDefault="0087457F" w:rsidP="0087457F">
            <w:pPr>
              <w:jc w:val="center"/>
              <w:rPr>
                <w:b/>
                <w:bCs/>
                <w:color w:val="000000"/>
                <w:sz w:val="22"/>
                <w:szCs w:val="22"/>
                <w:lang w:val="lt-LT" w:eastAsia="lt-LT"/>
              </w:rPr>
            </w:pPr>
            <w:r w:rsidRPr="001E0AD1">
              <w:rPr>
                <w:b/>
                <w:bCs/>
                <w:color w:val="000000"/>
                <w:sz w:val="22"/>
                <w:szCs w:val="22"/>
                <w:lang w:val="lt-LT" w:eastAsia="lt-LT"/>
              </w:rPr>
              <w:t xml:space="preserve">Sąnaudos </w:t>
            </w:r>
          </w:p>
        </w:tc>
        <w:tc>
          <w:tcPr>
            <w:tcW w:w="2384" w:type="dxa"/>
            <w:gridSpan w:val="2"/>
            <w:tcBorders>
              <w:top w:val="single" w:sz="8" w:space="0" w:color="4F81BD"/>
              <w:left w:val="nil"/>
              <w:bottom w:val="single" w:sz="8" w:space="0" w:color="4F81BD"/>
              <w:right w:val="nil"/>
            </w:tcBorders>
            <w:shd w:val="clear" w:color="auto" w:fill="auto"/>
            <w:vAlign w:val="center"/>
            <w:hideMark/>
          </w:tcPr>
          <w:p w:rsidR="0087457F" w:rsidRPr="001E0AD1" w:rsidRDefault="0087457F" w:rsidP="0087457F">
            <w:pPr>
              <w:jc w:val="center"/>
              <w:rPr>
                <w:b/>
                <w:bCs/>
                <w:color w:val="000000"/>
                <w:sz w:val="22"/>
                <w:szCs w:val="22"/>
                <w:lang w:val="lt-LT" w:eastAsia="lt-LT"/>
              </w:rPr>
            </w:pPr>
            <w:r w:rsidRPr="001E0AD1">
              <w:rPr>
                <w:b/>
                <w:bCs/>
                <w:color w:val="000000"/>
                <w:sz w:val="22"/>
                <w:szCs w:val="22"/>
                <w:lang w:val="lt-LT" w:eastAsia="lt-LT"/>
              </w:rPr>
              <w:t>Nuotekų valymas Birštono valymo įrenginiuose</w:t>
            </w:r>
          </w:p>
        </w:tc>
        <w:tc>
          <w:tcPr>
            <w:tcW w:w="1362" w:type="dxa"/>
            <w:tcBorders>
              <w:top w:val="single" w:sz="8" w:space="0" w:color="4F81BD"/>
              <w:left w:val="nil"/>
              <w:bottom w:val="single" w:sz="8" w:space="0" w:color="4F81BD"/>
              <w:right w:val="nil"/>
            </w:tcBorders>
            <w:shd w:val="clear" w:color="auto" w:fill="auto"/>
            <w:vAlign w:val="center"/>
            <w:hideMark/>
          </w:tcPr>
          <w:p w:rsidR="0087457F" w:rsidRPr="001E0AD1" w:rsidRDefault="0087457F" w:rsidP="0087457F">
            <w:pPr>
              <w:jc w:val="center"/>
              <w:rPr>
                <w:b/>
                <w:bCs/>
                <w:color w:val="000000"/>
                <w:sz w:val="22"/>
                <w:szCs w:val="22"/>
                <w:lang w:val="lt-LT" w:eastAsia="lt-LT"/>
              </w:rPr>
            </w:pPr>
            <w:r w:rsidRPr="001E0AD1">
              <w:rPr>
                <w:b/>
                <w:bCs/>
                <w:color w:val="000000"/>
                <w:sz w:val="22"/>
                <w:szCs w:val="22"/>
                <w:lang w:val="lt-LT" w:eastAsia="lt-LT"/>
              </w:rPr>
              <w:t>Veiklos mokesčiai</w:t>
            </w:r>
          </w:p>
        </w:tc>
        <w:tc>
          <w:tcPr>
            <w:tcW w:w="1217" w:type="dxa"/>
            <w:tcBorders>
              <w:top w:val="single" w:sz="8" w:space="0" w:color="4F81BD"/>
              <w:left w:val="nil"/>
              <w:bottom w:val="single" w:sz="8" w:space="0" w:color="4F81BD"/>
              <w:right w:val="nil"/>
            </w:tcBorders>
            <w:shd w:val="clear" w:color="auto" w:fill="auto"/>
            <w:noWrap/>
            <w:vAlign w:val="center"/>
            <w:hideMark/>
          </w:tcPr>
          <w:p w:rsidR="0087457F" w:rsidRPr="001E0AD1" w:rsidRDefault="0087457F" w:rsidP="0087457F">
            <w:pPr>
              <w:jc w:val="center"/>
              <w:rPr>
                <w:b/>
                <w:bCs/>
                <w:color w:val="000000"/>
                <w:sz w:val="22"/>
                <w:szCs w:val="22"/>
                <w:lang w:val="lt-LT" w:eastAsia="lt-LT"/>
              </w:rPr>
            </w:pPr>
            <w:r w:rsidRPr="001E0AD1">
              <w:rPr>
                <w:b/>
                <w:bCs/>
                <w:color w:val="000000"/>
                <w:sz w:val="22"/>
                <w:szCs w:val="22"/>
                <w:lang w:val="lt-LT" w:eastAsia="lt-LT"/>
              </w:rPr>
              <w:t>Kuras</w:t>
            </w:r>
          </w:p>
        </w:tc>
        <w:tc>
          <w:tcPr>
            <w:tcW w:w="1935" w:type="dxa"/>
            <w:tcBorders>
              <w:top w:val="single" w:sz="8" w:space="0" w:color="4F81BD"/>
              <w:left w:val="nil"/>
              <w:bottom w:val="single" w:sz="8" w:space="0" w:color="4F81BD"/>
              <w:right w:val="nil"/>
            </w:tcBorders>
            <w:shd w:val="clear" w:color="auto" w:fill="auto"/>
            <w:vAlign w:val="center"/>
            <w:hideMark/>
          </w:tcPr>
          <w:p w:rsidR="0087457F" w:rsidRPr="001E0AD1" w:rsidRDefault="0087457F" w:rsidP="0087457F">
            <w:pPr>
              <w:jc w:val="center"/>
              <w:rPr>
                <w:b/>
                <w:bCs/>
                <w:color w:val="000000"/>
                <w:sz w:val="22"/>
                <w:szCs w:val="22"/>
                <w:lang w:val="lt-LT" w:eastAsia="lt-LT"/>
              </w:rPr>
            </w:pPr>
            <w:r w:rsidRPr="001E0AD1">
              <w:rPr>
                <w:b/>
                <w:bCs/>
                <w:color w:val="000000"/>
                <w:sz w:val="22"/>
                <w:szCs w:val="22"/>
                <w:lang w:val="lt-LT" w:eastAsia="lt-LT"/>
              </w:rPr>
              <w:t>Socialinis draudimas</w:t>
            </w:r>
          </w:p>
        </w:tc>
      </w:tr>
      <w:tr w:rsidR="0087457F" w:rsidRPr="001E0AD1" w:rsidTr="0087457F">
        <w:trPr>
          <w:trHeight w:val="307"/>
        </w:trPr>
        <w:tc>
          <w:tcPr>
            <w:tcW w:w="2093" w:type="dxa"/>
            <w:tcBorders>
              <w:top w:val="nil"/>
              <w:left w:val="nil"/>
              <w:bottom w:val="nil"/>
              <w:right w:val="nil"/>
            </w:tcBorders>
            <w:shd w:val="clear" w:color="000000" w:fill="D3DFEE"/>
            <w:noWrap/>
            <w:vAlign w:val="center"/>
            <w:hideMark/>
          </w:tcPr>
          <w:p w:rsidR="0087457F" w:rsidRPr="001E0AD1" w:rsidRDefault="0087457F" w:rsidP="0087457F">
            <w:pPr>
              <w:jc w:val="center"/>
              <w:rPr>
                <w:sz w:val="22"/>
                <w:szCs w:val="22"/>
                <w:lang w:val="lt-LT" w:eastAsia="lt-LT"/>
              </w:rPr>
            </w:pPr>
            <w:r w:rsidRPr="001E0AD1">
              <w:rPr>
                <w:sz w:val="22"/>
                <w:szCs w:val="22"/>
                <w:lang w:val="lt-LT" w:eastAsia="lt-LT"/>
              </w:rPr>
              <w:t xml:space="preserve">2015 m. </w:t>
            </w:r>
          </w:p>
        </w:tc>
        <w:tc>
          <w:tcPr>
            <w:tcW w:w="1710" w:type="dxa"/>
            <w:tcBorders>
              <w:top w:val="nil"/>
              <w:left w:val="nil"/>
              <w:bottom w:val="nil"/>
              <w:right w:val="nil"/>
            </w:tcBorders>
            <w:shd w:val="clear" w:color="000000" w:fill="D3DFEE"/>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116.416 €</w:t>
            </w:r>
          </w:p>
        </w:tc>
        <w:tc>
          <w:tcPr>
            <w:tcW w:w="2036" w:type="dxa"/>
            <w:gridSpan w:val="2"/>
            <w:tcBorders>
              <w:top w:val="nil"/>
              <w:left w:val="nil"/>
              <w:bottom w:val="nil"/>
              <w:right w:val="nil"/>
            </w:tcBorders>
            <w:shd w:val="clear" w:color="000000" w:fill="D3DFEE"/>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27.536 €</w:t>
            </w:r>
          </w:p>
        </w:tc>
        <w:tc>
          <w:tcPr>
            <w:tcW w:w="1217" w:type="dxa"/>
            <w:tcBorders>
              <w:top w:val="nil"/>
              <w:left w:val="nil"/>
              <w:bottom w:val="nil"/>
              <w:right w:val="nil"/>
            </w:tcBorders>
            <w:shd w:val="clear" w:color="000000" w:fill="D3DFEE"/>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23.563 €</w:t>
            </w:r>
          </w:p>
        </w:tc>
        <w:tc>
          <w:tcPr>
            <w:tcW w:w="1935" w:type="dxa"/>
            <w:tcBorders>
              <w:top w:val="nil"/>
              <w:left w:val="nil"/>
              <w:bottom w:val="nil"/>
              <w:right w:val="nil"/>
            </w:tcBorders>
            <w:shd w:val="clear" w:color="000000" w:fill="D3DFEE"/>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80.175 €</w:t>
            </w:r>
          </w:p>
        </w:tc>
      </w:tr>
      <w:tr w:rsidR="0087457F" w:rsidRPr="001E0AD1" w:rsidTr="0087457F">
        <w:trPr>
          <w:trHeight w:val="307"/>
        </w:trPr>
        <w:tc>
          <w:tcPr>
            <w:tcW w:w="2093" w:type="dxa"/>
            <w:tcBorders>
              <w:top w:val="nil"/>
              <w:left w:val="nil"/>
              <w:bottom w:val="nil"/>
              <w:right w:val="nil"/>
            </w:tcBorders>
            <w:shd w:val="clear" w:color="auto" w:fill="auto"/>
            <w:noWrap/>
            <w:vAlign w:val="center"/>
            <w:hideMark/>
          </w:tcPr>
          <w:p w:rsidR="0087457F" w:rsidRPr="001E0AD1" w:rsidRDefault="0087457F" w:rsidP="0087457F">
            <w:pPr>
              <w:jc w:val="center"/>
              <w:rPr>
                <w:sz w:val="22"/>
                <w:szCs w:val="22"/>
                <w:lang w:val="lt-LT" w:eastAsia="lt-LT"/>
              </w:rPr>
            </w:pPr>
            <w:r w:rsidRPr="001E0AD1">
              <w:rPr>
                <w:sz w:val="22"/>
                <w:szCs w:val="22"/>
                <w:lang w:val="lt-LT" w:eastAsia="lt-LT"/>
              </w:rPr>
              <w:t>2014 m.</w:t>
            </w:r>
          </w:p>
        </w:tc>
        <w:tc>
          <w:tcPr>
            <w:tcW w:w="1710" w:type="dxa"/>
            <w:tcBorders>
              <w:top w:val="nil"/>
              <w:left w:val="nil"/>
              <w:bottom w:val="nil"/>
              <w:right w:val="nil"/>
            </w:tcBorders>
            <w:shd w:val="clear" w:color="auto" w:fill="auto"/>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129.209 €</w:t>
            </w:r>
          </w:p>
        </w:tc>
        <w:tc>
          <w:tcPr>
            <w:tcW w:w="2036" w:type="dxa"/>
            <w:gridSpan w:val="2"/>
            <w:tcBorders>
              <w:top w:val="nil"/>
              <w:left w:val="nil"/>
              <w:bottom w:val="nil"/>
              <w:right w:val="nil"/>
            </w:tcBorders>
            <w:shd w:val="clear" w:color="auto" w:fill="auto"/>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24.536 €</w:t>
            </w:r>
          </w:p>
        </w:tc>
        <w:tc>
          <w:tcPr>
            <w:tcW w:w="1217" w:type="dxa"/>
            <w:tcBorders>
              <w:top w:val="nil"/>
              <w:left w:val="nil"/>
              <w:bottom w:val="nil"/>
              <w:right w:val="nil"/>
            </w:tcBorders>
            <w:shd w:val="clear" w:color="auto" w:fill="auto"/>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27.345 €</w:t>
            </w:r>
          </w:p>
        </w:tc>
        <w:tc>
          <w:tcPr>
            <w:tcW w:w="1935" w:type="dxa"/>
            <w:tcBorders>
              <w:top w:val="nil"/>
              <w:left w:val="nil"/>
              <w:bottom w:val="nil"/>
              <w:right w:val="nil"/>
            </w:tcBorders>
            <w:shd w:val="clear" w:color="auto" w:fill="auto"/>
            <w:noWrap/>
            <w:vAlign w:val="center"/>
            <w:hideMark/>
          </w:tcPr>
          <w:p w:rsidR="0087457F" w:rsidRPr="001E0AD1" w:rsidRDefault="0087457F" w:rsidP="0087457F">
            <w:pPr>
              <w:jc w:val="right"/>
              <w:rPr>
                <w:color w:val="000000"/>
                <w:sz w:val="22"/>
                <w:szCs w:val="22"/>
                <w:lang w:val="lt-LT" w:eastAsia="lt-LT"/>
              </w:rPr>
            </w:pPr>
            <w:r w:rsidRPr="001E0AD1">
              <w:rPr>
                <w:color w:val="000000"/>
                <w:sz w:val="22"/>
                <w:szCs w:val="22"/>
                <w:lang w:val="lt-LT" w:eastAsia="lt-LT"/>
              </w:rPr>
              <w:t>72.759 €</w:t>
            </w:r>
          </w:p>
        </w:tc>
      </w:tr>
      <w:tr w:rsidR="0087457F" w:rsidRPr="001E0AD1" w:rsidTr="0087457F">
        <w:trPr>
          <w:trHeight w:val="307"/>
        </w:trPr>
        <w:tc>
          <w:tcPr>
            <w:tcW w:w="2093" w:type="dxa"/>
            <w:tcBorders>
              <w:top w:val="nil"/>
              <w:left w:val="nil"/>
              <w:bottom w:val="nil"/>
              <w:right w:val="nil"/>
            </w:tcBorders>
            <w:shd w:val="clear" w:color="000000" w:fill="D3DFEE"/>
            <w:noWrap/>
            <w:vAlign w:val="center"/>
            <w:hideMark/>
          </w:tcPr>
          <w:p w:rsidR="0087457F" w:rsidRPr="001E0AD1" w:rsidRDefault="0087457F" w:rsidP="0087457F">
            <w:pPr>
              <w:rPr>
                <w:b/>
                <w:bCs/>
                <w:color w:val="000000"/>
                <w:sz w:val="22"/>
                <w:szCs w:val="22"/>
                <w:lang w:val="lt-LT" w:eastAsia="lt-LT"/>
              </w:rPr>
            </w:pPr>
            <w:r w:rsidRPr="001E0AD1">
              <w:rPr>
                <w:b/>
                <w:bCs/>
                <w:color w:val="000000"/>
                <w:sz w:val="22"/>
                <w:szCs w:val="22"/>
                <w:lang w:val="lt-LT" w:eastAsia="lt-LT"/>
              </w:rPr>
              <w:t>Viso skirtumas:</w:t>
            </w:r>
          </w:p>
        </w:tc>
        <w:tc>
          <w:tcPr>
            <w:tcW w:w="1710" w:type="dxa"/>
            <w:tcBorders>
              <w:top w:val="nil"/>
              <w:left w:val="nil"/>
              <w:bottom w:val="nil"/>
              <w:right w:val="nil"/>
            </w:tcBorders>
            <w:shd w:val="clear" w:color="000000" w:fill="D3DFEE"/>
            <w:noWrap/>
            <w:vAlign w:val="center"/>
            <w:hideMark/>
          </w:tcPr>
          <w:p w:rsidR="0087457F" w:rsidRPr="001E0AD1" w:rsidRDefault="0087457F" w:rsidP="0087457F">
            <w:pPr>
              <w:jc w:val="right"/>
              <w:rPr>
                <w:b/>
                <w:color w:val="000000"/>
                <w:sz w:val="22"/>
                <w:szCs w:val="22"/>
                <w:lang w:val="lt-LT" w:eastAsia="lt-LT"/>
              </w:rPr>
            </w:pPr>
            <w:r w:rsidRPr="001E0AD1">
              <w:rPr>
                <w:b/>
                <w:color w:val="FF0000"/>
                <w:sz w:val="22"/>
                <w:szCs w:val="22"/>
                <w:lang w:val="lt-LT" w:eastAsia="lt-LT"/>
              </w:rPr>
              <w:t>-12.793 €</w:t>
            </w:r>
          </w:p>
        </w:tc>
        <w:tc>
          <w:tcPr>
            <w:tcW w:w="2036" w:type="dxa"/>
            <w:gridSpan w:val="2"/>
            <w:tcBorders>
              <w:top w:val="nil"/>
              <w:left w:val="nil"/>
              <w:bottom w:val="nil"/>
              <w:right w:val="nil"/>
            </w:tcBorders>
            <w:shd w:val="clear" w:color="000000" w:fill="D3DFEE"/>
            <w:noWrap/>
            <w:vAlign w:val="center"/>
            <w:hideMark/>
          </w:tcPr>
          <w:p w:rsidR="0087457F" w:rsidRPr="001E0AD1" w:rsidRDefault="0087457F" w:rsidP="0087457F">
            <w:pPr>
              <w:jc w:val="right"/>
              <w:rPr>
                <w:b/>
                <w:color w:val="000000"/>
                <w:sz w:val="22"/>
                <w:szCs w:val="22"/>
                <w:lang w:val="lt-LT" w:eastAsia="lt-LT"/>
              </w:rPr>
            </w:pPr>
            <w:r w:rsidRPr="001E0AD1">
              <w:rPr>
                <w:b/>
                <w:color w:val="000000"/>
                <w:sz w:val="22"/>
                <w:szCs w:val="22"/>
                <w:lang w:val="lt-LT" w:eastAsia="lt-LT"/>
              </w:rPr>
              <w:t>3.000 €</w:t>
            </w:r>
          </w:p>
        </w:tc>
        <w:tc>
          <w:tcPr>
            <w:tcW w:w="1217" w:type="dxa"/>
            <w:tcBorders>
              <w:top w:val="nil"/>
              <w:left w:val="nil"/>
              <w:bottom w:val="nil"/>
              <w:right w:val="nil"/>
            </w:tcBorders>
            <w:shd w:val="clear" w:color="000000" w:fill="D3DFEE"/>
            <w:noWrap/>
            <w:vAlign w:val="center"/>
            <w:hideMark/>
          </w:tcPr>
          <w:p w:rsidR="0087457F" w:rsidRPr="001E0AD1" w:rsidRDefault="0087457F" w:rsidP="0087457F">
            <w:pPr>
              <w:jc w:val="right"/>
              <w:rPr>
                <w:b/>
                <w:color w:val="000000"/>
                <w:sz w:val="22"/>
                <w:szCs w:val="22"/>
                <w:lang w:val="lt-LT" w:eastAsia="lt-LT"/>
              </w:rPr>
            </w:pPr>
            <w:r w:rsidRPr="001E0AD1">
              <w:rPr>
                <w:b/>
                <w:color w:val="FF0000"/>
                <w:sz w:val="22"/>
                <w:szCs w:val="22"/>
                <w:lang w:val="lt-LT" w:eastAsia="lt-LT"/>
              </w:rPr>
              <w:t>-3.782 €</w:t>
            </w:r>
          </w:p>
        </w:tc>
        <w:tc>
          <w:tcPr>
            <w:tcW w:w="1935" w:type="dxa"/>
            <w:tcBorders>
              <w:top w:val="nil"/>
              <w:left w:val="nil"/>
              <w:bottom w:val="nil"/>
              <w:right w:val="nil"/>
            </w:tcBorders>
            <w:shd w:val="clear" w:color="000000" w:fill="D3DFEE"/>
            <w:noWrap/>
            <w:vAlign w:val="center"/>
            <w:hideMark/>
          </w:tcPr>
          <w:p w:rsidR="0087457F" w:rsidRPr="001E0AD1" w:rsidRDefault="0087457F" w:rsidP="0087457F">
            <w:pPr>
              <w:jc w:val="right"/>
              <w:rPr>
                <w:b/>
                <w:color w:val="000000"/>
                <w:sz w:val="22"/>
                <w:szCs w:val="22"/>
                <w:lang w:val="lt-LT" w:eastAsia="lt-LT"/>
              </w:rPr>
            </w:pPr>
            <w:r w:rsidRPr="001E0AD1">
              <w:rPr>
                <w:b/>
                <w:color w:val="000000"/>
                <w:sz w:val="22"/>
                <w:szCs w:val="22"/>
                <w:lang w:val="lt-LT" w:eastAsia="lt-LT"/>
              </w:rPr>
              <w:t>7.416 €</w:t>
            </w:r>
          </w:p>
        </w:tc>
      </w:tr>
      <w:tr w:rsidR="0087457F" w:rsidRPr="001E0AD1" w:rsidTr="0087457F">
        <w:trPr>
          <w:trHeight w:val="323"/>
        </w:trPr>
        <w:tc>
          <w:tcPr>
            <w:tcW w:w="2093" w:type="dxa"/>
            <w:tcBorders>
              <w:top w:val="nil"/>
              <w:left w:val="nil"/>
              <w:bottom w:val="single" w:sz="8" w:space="0" w:color="4F81BD"/>
              <w:right w:val="nil"/>
            </w:tcBorders>
            <w:shd w:val="clear" w:color="auto" w:fill="auto"/>
            <w:noWrap/>
            <w:vAlign w:val="center"/>
            <w:hideMark/>
          </w:tcPr>
          <w:p w:rsidR="0087457F" w:rsidRPr="001E0AD1" w:rsidRDefault="00AD4C99" w:rsidP="0087457F">
            <w:pPr>
              <w:rPr>
                <w:b/>
                <w:bCs/>
                <w:color w:val="000000"/>
                <w:sz w:val="22"/>
                <w:szCs w:val="22"/>
                <w:lang w:val="lt-LT" w:eastAsia="lt-LT"/>
              </w:rPr>
            </w:pPr>
            <w:r w:rsidRPr="00AD4C99">
              <w:rPr>
                <w:noProof/>
                <w:lang w:val="lt-LT" w:eastAsia="lt-LT"/>
              </w:rPr>
              <w:pict>
                <v:shape id="Text Box 13" o:spid="_x0000_s1031" type="#_x0000_t202" style="position:absolute;margin-left:98.85pt;margin-top:14.3pt;width:372.75pt;height:20.25pt;z-index:2516700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" filled="f" stroked="f" strokeweight=".5pt">
                  <v:textbox>
                    <w:txbxContent>
                      <w:p w:rsidR="0087457F" w:rsidRDefault="0087457F" w:rsidP="0087457F">
                        <w:pPr>
                          <w:jc w:val="right"/>
                        </w:pPr>
                        <w:r w:rsidRPr="001E0AD1">
                          <w:rPr>
                            <w:i/>
                            <w:sz w:val="20"/>
                            <w:szCs w:val="20"/>
                          </w:rPr>
                          <w:t>4.Lentelė: UAB „Prienų vandenys“ patirtos sąnaudos 2015 m. – 2014 m.</w:t>
                        </w:r>
                      </w:p>
                    </w:txbxContent>
                  </v:textbox>
                </v:shape>
              </w:pict>
            </w:r>
            <w:r w:rsidR="0087457F" w:rsidRPr="001E0AD1">
              <w:rPr>
                <w:b/>
                <w:bCs/>
                <w:color w:val="000000"/>
                <w:sz w:val="22"/>
                <w:szCs w:val="22"/>
                <w:lang w:val="lt-LT" w:eastAsia="lt-LT"/>
              </w:rPr>
              <w:t>Viso proc. pokytis:</w:t>
            </w:r>
          </w:p>
        </w:tc>
        <w:tc>
          <w:tcPr>
            <w:tcW w:w="1710" w:type="dxa"/>
            <w:tcBorders>
              <w:top w:val="nil"/>
              <w:left w:val="nil"/>
              <w:bottom w:val="single" w:sz="8" w:space="0" w:color="4F81BD"/>
              <w:right w:val="nil"/>
            </w:tcBorders>
            <w:shd w:val="clear" w:color="auto" w:fill="auto"/>
            <w:noWrap/>
            <w:vAlign w:val="center"/>
            <w:hideMark/>
          </w:tcPr>
          <w:p w:rsidR="0087457F" w:rsidRPr="001E0AD1" w:rsidRDefault="0087457F" w:rsidP="0087457F">
            <w:pPr>
              <w:jc w:val="right"/>
              <w:rPr>
                <w:b/>
                <w:color w:val="FF0000"/>
                <w:sz w:val="22"/>
                <w:szCs w:val="22"/>
                <w:lang w:val="lt-LT" w:eastAsia="lt-LT"/>
              </w:rPr>
            </w:pPr>
            <w:r w:rsidRPr="001E0AD1">
              <w:rPr>
                <w:b/>
                <w:color w:val="FF0000"/>
                <w:sz w:val="22"/>
                <w:szCs w:val="22"/>
                <w:lang w:val="lt-LT" w:eastAsia="lt-LT"/>
              </w:rPr>
              <w:t>-10</w:t>
            </w:r>
          </w:p>
        </w:tc>
        <w:tc>
          <w:tcPr>
            <w:tcW w:w="2036" w:type="dxa"/>
            <w:gridSpan w:val="2"/>
            <w:tcBorders>
              <w:top w:val="nil"/>
              <w:left w:val="nil"/>
              <w:bottom w:val="single" w:sz="8" w:space="0" w:color="4F81BD"/>
              <w:right w:val="nil"/>
            </w:tcBorders>
            <w:shd w:val="clear" w:color="auto" w:fill="auto"/>
            <w:noWrap/>
            <w:vAlign w:val="center"/>
            <w:hideMark/>
          </w:tcPr>
          <w:p w:rsidR="0087457F" w:rsidRPr="001E0AD1" w:rsidRDefault="0087457F" w:rsidP="0087457F">
            <w:pPr>
              <w:jc w:val="right"/>
              <w:rPr>
                <w:b/>
                <w:sz w:val="22"/>
                <w:szCs w:val="22"/>
                <w:lang w:val="lt-LT" w:eastAsia="lt-LT"/>
              </w:rPr>
            </w:pPr>
            <w:r w:rsidRPr="001E0AD1">
              <w:rPr>
                <w:b/>
                <w:sz w:val="22"/>
                <w:szCs w:val="22"/>
                <w:lang w:val="lt-LT" w:eastAsia="lt-LT"/>
              </w:rPr>
              <w:t>12</w:t>
            </w:r>
          </w:p>
        </w:tc>
        <w:tc>
          <w:tcPr>
            <w:tcW w:w="1217" w:type="dxa"/>
            <w:tcBorders>
              <w:top w:val="nil"/>
              <w:left w:val="nil"/>
              <w:bottom w:val="single" w:sz="8" w:space="0" w:color="4F81BD"/>
              <w:right w:val="nil"/>
            </w:tcBorders>
            <w:shd w:val="clear" w:color="auto" w:fill="auto"/>
            <w:noWrap/>
            <w:vAlign w:val="center"/>
            <w:hideMark/>
          </w:tcPr>
          <w:p w:rsidR="0087457F" w:rsidRPr="001E0AD1" w:rsidRDefault="0087457F" w:rsidP="0087457F">
            <w:pPr>
              <w:jc w:val="right"/>
              <w:rPr>
                <w:b/>
                <w:color w:val="FF0000"/>
                <w:sz w:val="22"/>
                <w:szCs w:val="22"/>
                <w:lang w:val="lt-LT" w:eastAsia="lt-LT"/>
              </w:rPr>
            </w:pPr>
            <w:r w:rsidRPr="001E0AD1">
              <w:rPr>
                <w:b/>
                <w:color w:val="FF0000"/>
                <w:sz w:val="22"/>
                <w:szCs w:val="22"/>
                <w:lang w:val="lt-LT" w:eastAsia="lt-LT"/>
              </w:rPr>
              <w:t>-14</w:t>
            </w:r>
          </w:p>
        </w:tc>
        <w:tc>
          <w:tcPr>
            <w:tcW w:w="1935" w:type="dxa"/>
            <w:tcBorders>
              <w:top w:val="nil"/>
              <w:left w:val="nil"/>
              <w:bottom w:val="single" w:sz="8" w:space="0" w:color="4F81BD"/>
              <w:right w:val="nil"/>
            </w:tcBorders>
            <w:shd w:val="clear" w:color="auto" w:fill="auto"/>
            <w:noWrap/>
            <w:vAlign w:val="center"/>
            <w:hideMark/>
          </w:tcPr>
          <w:p w:rsidR="0087457F" w:rsidRPr="001E0AD1" w:rsidRDefault="0087457F" w:rsidP="0087457F">
            <w:pPr>
              <w:jc w:val="right"/>
              <w:rPr>
                <w:b/>
                <w:sz w:val="22"/>
                <w:szCs w:val="22"/>
                <w:lang w:val="lt-LT" w:eastAsia="lt-LT"/>
              </w:rPr>
            </w:pPr>
            <w:r w:rsidRPr="001E0AD1">
              <w:rPr>
                <w:b/>
                <w:sz w:val="22"/>
                <w:szCs w:val="22"/>
                <w:lang w:val="lt-LT" w:eastAsia="lt-LT"/>
              </w:rPr>
              <w:t>10</w:t>
            </w:r>
          </w:p>
        </w:tc>
      </w:tr>
    </w:tbl>
    <w:p w:rsidR="00293170" w:rsidRPr="001E0AD1" w:rsidRDefault="00293170" w:rsidP="00293170">
      <w:pPr>
        <w:pStyle w:val="BodyTextIndent"/>
        <w:ind w:firstLine="851"/>
        <w:rPr>
          <w:b/>
          <w:bCs/>
          <w:i/>
          <w:iCs/>
        </w:rPr>
      </w:pPr>
      <w:r w:rsidRPr="001E0AD1">
        <w:rPr>
          <w:b/>
          <w:bCs/>
          <w:i/>
          <w:iCs/>
        </w:rPr>
        <w:t xml:space="preserve">Medžiagų sąnaudos sumažėjo dėl Bendrovės veiklos neapibrėžtumų: vandentiekio ir nuotekų tinklų remontų skaičiaus, jų sudėtingumo ir k.t.; </w:t>
      </w:r>
    </w:p>
    <w:p w:rsidR="0087457F" w:rsidRDefault="0087457F" w:rsidP="00293170">
      <w:pPr>
        <w:pStyle w:val="BodyTextIndent"/>
        <w:ind w:firstLine="851"/>
        <w:rPr>
          <w:b/>
          <w:bCs/>
          <w:i/>
          <w:iCs/>
        </w:rPr>
      </w:pPr>
    </w:p>
    <w:p w:rsidR="00293170" w:rsidRPr="001E0AD1" w:rsidRDefault="00293170" w:rsidP="00293170">
      <w:pPr>
        <w:pStyle w:val="BodyTextIndent"/>
        <w:ind w:firstLine="851"/>
        <w:rPr>
          <w:b/>
          <w:bCs/>
          <w:i/>
          <w:iCs/>
        </w:rPr>
      </w:pPr>
      <w:r w:rsidRPr="001E0AD1">
        <w:rPr>
          <w:b/>
          <w:bCs/>
          <w:i/>
          <w:iCs/>
        </w:rPr>
        <w:t>Elektros sąnaudos sumažėjo dėl elektros energijos paskirstymo ESO tinkluose įkainių sumažėjimo bei sumažėjusio suvartoto elektros energijos kiekio;</w:t>
      </w:r>
    </w:p>
    <w:p w:rsidR="00293170" w:rsidRPr="001E0AD1" w:rsidRDefault="00293170" w:rsidP="00293170">
      <w:pPr>
        <w:pStyle w:val="BodyTextIndent"/>
        <w:ind w:firstLine="851"/>
        <w:rPr>
          <w:b/>
          <w:bCs/>
          <w:i/>
          <w:iCs/>
        </w:rPr>
      </w:pPr>
      <w:r w:rsidRPr="001E0AD1">
        <w:rPr>
          <w:b/>
          <w:bCs/>
          <w:i/>
          <w:iCs/>
        </w:rPr>
        <w:t xml:space="preserve">Nuotekų valymo Birštono valymo įrenginiuose sąnaudos sumažėjo dėl mažesnės infiltracijos nuotekų tinkluose ir mažesnio pašalinto nuotekų kiekio Prienų mieste; </w:t>
      </w:r>
    </w:p>
    <w:p w:rsidR="00293170" w:rsidRPr="001E0AD1" w:rsidRDefault="00293170" w:rsidP="00293170">
      <w:pPr>
        <w:pStyle w:val="BodyTextIndent"/>
        <w:ind w:firstLine="851"/>
        <w:rPr>
          <w:b/>
          <w:bCs/>
          <w:i/>
          <w:iCs/>
        </w:rPr>
      </w:pPr>
      <w:r w:rsidRPr="001E0AD1">
        <w:rPr>
          <w:b/>
          <w:bCs/>
          <w:i/>
          <w:iCs/>
        </w:rPr>
        <w:t>Veiklos mokesčių sąnaudų padidėjimą labiausiai įtakojo padidėjęs mokestis už gamtos išteklius, bei didesnis patiektas geriamojo vandens kiekis vartotojams;</w:t>
      </w:r>
    </w:p>
    <w:p w:rsidR="00293170" w:rsidRPr="001E0AD1" w:rsidRDefault="00293170" w:rsidP="00293170">
      <w:pPr>
        <w:pStyle w:val="BodyTextIndent"/>
        <w:ind w:firstLine="851"/>
        <w:rPr>
          <w:b/>
          <w:bCs/>
          <w:i/>
          <w:iCs/>
        </w:rPr>
      </w:pPr>
      <w:r w:rsidRPr="001E0AD1">
        <w:rPr>
          <w:b/>
          <w:bCs/>
          <w:i/>
          <w:iCs/>
        </w:rPr>
        <w:t>Mažesnes kuro sąnaudos lėmė sumažėjusios degalų kainos, ypatingai dyzelinio kuro, kadangi šios rūšies degalų Bendrovė sunaudoja daugiausiai;</w:t>
      </w:r>
    </w:p>
    <w:p w:rsidR="00293170" w:rsidRPr="001E0AD1" w:rsidRDefault="00293170" w:rsidP="00293170">
      <w:pPr>
        <w:pStyle w:val="BodyTextIndent"/>
        <w:ind w:firstLine="851"/>
        <w:rPr>
          <w:b/>
          <w:bCs/>
          <w:i/>
          <w:iCs/>
        </w:rPr>
      </w:pPr>
      <w:r w:rsidRPr="001E0AD1">
        <w:rPr>
          <w:b/>
          <w:bCs/>
          <w:i/>
          <w:iCs/>
        </w:rPr>
        <w:t>Soc. Draudimo sąnaudos padidėjo atitinkamai darbo užmokesčio sąnaudoms.</w:t>
      </w:r>
    </w:p>
    <w:p w:rsidR="00293170" w:rsidRPr="001E0AD1" w:rsidRDefault="00293170" w:rsidP="00293170">
      <w:pPr>
        <w:pStyle w:val="BodyTextIndent"/>
        <w:ind w:firstLine="851"/>
        <w:rPr>
          <w:b/>
          <w:bCs/>
          <w:i/>
          <w:iCs/>
        </w:rPr>
      </w:pPr>
      <w:r w:rsidRPr="001E0AD1">
        <w:rPr>
          <w:b/>
          <w:bCs/>
          <w:i/>
          <w:iCs/>
        </w:rPr>
        <w:t xml:space="preserve">Taigi apibendrinant galima teigti, jog pagrindinių sąnaudų grupių pokyčius įtakojo Bendrovės veiklos strategija, išoriniai makroekonominiai veiksniai ir darbo veiklos neapibrėžtumai. Bendrovės bendrųjų sąnaudų 4 proc. padidėjimas didžiąja dalimi buvo įtakotas nusidėvėjimo sąnaudų. Nusidėvėjimo sąnaudos padidėjo dėl vykdomų projektų, kurie buvo būtini siekiant užtikrinti nenutraukiamą geriamojo vandens tiekimą ir tinkamą geriamojo </w:t>
      </w:r>
      <w:r w:rsidRPr="001E0AD1">
        <w:rPr>
          <w:b/>
          <w:bCs/>
          <w:i/>
          <w:iCs/>
        </w:rPr>
        <w:lastRenderedPageBreak/>
        <w:t>vandens kokybę. Kiti sąnaudų straipsniai pasikeitė mažesniu nei nusidėvėjimo sąnaudos dydžiu.</w:t>
      </w:r>
    </w:p>
    <w:p w:rsidR="00293170" w:rsidRPr="001E0AD1" w:rsidRDefault="00607275" w:rsidP="00293170">
      <w:pPr>
        <w:spacing w:before="360" w:after="360" w:line="360" w:lineRule="auto"/>
        <w:ind w:firstLine="851"/>
        <w:jc w:val="center"/>
        <w:rPr>
          <w:b/>
          <w:bCs/>
          <w:i/>
          <w:iCs/>
          <w:caps/>
          <w:sz w:val="28"/>
          <w:szCs w:val="28"/>
          <w:lang w:val="lt-LT"/>
        </w:rPr>
      </w:pPr>
      <w:r w:rsidRPr="001E0AD1">
        <w:rPr>
          <w:b/>
          <w:bCs/>
          <w:i/>
          <w:iCs/>
          <w:caps/>
          <w:sz w:val="28"/>
          <w:szCs w:val="28"/>
          <w:lang w:val="lt-LT"/>
        </w:rPr>
        <w:t>PELNAS / NUOSTOLIS</w:t>
      </w:r>
    </w:p>
    <w:p w:rsidR="00293170" w:rsidRPr="001E0AD1" w:rsidRDefault="00293170" w:rsidP="00293170">
      <w:pPr>
        <w:pStyle w:val="BodyTextIndent"/>
        <w:ind w:firstLine="851"/>
        <w:rPr>
          <w:b/>
          <w:bCs/>
          <w:i/>
          <w:iCs/>
        </w:rPr>
      </w:pPr>
      <w:r w:rsidRPr="001E0AD1">
        <w:rPr>
          <w:b/>
          <w:bCs/>
          <w:i/>
          <w:iCs/>
        </w:rPr>
        <w:t>UAB „Prienų vandenys“ 2015 m. nuostolis siekė 3842 Eur. Lyginant su 2014 m. Bendrovės veiklos rezultatas pasikeitė. 2014 m. Bendrovė buvo ga</w:t>
      </w:r>
      <w:r w:rsidR="0084597D" w:rsidRPr="001E0AD1">
        <w:rPr>
          <w:b/>
          <w:bCs/>
          <w:i/>
          <w:iCs/>
        </w:rPr>
        <w:t>vusi 6416 Eur pelno. Viena iš n</w:t>
      </w:r>
      <w:r w:rsidRPr="001E0AD1">
        <w:rPr>
          <w:b/>
          <w:bCs/>
          <w:i/>
          <w:iCs/>
        </w:rPr>
        <w:t>e</w:t>
      </w:r>
      <w:r w:rsidR="0084597D" w:rsidRPr="001E0AD1">
        <w:rPr>
          <w:b/>
          <w:bCs/>
          <w:i/>
          <w:iCs/>
        </w:rPr>
        <w:t>i</w:t>
      </w:r>
      <w:r w:rsidRPr="001E0AD1">
        <w:rPr>
          <w:b/>
          <w:bCs/>
          <w:i/>
          <w:iCs/>
        </w:rPr>
        <w:t xml:space="preserve">giamo finansinės veiklos rezultato pasikeitimo priežasčių - nurašytos beviltiškos skolos (9532 Eur). </w:t>
      </w:r>
    </w:p>
    <w:p w:rsidR="00293170" w:rsidRPr="001E0AD1" w:rsidRDefault="00293170" w:rsidP="00293170">
      <w:pPr>
        <w:pStyle w:val="BodyTextIndent"/>
        <w:ind w:firstLine="851"/>
        <w:rPr>
          <w:b/>
          <w:bCs/>
          <w:i/>
          <w:iCs/>
        </w:rPr>
      </w:pPr>
      <w:r w:rsidRPr="001E0AD1">
        <w:rPr>
          <w:b/>
          <w:bCs/>
          <w:i/>
          <w:iCs/>
        </w:rPr>
        <w:t>Taipogi būtina atkreipti dėmesį, jog susidariusį nuostolį įtakojo ne tik anksčiau minėti tiesioginių sąnaudų pasikeitimai, tačiau ir nuo Bendrovės veiklos nepriklausomi veiksniai. Svarbiausias veiksnys - susidaręs nepripažintas nuostolis perskaičiuojant litais išreikštųjų nominaliųjų akcijų verčių sumas į eurus ir apvalinant iki euro centų – 9839 Eur.</w:t>
      </w:r>
    </w:p>
    <w:p w:rsidR="00293170" w:rsidRPr="001E0AD1" w:rsidRDefault="00293170" w:rsidP="00293170">
      <w:pPr>
        <w:pStyle w:val="BodyTextIndent"/>
        <w:ind w:firstLine="851"/>
        <w:rPr>
          <w:b/>
          <w:bCs/>
          <w:i/>
          <w:iCs/>
        </w:rPr>
      </w:pPr>
      <w:r w:rsidRPr="001E0AD1">
        <w:rPr>
          <w:b/>
          <w:bCs/>
          <w:i/>
          <w:iCs/>
        </w:rPr>
        <w:t>Taigi, apibendrinant galima teigti, jog UAB „Prienų vandenys“ 2015 m. surinko daugiau pajamų dėl didesnio patiekto geriamojo vandens kiekio, tačiau patirtos sąnaudos buvo didesnės už gautas pajamas dėl nuo Bendrovės veiklos nepriklausančių veiksnių (susidariusio nepripažinto nuostolio perskaičiuojant litais išreikštųjų nominaliųjų akcijų verčių sumas į eurus), ko pasekmėje buvo pasiektas neigiamas finansinės veiklos rezultatas.</w:t>
      </w:r>
    </w:p>
    <w:p w:rsidR="00320AA8" w:rsidRDefault="00320AA8">
      <w:pPr>
        <w:rPr>
          <w:b/>
          <w:bCs/>
          <w:i/>
          <w:iCs/>
          <w:caps/>
          <w:sz w:val="28"/>
          <w:szCs w:val="28"/>
          <w:lang w:val="lt-LT"/>
        </w:rPr>
      </w:pPr>
      <w:r>
        <w:rPr>
          <w:b/>
          <w:bCs/>
          <w:i/>
          <w:iCs/>
          <w:caps/>
          <w:sz w:val="28"/>
          <w:szCs w:val="28"/>
          <w:lang w:val="lt-LT"/>
        </w:rPr>
        <w:br w:type="page"/>
      </w:r>
    </w:p>
    <w:p w:rsidR="00011DEB" w:rsidRPr="001E0AD1" w:rsidRDefault="005155BE" w:rsidP="00607275">
      <w:pPr>
        <w:spacing w:before="360" w:after="360" w:line="360" w:lineRule="auto"/>
        <w:ind w:firstLine="851"/>
        <w:jc w:val="center"/>
        <w:rPr>
          <w:b/>
          <w:bCs/>
          <w:i/>
          <w:iCs/>
          <w:caps/>
          <w:sz w:val="28"/>
          <w:szCs w:val="28"/>
          <w:lang w:val="lt-LT"/>
        </w:rPr>
      </w:pPr>
      <w:r w:rsidRPr="001E0AD1">
        <w:rPr>
          <w:b/>
          <w:bCs/>
          <w:i/>
          <w:iCs/>
          <w:caps/>
          <w:sz w:val="28"/>
          <w:szCs w:val="28"/>
          <w:lang w:val="lt-LT"/>
        </w:rPr>
        <w:lastRenderedPageBreak/>
        <w:t>K</w:t>
      </w:r>
      <w:r w:rsidR="00F1712C" w:rsidRPr="001E0AD1">
        <w:rPr>
          <w:b/>
          <w:bCs/>
          <w:i/>
          <w:iCs/>
          <w:caps/>
          <w:sz w:val="28"/>
          <w:szCs w:val="28"/>
          <w:lang w:val="lt-LT"/>
        </w:rPr>
        <w:t>LIENTŲ APTARNAVIMAS IR APSKAITA</w:t>
      </w:r>
    </w:p>
    <w:p w:rsidR="006A5629" w:rsidRDefault="00607275" w:rsidP="00412077">
      <w:pPr>
        <w:pStyle w:val="BodyTextIndent"/>
        <w:ind w:firstLine="851"/>
        <w:rPr>
          <w:b/>
          <w:bCs/>
          <w:i/>
          <w:iCs/>
          <w:vertAlign w:val="superscript"/>
        </w:rPr>
      </w:pPr>
      <w:r w:rsidRPr="001E0AD1">
        <w:rPr>
          <w:b/>
          <w:bCs/>
          <w:i/>
          <w:iCs/>
          <w:caps/>
          <w:sz w:val="28"/>
          <w:szCs w:val="28"/>
        </w:rPr>
        <w:t>GERIAMOJO VANDENS TIEKIMAS</w:t>
      </w:r>
      <w:r w:rsidR="00743576" w:rsidRPr="001E0AD1">
        <w:rPr>
          <w:b/>
          <w:bCs/>
          <w:i/>
          <w:iCs/>
          <w:caps/>
          <w:sz w:val="28"/>
          <w:szCs w:val="28"/>
        </w:rPr>
        <w:t>.</w:t>
      </w:r>
      <w:r w:rsidR="00904342" w:rsidRPr="001E0AD1">
        <w:rPr>
          <w:b/>
          <w:bCs/>
          <w:i/>
          <w:iCs/>
        </w:rPr>
        <w:t>UAB „Prienų vandenys“ aprūpina vandeniu Prienų miestą bei Prienų rajono gyvenvietes: Balbieriškį, Ignacavą, Strielčius, Išlaužą, Pakuonį, Veiverius, Purvininkus, Šilavotą, Skriaudžius, Jiezną, Strazdiškes, Vyšniūnus, Lielionis, Kašonis, Pieš</w:t>
      </w:r>
      <w:r w:rsidR="00412077" w:rsidRPr="001E0AD1">
        <w:rPr>
          <w:b/>
          <w:bCs/>
          <w:i/>
          <w:iCs/>
        </w:rPr>
        <w:t xml:space="preserve">tuvėnus, Užuguostį, Stakliškes. </w:t>
      </w:r>
      <w:r w:rsidR="00904342" w:rsidRPr="001E0AD1">
        <w:rPr>
          <w:b/>
          <w:bCs/>
          <w:i/>
          <w:iCs/>
        </w:rPr>
        <w:t>V</w:t>
      </w:r>
      <w:r w:rsidR="00356E7F" w:rsidRPr="001E0AD1">
        <w:rPr>
          <w:b/>
          <w:bCs/>
          <w:i/>
          <w:iCs/>
        </w:rPr>
        <w:t xml:space="preserve">andens išgavimo projektinis pajėgumas </w:t>
      </w:r>
      <w:r w:rsidR="00904342" w:rsidRPr="001E0AD1">
        <w:rPr>
          <w:b/>
          <w:bCs/>
          <w:i/>
          <w:iCs/>
        </w:rPr>
        <w:t>3385,7</w:t>
      </w:r>
      <w:r w:rsidR="00356E7F" w:rsidRPr="001E0AD1">
        <w:rPr>
          <w:b/>
          <w:bCs/>
          <w:i/>
          <w:iCs/>
        </w:rPr>
        <w:t xml:space="preserve"> tūkst. m</w:t>
      </w:r>
      <w:r w:rsidR="00134D93" w:rsidRPr="001E0AD1">
        <w:rPr>
          <w:b/>
          <w:bCs/>
          <w:i/>
          <w:iCs/>
          <w:vertAlign w:val="superscript"/>
        </w:rPr>
        <w:t>3</w:t>
      </w:r>
      <w:r w:rsidR="00904342" w:rsidRPr="001E0AD1">
        <w:rPr>
          <w:b/>
          <w:bCs/>
          <w:i/>
          <w:iCs/>
        </w:rPr>
        <w:t xml:space="preserve"> per metus</w:t>
      </w:r>
      <w:r w:rsidR="00134D93" w:rsidRPr="001E0AD1">
        <w:rPr>
          <w:b/>
          <w:bCs/>
          <w:i/>
          <w:iCs/>
        </w:rPr>
        <w:t xml:space="preserve">, </w:t>
      </w:r>
      <w:r w:rsidR="00904342" w:rsidRPr="001E0AD1">
        <w:rPr>
          <w:b/>
          <w:bCs/>
          <w:i/>
          <w:iCs/>
        </w:rPr>
        <w:t xml:space="preserve">per </w:t>
      </w:r>
      <w:r w:rsidR="00134D93" w:rsidRPr="001E0AD1">
        <w:rPr>
          <w:b/>
          <w:bCs/>
          <w:i/>
          <w:iCs/>
        </w:rPr>
        <w:t>201</w:t>
      </w:r>
      <w:r w:rsidR="00904342" w:rsidRPr="001E0AD1">
        <w:rPr>
          <w:b/>
          <w:bCs/>
          <w:i/>
          <w:iCs/>
        </w:rPr>
        <w:t>5</w:t>
      </w:r>
      <w:r w:rsidR="00134D93" w:rsidRPr="001E0AD1">
        <w:rPr>
          <w:b/>
          <w:bCs/>
          <w:i/>
          <w:iCs/>
        </w:rPr>
        <w:t xml:space="preserve"> m. išgauta tik </w:t>
      </w:r>
      <w:r w:rsidR="00904342" w:rsidRPr="001E0AD1">
        <w:rPr>
          <w:b/>
          <w:bCs/>
          <w:i/>
          <w:iCs/>
        </w:rPr>
        <w:t xml:space="preserve">509,1 </w:t>
      </w:r>
      <w:r w:rsidR="00134D93" w:rsidRPr="001E0AD1">
        <w:rPr>
          <w:b/>
          <w:bCs/>
          <w:i/>
          <w:iCs/>
        </w:rPr>
        <w:t>tūkst. m</w:t>
      </w:r>
      <w:r w:rsidR="00134D93" w:rsidRPr="001E0AD1">
        <w:rPr>
          <w:b/>
          <w:bCs/>
          <w:i/>
          <w:iCs/>
          <w:vertAlign w:val="superscript"/>
        </w:rPr>
        <w:t>3</w:t>
      </w:r>
      <w:r w:rsidR="00134D93" w:rsidRPr="001E0AD1">
        <w:rPr>
          <w:b/>
          <w:bCs/>
          <w:i/>
          <w:iCs/>
        </w:rPr>
        <w:t xml:space="preserve"> iš kurių </w:t>
      </w:r>
      <w:r w:rsidR="006A5629">
        <w:rPr>
          <w:b/>
          <w:bCs/>
          <w:i/>
          <w:iCs/>
        </w:rPr>
        <w:t>į vandentiekio tinklą pateikta</w:t>
      </w:r>
      <w:r w:rsidR="00904342" w:rsidRPr="001E0AD1">
        <w:rPr>
          <w:b/>
          <w:bCs/>
          <w:i/>
          <w:iCs/>
        </w:rPr>
        <w:t>491,8</w:t>
      </w:r>
      <w:r w:rsidR="00134D93" w:rsidRPr="001E0AD1">
        <w:rPr>
          <w:b/>
          <w:bCs/>
          <w:i/>
          <w:iCs/>
        </w:rPr>
        <w:t xml:space="preserve"> tūkst. m</w:t>
      </w:r>
      <w:r w:rsidR="00134D93" w:rsidRPr="001E0AD1">
        <w:rPr>
          <w:b/>
          <w:bCs/>
          <w:i/>
          <w:iCs/>
          <w:vertAlign w:val="superscript"/>
        </w:rPr>
        <w:t>3</w:t>
      </w:r>
      <w:r w:rsidR="006A5629">
        <w:rPr>
          <w:b/>
          <w:bCs/>
          <w:i/>
          <w:iCs/>
        </w:rPr>
        <w:t xml:space="preserve">, o parduota </w:t>
      </w:r>
      <w:r w:rsidR="006A5629" w:rsidRPr="001E0AD1">
        <w:rPr>
          <w:b/>
          <w:bCs/>
          <w:i/>
          <w:iCs/>
        </w:rPr>
        <w:t>381,4 tūkst. m</w:t>
      </w:r>
      <w:r w:rsidR="006A5629" w:rsidRPr="001E0AD1">
        <w:rPr>
          <w:b/>
          <w:bCs/>
          <w:i/>
          <w:iCs/>
          <w:vertAlign w:val="superscript"/>
        </w:rPr>
        <w:t>3</w:t>
      </w:r>
      <w:r w:rsidR="006A5629" w:rsidRPr="006A5629">
        <w:rPr>
          <w:b/>
          <w:bCs/>
          <w:i/>
          <w:iCs/>
        </w:rPr>
        <w:t xml:space="preserve"> .</w:t>
      </w:r>
    </w:p>
    <w:p w:rsidR="00123FFF" w:rsidRPr="001E0AD1" w:rsidRDefault="00AD4C99" w:rsidP="00412077">
      <w:pPr>
        <w:pStyle w:val="BodyTextIndent"/>
        <w:ind w:firstLine="851"/>
        <w:rPr>
          <w:b/>
          <w:bCs/>
          <w:i/>
          <w:iCs/>
        </w:rPr>
      </w:pPr>
      <w:r w:rsidRPr="00AD4C99">
        <w:rPr>
          <w:noProof/>
          <w:lang w:eastAsia="lt-LT"/>
        </w:rPr>
        <w:pict>
          <v:shape id="Text Box 138" o:spid="_x0000_s1032" type="#_x0000_t202" style="position:absolute;left:0;text-align:left;margin-left:68.7pt;margin-top:349.3pt;width:232.5pt;height:18.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s+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" stroked="f">
            <v:textbox>
              <w:txbxContent>
                <w:p w:rsidR="00E77DC1" w:rsidRPr="00E77DC1" w:rsidRDefault="00E77DC1">
                  <w:pPr>
                    <w:rPr>
                      <w:i/>
                      <w:sz w:val="16"/>
                      <w:szCs w:val="16"/>
                      <w:lang w:val="lt-LT"/>
                    </w:rPr>
                  </w:pPr>
                  <w:r w:rsidRPr="00E77DC1">
                    <w:rPr>
                      <w:i/>
                      <w:sz w:val="16"/>
                      <w:szCs w:val="16"/>
                      <w:lang w:val="lt-LT"/>
                    </w:rPr>
                    <w:t>3. diagrama. Geriamojo vandens pardavimai m</w:t>
                  </w:r>
                  <w:r w:rsidRPr="00E77DC1">
                    <w:rPr>
                      <w:i/>
                      <w:sz w:val="16"/>
                      <w:szCs w:val="16"/>
                      <w:vertAlign w:val="superscript"/>
                      <w:lang w:val="lt-LT"/>
                    </w:rPr>
                    <w:t xml:space="preserve">3 </w:t>
                  </w:r>
                  <w:r w:rsidRPr="00E77DC1">
                    <w:rPr>
                      <w:i/>
                      <w:sz w:val="16"/>
                      <w:szCs w:val="16"/>
                      <w:lang w:val="lt-LT"/>
                    </w:rPr>
                    <w:t>2008-2015 m.</w:t>
                  </w:r>
                </w:p>
              </w:txbxContent>
            </v:textbox>
          </v:shape>
        </w:pict>
      </w:r>
      <w:r w:rsidR="00A74809" w:rsidRPr="001E0AD1">
        <w:rPr>
          <w:noProof/>
          <w:lang w:eastAsia="lt-LT"/>
        </w:rPr>
        <w:drawing>
          <wp:anchor distT="0" distB="0" distL="114300" distR="114300" simplePos="0" relativeHeight="251654656" behindDoc="0" locked="0" layoutInCell="1" allowOverlap="1">
            <wp:simplePos x="0" y="0"/>
            <wp:positionH relativeFrom="margin">
              <wp:posOffset>-180975</wp:posOffset>
            </wp:positionH>
            <wp:positionV relativeFrom="margin">
              <wp:posOffset>3329940</wp:posOffset>
            </wp:positionV>
            <wp:extent cx="4211955" cy="3477895"/>
            <wp:effectExtent l="0" t="0" r="0" b="0"/>
            <wp:wrapSquare wrapText="bothSides"/>
            <wp:docPr id="1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928" t="-3229" r="-5286" b="-9351"/>
                    <a:stretch>
                      <a:fillRect/>
                    </a:stretch>
                  </pic:blipFill>
                  <pic:spPr bwMode="auto">
                    <a:xfrm>
                      <a:off x="0" y="0"/>
                      <a:ext cx="4211955" cy="3477895"/>
                    </a:xfrm>
                    <a:prstGeom prst="rect">
                      <a:avLst/>
                    </a:prstGeom>
                    <a:noFill/>
                    <a:ln>
                      <a:noFill/>
                    </a:ln>
                  </pic:spPr>
                </pic:pic>
              </a:graphicData>
            </a:graphic>
          </wp:anchor>
        </w:drawing>
      </w:r>
      <w:r w:rsidR="00123FFF" w:rsidRPr="001E0AD1">
        <w:rPr>
          <w:b/>
          <w:bCs/>
          <w:i/>
          <w:iCs/>
        </w:rPr>
        <w:t>Kiekvienais metais var</w:t>
      </w:r>
      <w:r w:rsidR="00A55221" w:rsidRPr="001E0AD1">
        <w:rPr>
          <w:b/>
          <w:bCs/>
          <w:i/>
          <w:iCs/>
        </w:rPr>
        <w:t>t</w:t>
      </w:r>
      <w:r w:rsidR="00123FFF" w:rsidRPr="001E0AD1">
        <w:rPr>
          <w:b/>
          <w:bCs/>
          <w:i/>
          <w:iCs/>
        </w:rPr>
        <w:t xml:space="preserve">otojų, besinaudojančių centralizuotai tiekiamu geriamuoju vandeniu, skaičius didėja. Per </w:t>
      </w:r>
      <w:r w:rsidR="00BF29C2" w:rsidRPr="001E0AD1">
        <w:rPr>
          <w:b/>
          <w:bCs/>
          <w:i/>
          <w:iCs/>
        </w:rPr>
        <w:t xml:space="preserve">2015 m. </w:t>
      </w:r>
      <w:r w:rsidR="00A55221" w:rsidRPr="001E0AD1">
        <w:rPr>
          <w:b/>
          <w:bCs/>
          <w:i/>
          <w:iCs/>
        </w:rPr>
        <w:t xml:space="preserve">Prienų mieste sudarytos </w:t>
      </w:r>
      <w:r w:rsidR="00011DEB" w:rsidRPr="001E0AD1">
        <w:rPr>
          <w:b/>
          <w:bCs/>
          <w:i/>
          <w:iCs/>
        </w:rPr>
        <w:t xml:space="preserve">67 </w:t>
      </w:r>
      <w:r w:rsidR="00A55221" w:rsidRPr="001E0AD1">
        <w:rPr>
          <w:b/>
          <w:bCs/>
          <w:i/>
          <w:iCs/>
        </w:rPr>
        <w:t xml:space="preserve">vandens tiekimo sutartys, iš jų 47 sudarytos išsiskaidžius </w:t>
      </w:r>
      <w:r w:rsidR="00743576" w:rsidRPr="001E0AD1">
        <w:rPr>
          <w:b/>
          <w:bCs/>
          <w:i/>
          <w:iCs/>
        </w:rPr>
        <w:t>sodų bendrijai</w:t>
      </w:r>
      <w:r w:rsidR="00A55221" w:rsidRPr="001E0AD1">
        <w:rPr>
          <w:b/>
          <w:bCs/>
          <w:i/>
          <w:iCs/>
        </w:rPr>
        <w:t xml:space="preserve"> „Vandenis“</w:t>
      </w:r>
      <w:r w:rsidR="00FA0575" w:rsidRPr="001E0AD1">
        <w:rPr>
          <w:b/>
          <w:bCs/>
          <w:i/>
          <w:iCs/>
        </w:rPr>
        <w:t xml:space="preserve">, Prienų rajono kaimuose </w:t>
      </w:r>
      <w:r w:rsidR="00A55221" w:rsidRPr="001E0AD1">
        <w:rPr>
          <w:b/>
          <w:bCs/>
          <w:i/>
          <w:iCs/>
        </w:rPr>
        <w:t>naujai prisijungė</w:t>
      </w:r>
      <w:r w:rsidR="00DE6554" w:rsidRPr="001E0AD1">
        <w:rPr>
          <w:b/>
          <w:bCs/>
          <w:i/>
          <w:iCs/>
        </w:rPr>
        <w:t>91vartotojas</w:t>
      </w:r>
      <w:r w:rsidR="00994B2F" w:rsidRPr="001E0AD1">
        <w:rPr>
          <w:b/>
          <w:bCs/>
          <w:i/>
          <w:iCs/>
        </w:rPr>
        <w:t>, iš kurių net 3</w:t>
      </w:r>
      <w:r w:rsidR="00DE6554" w:rsidRPr="001E0AD1">
        <w:rPr>
          <w:b/>
          <w:bCs/>
          <w:i/>
          <w:iCs/>
        </w:rPr>
        <w:t>7</w:t>
      </w:r>
      <w:r w:rsidR="00994B2F" w:rsidRPr="001E0AD1">
        <w:rPr>
          <w:b/>
          <w:bCs/>
          <w:i/>
          <w:iCs/>
        </w:rPr>
        <w:t xml:space="preserve"> jau naudojosi vandens tiekimo paslauga ir atsiskaitydavo per Veiverių seniūnijos bendruomenės centrą. Bendrovei perėmus  Veiverių seniūnijos bendruomenės centrui priklausiusius tinklus, sudarytos sutartys tiesiai su vartotojais</w:t>
      </w:r>
      <w:r w:rsidR="00011DEB" w:rsidRPr="001E0AD1">
        <w:rPr>
          <w:b/>
          <w:bCs/>
          <w:i/>
          <w:iCs/>
        </w:rPr>
        <w:t>. Centralizuotai tiekiamu vandeniu besinaudojančių įmonių skaičius per 2015 m. sumažėjo 2 vnt.: nuo 257 vnt. 2014 m. iki 255 vnt. 2015 m.</w:t>
      </w:r>
    </w:p>
    <w:p w:rsidR="003316F5" w:rsidRPr="001E0AD1" w:rsidRDefault="00FA0575" w:rsidP="00011DEB">
      <w:pPr>
        <w:pStyle w:val="BodyTextIndent"/>
        <w:ind w:firstLine="851"/>
        <w:rPr>
          <w:b/>
          <w:bCs/>
          <w:i/>
          <w:iCs/>
        </w:rPr>
      </w:pPr>
      <w:r w:rsidRPr="001E0AD1">
        <w:rPr>
          <w:b/>
          <w:bCs/>
          <w:i/>
          <w:iCs/>
        </w:rPr>
        <w:t xml:space="preserve">Kaip matyti iš </w:t>
      </w:r>
      <w:r w:rsidR="00DE6554" w:rsidRPr="001E0AD1">
        <w:rPr>
          <w:b/>
          <w:bCs/>
          <w:i/>
          <w:iCs/>
        </w:rPr>
        <w:t>3</w:t>
      </w:r>
      <w:r w:rsidRPr="001E0AD1">
        <w:rPr>
          <w:b/>
          <w:bCs/>
          <w:i/>
          <w:iCs/>
        </w:rPr>
        <w:t xml:space="preserve"> diagramos, v</w:t>
      </w:r>
      <w:r w:rsidR="003316F5" w:rsidRPr="001E0AD1">
        <w:rPr>
          <w:b/>
          <w:bCs/>
          <w:i/>
          <w:iCs/>
        </w:rPr>
        <w:t>isoje aptarnaujamoje teritorijoje 201</w:t>
      </w:r>
      <w:r w:rsidR="00011DEB" w:rsidRPr="001E0AD1">
        <w:rPr>
          <w:b/>
          <w:bCs/>
          <w:i/>
          <w:iCs/>
        </w:rPr>
        <w:t>5</w:t>
      </w:r>
      <w:r w:rsidR="003316F5" w:rsidRPr="001E0AD1">
        <w:rPr>
          <w:b/>
          <w:bCs/>
          <w:i/>
          <w:iCs/>
        </w:rPr>
        <w:t xml:space="preserve"> m. buvo parduota </w:t>
      </w:r>
      <w:r w:rsidR="00011DEB" w:rsidRPr="001E0AD1">
        <w:rPr>
          <w:b/>
          <w:bCs/>
          <w:i/>
          <w:iCs/>
        </w:rPr>
        <w:t>381,4 tūkst.</w:t>
      </w:r>
      <w:r w:rsidR="00BF455B" w:rsidRPr="001E0AD1">
        <w:rPr>
          <w:b/>
          <w:bCs/>
          <w:i/>
          <w:iCs/>
        </w:rPr>
        <w:t xml:space="preserve"> m</w:t>
      </w:r>
      <w:r w:rsidR="00BF455B" w:rsidRPr="001E0AD1">
        <w:rPr>
          <w:b/>
          <w:bCs/>
          <w:i/>
          <w:iCs/>
          <w:vertAlign w:val="superscript"/>
        </w:rPr>
        <w:t>3</w:t>
      </w:r>
      <w:r w:rsidR="00BF455B" w:rsidRPr="001E0AD1">
        <w:rPr>
          <w:b/>
          <w:bCs/>
          <w:i/>
          <w:iCs/>
        </w:rPr>
        <w:t xml:space="preserve"> geriamojo vandens,</w:t>
      </w:r>
      <w:r w:rsidR="00011DEB" w:rsidRPr="001E0AD1">
        <w:rPr>
          <w:b/>
          <w:bCs/>
          <w:i/>
          <w:iCs/>
        </w:rPr>
        <w:t>iš jų 248,5 tūkst. m</w:t>
      </w:r>
      <w:r w:rsidR="00011DEB" w:rsidRPr="001E0AD1">
        <w:rPr>
          <w:b/>
          <w:bCs/>
          <w:i/>
          <w:iCs/>
          <w:vertAlign w:val="superscript"/>
        </w:rPr>
        <w:t>3</w:t>
      </w:r>
      <w:r w:rsidR="00997129" w:rsidRPr="001E0AD1">
        <w:rPr>
          <w:b/>
          <w:bCs/>
          <w:i/>
          <w:iCs/>
        </w:rPr>
        <w:t xml:space="preserve"> pateikta gyventojams ir</w:t>
      </w:r>
      <w:r w:rsidR="00011DEB" w:rsidRPr="001E0AD1">
        <w:rPr>
          <w:b/>
          <w:bCs/>
          <w:i/>
          <w:iCs/>
        </w:rPr>
        <w:t xml:space="preserve"> 132,9 tūkst. m</w:t>
      </w:r>
      <w:r w:rsidR="00011DEB" w:rsidRPr="001E0AD1">
        <w:rPr>
          <w:b/>
          <w:bCs/>
          <w:i/>
          <w:iCs/>
          <w:vertAlign w:val="superscript"/>
        </w:rPr>
        <w:t>3</w:t>
      </w:r>
      <w:r w:rsidR="00997129" w:rsidRPr="001E0AD1">
        <w:rPr>
          <w:b/>
          <w:bCs/>
          <w:i/>
          <w:iCs/>
        </w:rPr>
        <w:t xml:space="preserve"> </w:t>
      </w:r>
      <w:r w:rsidR="00997129" w:rsidRPr="001E0AD1">
        <w:rPr>
          <w:b/>
          <w:bCs/>
          <w:i/>
          <w:iCs/>
        </w:rPr>
        <w:lastRenderedPageBreak/>
        <w:t>įmonėms</w:t>
      </w:r>
      <w:r w:rsidR="003316F5" w:rsidRPr="001E0AD1">
        <w:rPr>
          <w:b/>
          <w:bCs/>
          <w:i/>
          <w:iCs/>
        </w:rPr>
        <w:t>.</w:t>
      </w:r>
      <w:r w:rsidR="00BF455B" w:rsidRPr="001E0AD1">
        <w:rPr>
          <w:b/>
          <w:bCs/>
          <w:i/>
          <w:iCs/>
        </w:rPr>
        <w:t xml:space="preserve"> Lyginant su 201</w:t>
      </w:r>
      <w:r w:rsidR="00011DEB" w:rsidRPr="001E0AD1">
        <w:rPr>
          <w:b/>
          <w:bCs/>
          <w:i/>
          <w:iCs/>
        </w:rPr>
        <w:t>4</w:t>
      </w:r>
      <w:r w:rsidR="00BF455B" w:rsidRPr="001E0AD1">
        <w:rPr>
          <w:b/>
          <w:bCs/>
          <w:i/>
          <w:iCs/>
        </w:rPr>
        <w:t xml:space="preserve"> m., sunaudoto vandens kiekis padidėjo net </w:t>
      </w:r>
      <w:r w:rsidR="00011DEB" w:rsidRPr="001E0AD1">
        <w:rPr>
          <w:b/>
          <w:bCs/>
          <w:i/>
          <w:iCs/>
        </w:rPr>
        <w:t>7,8 tūkst. m</w:t>
      </w:r>
      <w:r w:rsidR="00011DEB" w:rsidRPr="001E0AD1">
        <w:rPr>
          <w:b/>
          <w:bCs/>
          <w:i/>
          <w:iCs/>
          <w:vertAlign w:val="superscript"/>
        </w:rPr>
        <w:t>3</w:t>
      </w:r>
      <w:r w:rsidR="00441026" w:rsidRPr="001E0AD1">
        <w:rPr>
          <w:b/>
          <w:bCs/>
          <w:i/>
          <w:iCs/>
        </w:rPr>
        <w:t xml:space="preserve"> geriamojo vandens. </w:t>
      </w:r>
    </w:p>
    <w:p w:rsidR="00811F79" w:rsidRPr="001E0AD1" w:rsidRDefault="00AD4C99" w:rsidP="00616C0B">
      <w:pPr>
        <w:pStyle w:val="BodyTextIndent"/>
        <w:ind w:firstLine="851"/>
        <w:rPr>
          <w:b/>
          <w:bCs/>
          <w:i/>
          <w:iCs/>
        </w:rPr>
      </w:pPr>
      <w:r>
        <w:rPr>
          <w:b/>
          <w:bCs/>
          <w:i/>
          <w:iCs/>
          <w:noProof/>
          <w:lang w:eastAsia="lt-LT"/>
        </w:rPr>
        <w:pict>
          <v:shape id="Text Box 139" o:spid="_x0000_s1033" type="#_x0000_t202" style="position:absolute;left:0;text-align:left;margin-left:355.9pt;margin-top:117.9pt;width:124.55pt;height:26.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" stroked="f">
            <v:textbox>
              <w:txbxContent>
                <w:p w:rsidR="00E77DC1" w:rsidRPr="00E77DC1" w:rsidRDefault="00E77DC1" w:rsidP="00E77DC1">
                  <w:pPr>
                    <w:rPr>
                      <w:i/>
                      <w:sz w:val="16"/>
                      <w:szCs w:val="16"/>
                      <w:lang w:val="lt-LT"/>
                    </w:rPr>
                  </w:pPr>
                  <w:r w:rsidRPr="00E77DC1">
                    <w:rPr>
                      <w:i/>
                      <w:sz w:val="16"/>
                      <w:szCs w:val="16"/>
                      <w:lang w:val="lt-LT"/>
                    </w:rPr>
                    <w:t xml:space="preserve">3. </w:t>
                  </w:r>
                  <w:r>
                    <w:rPr>
                      <w:i/>
                      <w:sz w:val="16"/>
                      <w:szCs w:val="16"/>
                      <w:lang w:val="lt-LT"/>
                    </w:rPr>
                    <w:t>paveikslėlis</w:t>
                  </w:r>
                  <w:r w:rsidRPr="00E77DC1">
                    <w:rPr>
                      <w:i/>
                      <w:sz w:val="16"/>
                      <w:szCs w:val="16"/>
                      <w:lang w:val="lt-LT"/>
                    </w:rPr>
                    <w:t xml:space="preserve">. Geriamojo vandens </w:t>
                  </w:r>
                  <w:r>
                    <w:rPr>
                      <w:i/>
                      <w:sz w:val="16"/>
                      <w:szCs w:val="16"/>
                      <w:lang w:val="lt-LT"/>
                    </w:rPr>
                    <w:t>apskaitos prietaisas.</w:t>
                  </w:r>
                </w:p>
              </w:txbxContent>
            </v:textbox>
          </v:shape>
        </w:pict>
      </w:r>
      <w:r w:rsidR="00A74809" w:rsidRPr="001E0AD1">
        <w:rPr>
          <w:b/>
          <w:bCs/>
          <w:i/>
          <w:iCs/>
          <w:noProof/>
          <w:lang w:eastAsia="lt-LT"/>
        </w:rPr>
        <w:drawing>
          <wp:anchor distT="0" distB="0" distL="114300" distR="114300" simplePos="0" relativeHeight="251649536" behindDoc="0" locked="0" layoutInCell="1" allowOverlap="1">
            <wp:simplePos x="0" y="0"/>
            <wp:positionH relativeFrom="column">
              <wp:posOffset>4519930</wp:posOffset>
            </wp:positionH>
            <wp:positionV relativeFrom="paragraph">
              <wp:posOffset>212090</wp:posOffset>
            </wp:positionV>
            <wp:extent cx="1412875" cy="1412875"/>
            <wp:effectExtent l="0" t="0" r="0" b="0"/>
            <wp:wrapSquare wrapText="bothSides"/>
            <wp:docPr id="107" name="Picture 10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dex"/>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2875" cy="1412875"/>
                    </a:xfrm>
                    <a:prstGeom prst="rect">
                      <a:avLst/>
                    </a:prstGeom>
                    <a:noFill/>
                    <a:ln>
                      <a:noFill/>
                    </a:ln>
                  </pic:spPr>
                </pic:pic>
              </a:graphicData>
            </a:graphic>
          </wp:anchor>
        </w:drawing>
      </w:r>
      <w:r w:rsidR="00F76F80" w:rsidRPr="001E0AD1">
        <w:rPr>
          <w:b/>
          <w:bCs/>
          <w:i/>
          <w:iCs/>
        </w:rPr>
        <w:t xml:space="preserve">Vanduo vartotojams ir abonentams apskaitomas šalto vandens apskaitos skaitikliais. Pagal šiuos skaitiklius yra atsiskaitoma už geriamojo vandens tiekimo ir nuotekų tvarkymo paslaugas, todėl jie yra priskiriami teisinės metrologijos objektui. Skaitiklių tinkamumą naudojimui reglamentuoja LR metrologijos įstatymas bei poįstatyminiai aktai. Pagal nustatytus reikalavimus, kas </w:t>
      </w:r>
      <w:r w:rsidR="00123379" w:rsidRPr="001E0AD1">
        <w:rPr>
          <w:b/>
          <w:bCs/>
          <w:i/>
          <w:iCs/>
        </w:rPr>
        <w:t xml:space="preserve">6 </w:t>
      </w:r>
      <w:r w:rsidR="00F76F80" w:rsidRPr="001E0AD1">
        <w:rPr>
          <w:b/>
          <w:bCs/>
          <w:i/>
          <w:iCs/>
        </w:rPr>
        <w:t>metai skaitikliai privalo būti metrologiškai patikrinami.</w:t>
      </w:r>
      <w:r w:rsidR="00D94913" w:rsidRPr="001E0AD1">
        <w:rPr>
          <w:b/>
          <w:bCs/>
          <w:i/>
          <w:iCs/>
        </w:rPr>
        <w:t xml:space="preserve"> Bendrovės apskaitos duomenimis daugiabučių namų butuose yra sumontuoti </w:t>
      </w:r>
      <w:r w:rsidR="001D35DE" w:rsidRPr="001E0AD1">
        <w:rPr>
          <w:b/>
          <w:bCs/>
          <w:i/>
          <w:iCs/>
        </w:rPr>
        <w:t>3919</w:t>
      </w:r>
      <w:r w:rsidR="00F1712C" w:rsidRPr="001E0AD1">
        <w:rPr>
          <w:b/>
          <w:bCs/>
          <w:i/>
          <w:iCs/>
        </w:rPr>
        <w:t xml:space="preserve"> skaitiklių</w:t>
      </w:r>
      <w:r w:rsidR="00D94913" w:rsidRPr="001E0AD1">
        <w:rPr>
          <w:b/>
          <w:bCs/>
          <w:i/>
          <w:iCs/>
        </w:rPr>
        <w:t>, individualiuose namuose</w:t>
      </w:r>
      <w:r w:rsidR="001D35DE" w:rsidRPr="001E0AD1">
        <w:rPr>
          <w:b/>
          <w:bCs/>
          <w:i/>
          <w:iCs/>
        </w:rPr>
        <w:t xml:space="preserve"> 2723</w:t>
      </w:r>
      <w:r w:rsidR="00D94913" w:rsidRPr="001E0AD1">
        <w:rPr>
          <w:b/>
          <w:bCs/>
          <w:i/>
          <w:iCs/>
        </w:rPr>
        <w:t>, daugiabučių namų įvaduose</w:t>
      </w:r>
      <w:r w:rsidR="001D35DE" w:rsidRPr="001E0AD1">
        <w:rPr>
          <w:b/>
          <w:bCs/>
          <w:i/>
          <w:iCs/>
        </w:rPr>
        <w:t xml:space="preserve"> 11</w:t>
      </w:r>
      <w:r w:rsidR="00F1712C" w:rsidRPr="001E0AD1">
        <w:rPr>
          <w:b/>
          <w:bCs/>
          <w:i/>
          <w:iCs/>
        </w:rPr>
        <w:t>1</w:t>
      </w:r>
      <w:r w:rsidR="00D94913" w:rsidRPr="001E0AD1">
        <w:rPr>
          <w:b/>
          <w:bCs/>
          <w:i/>
          <w:iCs/>
        </w:rPr>
        <w:t xml:space="preserve">, bei įmonėse </w:t>
      </w:r>
      <w:r w:rsidR="001D35DE" w:rsidRPr="001E0AD1">
        <w:rPr>
          <w:b/>
          <w:bCs/>
          <w:i/>
          <w:iCs/>
        </w:rPr>
        <w:t>417 skaitiklių</w:t>
      </w:r>
      <w:r w:rsidR="00D94913" w:rsidRPr="001E0AD1">
        <w:rPr>
          <w:b/>
          <w:bCs/>
          <w:i/>
          <w:iCs/>
        </w:rPr>
        <w:t>.</w:t>
      </w:r>
    </w:p>
    <w:p w:rsidR="001D35DE" w:rsidRPr="001E0AD1" w:rsidRDefault="001D35DE" w:rsidP="001D35DE">
      <w:pPr>
        <w:pStyle w:val="BodyTextIndent"/>
        <w:ind w:firstLine="851"/>
        <w:rPr>
          <w:b/>
          <w:bCs/>
          <w:i/>
          <w:iCs/>
        </w:rPr>
      </w:pPr>
      <w:r w:rsidRPr="001E0AD1">
        <w:rPr>
          <w:b/>
          <w:bCs/>
          <w:i/>
          <w:iCs/>
        </w:rPr>
        <w:t xml:space="preserve">2015 m. buvo dalis vartotojų, kurie atsiskaitė ne pagal šalto vandens apskaitos prietaisus, o pagal </w:t>
      </w:r>
      <w:r w:rsidR="00800FE4" w:rsidRPr="001E0AD1">
        <w:rPr>
          <w:b/>
          <w:bCs/>
          <w:i/>
          <w:iCs/>
        </w:rPr>
        <w:t>Prienų rajono savivaldybės nustatytas normas vienam gyventojui (4 m</w:t>
      </w:r>
      <w:r w:rsidR="00800FE4" w:rsidRPr="001E0AD1">
        <w:rPr>
          <w:b/>
          <w:bCs/>
          <w:i/>
          <w:iCs/>
          <w:vertAlign w:val="superscript"/>
        </w:rPr>
        <w:t>3</w:t>
      </w:r>
      <w:r w:rsidR="00800FE4" w:rsidRPr="001E0AD1">
        <w:rPr>
          <w:b/>
          <w:bCs/>
          <w:i/>
          <w:iCs/>
        </w:rPr>
        <w:t xml:space="preserve"> privačiuose namuose ir 3,5 m</w:t>
      </w:r>
      <w:r w:rsidR="00800FE4" w:rsidRPr="001E0AD1">
        <w:rPr>
          <w:b/>
          <w:bCs/>
          <w:i/>
          <w:iCs/>
          <w:vertAlign w:val="superscript"/>
        </w:rPr>
        <w:t>3</w:t>
      </w:r>
      <w:r w:rsidR="00800FE4" w:rsidRPr="001E0AD1">
        <w:rPr>
          <w:b/>
          <w:bCs/>
          <w:i/>
          <w:iCs/>
        </w:rPr>
        <w:t xml:space="preserve">  daugiabučiuose namuose vienam gyventojui). </w:t>
      </w:r>
      <w:r w:rsidRPr="001E0AD1">
        <w:rPr>
          <w:b/>
          <w:bCs/>
          <w:i/>
          <w:iCs/>
        </w:rPr>
        <w:t>Metų pabaigoje tokių vartotojų buvo 288. Šiems vartotojams skaitikliai neįrengti, nes dėl techninių ar kitų priežasčių nėra galimybės įrengti atsiskaitomųjų geriamojo vandens prietaisų. Bendrovė deda pastangas, kad tokių vartotojų būtų kuo mažiau, nes atsiskaitant pagal normas atsiranda neapibrėžtumai: iš vienos pusės vartotojai gali piktnaudžiauti susidariusia situacija ir suvartoti daugiau vandens, nei apskaitoma pagal normą</w:t>
      </w:r>
      <w:r w:rsidR="00A74809" w:rsidRPr="001E0AD1">
        <w:rPr>
          <w:b/>
          <w:bCs/>
          <w:i/>
          <w:iCs/>
        </w:rPr>
        <w:t xml:space="preserve"> arba</w:t>
      </w:r>
      <w:r w:rsidRPr="001E0AD1">
        <w:rPr>
          <w:b/>
          <w:bCs/>
          <w:i/>
          <w:iCs/>
        </w:rPr>
        <w:t xml:space="preserve">, iš kitos pusės – gali nutikti taip, jog vartotojai sunaudoja mažiau vandens nei yra priversti apmokėti. Dėl tokios situacijos apsunkinama </w:t>
      </w:r>
      <w:r w:rsidR="004848AE" w:rsidRPr="001E0AD1">
        <w:rPr>
          <w:b/>
          <w:bCs/>
          <w:i/>
          <w:iCs/>
        </w:rPr>
        <w:t>sunaudoto vandens apskaita.</w:t>
      </w:r>
    </w:p>
    <w:p w:rsidR="001A7DE9" w:rsidRPr="001E0AD1" w:rsidRDefault="00607275" w:rsidP="00C235A7">
      <w:pPr>
        <w:pStyle w:val="BodyTextIndent"/>
        <w:ind w:firstLine="851"/>
        <w:rPr>
          <w:b/>
          <w:bCs/>
          <w:i/>
          <w:iCs/>
        </w:rPr>
      </w:pPr>
      <w:r w:rsidRPr="001E0AD1">
        <w:rPr>
          <w:b/>
          <w:bCs/>
          <w:i/>
          <w:iCs/>
        </w:rPr>
        <w:t xml:space="preserve">NUOTEKŲ ŠALINIMAS. </w:t>
      </w:r>
      <w:r w:rsidR="00721105" w:rsidRPr="001E0AD1">
        <w:rPr>
          <w:b/>
          <w:bCs/>
          <w:i/>
          <w:iCs/>
        </w:rPr>
        <w:t>UAB „Prienų vandenys</w:t>
      </w:r>
      <w:r w:rsidR="007F26FB" w:rsidRPr="001E0AD1">
        <w:rPr>
          <w:b/>
          <w:bCs/>
          <w:i/>
          <w:iCs/>
        </w:rPr>
        <w:t xml:space="preserve">“ eksploatuoja </w:t>
      </w:r>
      <w:r w:rsidR="00F1712C" w:rsidRPr="001E0AD1">
        <w:rPr>
          <w:b/>
          <w:bCs/>
          <w:i/>
          <w:iCs/>
        </w:rPr>
        <w:t>9</w:t>
      </w:r>
      <w:r w:rsidR="00721105" w:rsidRPr="001E0AD1">
        <w:rPr>
          <w:b/>
          <w:bCs/>
          <w:i/>
          <w:iCs/>
        </w:rPr>
        <w:t xml:space="preserve"> atskiras nuotekų sistemas</w:t>
      </w:r>
      <w:r w:rsidR="007F26FB" w:rsidRPr="001E0AD1">
        <w:rPr>
          <w:b/>
          <w:bCs/>
          <w:i/>
          <w:iCs/>
        </w:rPr>
        <w:t xml:space="preserve"> s</w:t>
      </w:r>
      <w:r w:rsidR="007A305E" w:rsidRPr="001E0AD1">
        <w:rPr>
          <w:b/>
          <w:bCs/>
          <w:i/>
          <w:iCs/>
        </w:rPr>
        <w:t xml:space="preserve">u </w:t>
      </w:r>
      <w:r w:rsidR="00F1712C" w:rsidRPr="001E0AD1">
        <w:rPr>
          <w:b/>
          <w:bCs/>
          <w:i/>
          <w:iCs/>
        </w:rPr>
        <w:t>16</w:t>
      </w:r>
      <w:r w:rsidR="007A305E" w:rsidRPr="001E0AD1">
        <w:rPr>
          <w:b/>
          <w:bCs/>
          <w:i/>
          <w:iCs/>
        </w:rPr>
        <w:t xml:space="preserve"> nuotekų perpumpavimo stočių</w:t>
      </w:r>
      <w:r w:rsidR="00F1712C" w:rsidRPr="001E0AD1">
        <w:rPr>
          <w:b/>
          <w:bCs/>
          <w:i/>
          <w:iCs/>
        </w:rPr>
        <w:t>, kuriose instaliuota 32nuotekų siurbliai</w:t>
      </w:r>
      <w:r w:rsidR="00721105" w:rsidRPr="001E0AD1">
        <w:rPr>
          <w:b/>
          <w:bCs/>
          <w:i/>
          <w:iCs/>
        </w:rPr>
        <w:t>. Nuotekų šalinimo tinklai yra pakloti Prienų mieste,</w:t>
      </w:r>
      <w:r w:rsidR="00C235A7" w:rsidRPr="001E0AD1">
        <w:rPr>
          <w:b/>
          <w:bCs/>
          <w:i/>
          <w:iCs/>
        </w:rPr>
        <w:t xml:space="preserve">Ignacavos, </w:t>
      </w:r>
      <w:r w:rsidR="00721105" w:rsidRPr="001E0AD1">
        <w:rPr>
          <w:b/>
          <w:bCs/>
          <w:i/>
          <w:iCs/>
        </w:rPr>
        <w:t xml:space="preserve">Balbieriškio, Išlaužo, Pakuonio, Veiverių, Jiezno, Strazdiškių ir Vyšniūnų gyvenvietėse.  </w:t>
      </w:r>
      <w:r w:rsidR="00F1712C" w:rsidRPr="001E0AD1">
        <w:rPr>
          <w:b/>
          <w:bCs/>
          <w:i/>
          <w:iCs/>
        </w:rPr>
        <w:t>Nuotekų tinklų ilgis siekia 94,3 km.</w:t>
      </w:r>
    </w:p>
    <w:p w:rsidR="001A7DE9" w:rsidRPr="001E0AD1" w:rsidRDefault="001A7DE9" w:rsidP="00C235A7">
      <w:pPr>
        <w:pStyle w:val="BodyTextIndent"/>
        <w:ind w:firstLine="851"/>
        <w:rPr>
          <w:b/>
          <w:bCs/>
          <w:i/>
          <w:iCs/>
          <w:color w:val="FF0000"/>
        </w:rPr>
      </w:pPr>
      <w:r w:rsidRPr="001E0AD1">
        <w:rPr>
          <w:b/>
          <w:bCs/>
          <w:i/>
          <w:iCs/>
        </w:rPr>
        <w:t xml:space="preserve">Nuotekų šalinimo paslauga naudojasi 2755 daugiabučių namų butai, 1126 individualūs namai ir 182 įmonės. Per 2015 m. prie nuotekų šalinimo tinklų Prienuose prisijungė 14 naujų vartotojų, kaimuose </w:t>
      </w:r>
      <w:r w:rsidR="00C65643" w:rsidRPr="001E0AD1">
        <w:rPr>
          <w:b/>
          <w:bCs/>
          <w:i/>
          <w:iCs/>
        </w:rPr>
        <w:t xml:space="preserve">–45, iš kurių </w:t>
      </w:r>
      <w:r w:rsidR="00DE6554" w:rsidRPr="001E0AD1">
        <w:rPr>
          <w:b/>
          <w:bCs/>
          <w:i/>
          <w:iCs/>
        </w:rPr>
        <w:t>12</w:t>
      </w:r>
      <w:r w:rsidR="00C65643" w:rsidRPr="001E0AD1">
        <w:rPr>
          <w:b/>
          <w:bCs/>
          <w:i/>
          <w:iCs/>
        </w:rPr>
        <w:t xml:space="preserve"> jau naudojosi nuotekų šalinimo paslauga ir atsiskaitydavo per Veiverių seniūnijos bendruomenės centrą. Bendrovei perėmus  Veiverių seniūnijos bendruomenės centrui priklausiusius tinklus, sudarytos sutartys tiesiai su </w:t>
      </w:r>
      <w:r w:rsidR="00C65643" w:rsidRPr="001E0AD1">
        <w:rPr>
          <w:b/>
          <w:bCs/>
          <w:i/>
          <w:iCs/>
        </w:rPr>
        <w:lastRenderedPageBreak/>
        <w:t xml:space="preserve">vartotojais. Net </w:t>
      </w:r>
      <w:r w:rsidR="00DE6554" w:rsidRPr="001E0AD1">
        <w:rPr>
          <w:b/>
          <w:bCs/>
          <w:i/>
          <w:iCs/>
        </w:rPr>
        <w:t>31</w:t>
      </w:r>
      <w:r w:rsidR="00C65643" w:rsidRPr="001E0AD1">
        <w:rPr>
          <w:b/>
          <w:bCs/>
          <w:i/>
          <w:iCs/>
        </w:rPr>
        <w:t xml:space="preserve"> nauj</w:t>
      </w:r>
      <w:r w:rsidR="00DE6554" w:rsidRPr="001E0AD1">
        <w:rPr>
          <w:b/>
          <w:bCs/>
          <w:i/>
          <w:iCs/>
        </w:rPr>
        <w:t>as vartotojas</w:t>
      </w:r>
      <w:r w:rsidR="00C65643" w:rsidRPr="001E0AD1">
        <w:rPr>
          <w:b/>
          <w:bCs/>
          <w:i/>
          <w:iCs/>
        </w:rPr>
        <w:t xml:space="preserve"> pradėjo centralizuotai šalinti nuotekas Balbieriškio mie</w:t>
      </w:r>
      <w:r w:rsidR="0084597D" w:rsidRPr="001E0AD1">
        <w:rPr>
          <w:b/>
          <w:bCs/>
          <w:i/>
          <w:iCs/>
        </w:rPr>
        <w:t>stelyje, prisijungę prie nuotekų</w:t>
      </w:r>
      <w:r w:rsidR="00C65643" w:rsidRPr="001E0AD1">
        <w:rPr>
          <w:b/>
          <w:bCs/>
          <w:i/>
          <w:iCs/>
        </w:rPr>
        <w:t xml:space="preserve"> tinklų, nutiestų įgyvendinus projektus „Vandentiekio ir nuotekų tinklų plėtra Balbieriškyje ir nuotekų tinklų keitimas Prienuose“ ir „Vandentiekio ir nuotekų tinklų plėtra Prienų rajone (Balbieriškyje) II etapas“.</w:t>
      </w:r>
    </w:p>
    <w:p w:rsidR="00C65643" w:rsidRPr="001E0AD1" w:rsidRDefault="00AD4C99" w:rsidP="00C235A7">
      <w:pPr>
        <w:pStyle w:val="BodyTextIndent"/>
        <w:ind w:firstLine="851"/>
        <w:rPr>
          <w:noProof/>
          <w:lang w:eastAsia="lt-LT"/>
        </w:rPr>
      </w:pPr>
      <w:r w:rsidRPr="00AD4C99">
        <w:rPr>
          <w:b/>
          <w:bCs/>
          <w:i/>
          <w:iCs/>
          <w:noProof/>
          <w:lang w:eastAsia="lt-LT"/>
        </w:rPr>
        <w:pict>
          <v:shape id="Text Box 140" o:spid="_x0000_s1034" type="#_x0000_t202" style="position:absolute;left:0;text-align:left;margin-left:258.45pt;margin-top:245.4pt;width:182.25pt;height:18.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" stroked="f">
            <v:textbox>
              <w:txbxContent>
                <w:p w:rsidR="00E77DC1" w:rsidRPr="00E77DC1" w:rsidRDefault="00E77DC1" w:rsidP="00E77DC1">
                  <w:pPr>
                    <w:rPr>
                      <w:i/>
                      <w:sz w:val="16"/>
                      <w:szCs w:val="16"/>
                      <w:lang w:val="lt-LT"/>
                    </w:rPr>
                  </w:pPr>
                  <w:r>
                    <w:rPr>
                      <w:i/>
                      <w:sz w:val="16"/>
                      <w:szCs w:val="16"/>
                      <w:lang w:val="lt-LT"/>
                    </w:rPr>
                    <w:t>4</w:t>
                  </w:r>
                  <w:r w:rsidRPr="00E77DC1">
                    <w:rPr>
                      <w:i/>
                      <w:sz w:val="16"/>
                      <w:szCs w:val="16"/>
                      <w:lang w:val="lt-LT"/>
                    </w:rPr>
                    <w:t xml:space="preserve">. diagrama. </w:t>
                  </w:r>
                  <w:r>
                    <w:rPr>
                      <w:i/>
                      <w:sz w:val="16"/>
                      <w:szCs w:val="16"/>
                      <w:lang w:val="lt-LT"/>
                    </w:rPr>
                    <w:t>Pašalinta nuotekų</w:t>
                  </w:r>
                  <w:r w:rsidRPr="00E77DC1">
                    <w:rPr>
                      <w:i/>
                      <w:sz w:val="16"/>
                      <w:szCs w:val="16"/>
                      <w:lang w:val="lt-LT"/>
                    </w:rPr>
                    <w:t xml:space="preserve"> m</w:t>
                  </w:r>
                  <w:r w:rsidRPr="00E77DC1">
                    <w:rPr>
                      <w:i/>
                      <w:sz w:val="16"/>
                      <w:szCs w:val="16"/>
                      <w:vertAlign w:val="superscript"/>
                      <w:lang w:val="lt-LT"/>
                    </w:rPr>
                    <w:t xml:space="preserve">3 </w:t>
                  </w:r>
                  <w:r w:rsidRPr="00E77DC1">
                    <w:rPr>
                      <w:i/>
                      <w:sz w:val="16"/>
                      <w:szCs w:val="16"/>
                      <w:lang w:val="lt-LT"/>
                    </w:rPr>
                    <w:t>2008-2015 m.</w:t>
                  </w:r>
                </w:p>
              </w:txbxContent>
            </v:textbox>
          </v:shape>
        </w:pict>
      </w:r>
      <w:r w:rsidR="00A74809" w:rsidRPr="001E0AD1">
        <w:rPr>
          <w:noProof/>
          <w:lang w:eastAsia="lt-LT"/>
        </w:rPr>
        <w:drawing>
          <wp:inline distT="0" distB="0" distL="0" distR="0">
            <wp:extent cx="5048250" cy="31242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7DC1" w:rsidRPr="001E0AD1" w:rsidRDefault="00E77DC1" w:rsidP="00C235A7">
      <w:pPr>
        <w:pStyle w:val="BodyTextIndent"/>
        <w:ind w:firstLine="851"/>
        <w:rPr>
          <w:b/>
          <w:bCs/>
          <w:i/>
          <w:iCs/>
        </w:rPr>
      </w:pPr>
    </w:p>
    <w:p w:rsidR="00236255" w:rsidRPr="001E0AD1" w:rsidRDefault="00236255" w:rsidP="00C235A7">
      <w:pPr>
        <w:pStyle w:val="BodyTextIndent"/>
        <w:ind w:firstLine="851"/>
        <w:rPr>
          <w:b/>
          <w:bCs/>
          <w:i/>
          <w:iCs/>
        </w:rPr>
      </w:pPr>
      <w:r w:rsidRPr="001E0AD1">
        <w:rPr>
          <w:b/>
          <w:bCs/>
          <w:i/>
          <w:iCs/>
        </w:rPr>
        <w:t>Didėjant vartotojų skaičiui, tuo pačiu didėja ir pašalintų nuotekų skaičius. Lyginant su 2014 m., per 2015 m. pašalinta 14,3 tūkst. m</w:t>
      </w:r>
      <w:r w:rsidRPr="001E0AD1">
        <w:rPr>
          <w:b/>
          <w:bCs/>
          <w:i/>
          <w:iCs/>
          <w:vertAlign w:val="superscript"/>
        </w:rPr>
        <w:t>3</w:t>
      </w:r>
      <w:r w:rsidR="00922E2C" w:rsidRPr="001E0AD1">
        <w:rPr>
          <w:b/>
          <w:bCs/>
          <w:i/>
          <w:iCs/>
        </w:rPr>
        <w:t xml:space="preserve">daugiau </w:t>
      </w:r>
      <w:r w:rsidRPr="001E0AD1">
        <w:rPr>
          <w:b/>
          <w:bCs/>
          <w:i/>
          <w:iCs/>
        </w:rPr>
        <w:t>nuotekų.</w:t>
      </w:r>
      <w:r w:rsidR="00922E2C" w:rsidRPr="001E0AD1">
        <w:rPr>
          <w:b/>
          <w:bCs/>
          <w:i/>
          <w:iCs/>
        </w:rPr>
        <w:t xml:space="preserve"> Kaip matyti iš diagramos, daugiausiai nuotekų, net 149,8 tūkst. m</w:t>
      </w:r>
      <w:r w:rsidR="00922E2C" w:rsidRPr="001E0AD1">
        <w:rPr>
          <w:b/>
          <w:bCs/>
          <w:i/>
          <w:iCs/>
          <w:vertAlign w:val="superscript"/>
        </w:rPr>
        <w:t>3</w:t>
      </w:r>
      <w:r w:rsidR="00922E2C" w:rsidRPr="001E0AD1">
        <w:rPr>
          <w:b/>
          <w:bCs/>
          <w:i/>
          <w:iCs/>
        </w:rPr>
        <w:t xml:space="preserve"> pašalino gyventojai ir 113,7 tūkst. m</w:t>
      </w:r>
      <w:r w:rsidR="00922E2C" w:rsidRPr="001E0AD1">
        <w:rPr>
          <w:b/>
          <w:bCs/>
          <w:i/>
          <w:iCs/>
          <w:vertAlign w:val="superscript"/>
        </w:rPr>
        <w:t>3</w:t>
      </w:r>
      <w:r w:rsidR="00922E2C" w:rsidRPr="001E0AD1">
        <w:rPr>
          <w:b/>
          <w:bCs/>
          <w:i/>
          <w:iCs/>
        </w:rPr>
        <w:t xml:space="preserve"> įmonės.</w:t>
      </w:r>
    </w:p>
    <w:p w:rsidR="00E77DC1" w:rsidRPr="001E0AD1" w:rsidRDefault="00BA6711" w:rsidP="00605603">
      <w:pPr>
        <w:pStyle w:val="BodyTextIndent"/>
        <w:ind w:firstLine="851"/>
        <w:rPr>
          <w:b/>
          <w:bCs/>
          <w:i/>
          <w:iCs/>
        </w:rPr>
      </w:pPr>
      <w:r w:rsidRPr="001E0AD1">
        <w:rPr>
          <w:b/>
          <w:bCs/>
          <w:i/>
          <w:iCs/>
        </w:rPr>
        <w:t>Gaila, tačiau ne visi rajono gyventojai</w:t>
      </w:r>
      <w:r w:rsidR="001F06B6" w:rsidRPr="001E0AD1">
        <w:rPr>
          <w:b/>
          <w:bCs/>
          <w:i/>
          <w:iCs/>
        </w:rPr>
        <w:t xml:space="preserve"> yra sui</w:t>
      </w:r>
      <w:r w:rsidRPr="001E0AD1">
        <w:rPr>
          <w:b/>
          <w:bCs/>
          <w:i/>
          <w:iCs/>
        </w:rPr>
        <w:t xml:space="preserve">nteresuoti arba turi galimybę pasijungti prie centralizuotų nuotekų tinklų. Dėl šios priežasties </w:t>
      </w:r>
      <w:r w:rsidR="005155BE" w:rsidRPr="001E0AD1">
        <w:rPr>
          <w:b/>
          <w:bCs/>
          <w:i/>
          <w:iCs/>
        </w:rPr>
        <w:t xml:space="preserve">Bendrovė iš gyventojų bei įmonių nuotekas surenka ir asenizacinėmis mašinomis. Šiai paslaugai Bendrovė turi tris </w:t>
      </w:r>
      <w:r w:rsidRPr="001E0AD1">
        <w:rPr>
          <w:b/>
          <w:bCs/>
          <w:i/>
          <w:iCs/>
        </w:rPr>
        <w:t>asenizacines</w:t>
      </w:r>
      <w:r w:rsidR="005155BE" w:rsidRPr="001E0AD1">
        <w:rPr>
          <w:b/>
          <w:bCs/>
          <w:i/>
          <w:iCs/>
        </w:rPr>
        <w:t xml:space="preserve"> mašinas. </w:t>
      </w:r>
      <w:r w:rsidR="00863657" w:rsidRPr="001E0AD1">
        <w:rPr>
          <w:b/>
          <w:bCs/>
          <w:i/>
          <w:iCs/>
        </w:rPr>
        <w:t>Per 201</w:t>
      </w:r>
      <w:r w:rsidR="00922E2C" w:rsidRPr="001E0AD1">
        <w:rPr>
          <w:b/>
          <w:bCs/>
          <w:i/>
          <w:iCs/>
        </w:rPr>
        <w:t xml:space="preserve">5 </w:t>
      </w:r>
      <w:r w:rsidR="00863657" w:rsidRPr="001E0AD1">
        <w:rPr>
          <w:b/>
          <w:bCs/>
          <w:i/>
          <w:iCs/>
        </w:rPr>
        <w:t xml:space="preserve">m. asenizacinėmis mašinomis surinkta apie </w:t>
      </w:r>
      <w:r w:rsidR="00922E2C" w:rsidRPr="001E0AD1">
        <w:rPr>
          <w:b/>
          <w:bCs/>
          <w:i/>
          <w:iCs/>
        </w:rPr>
        <w:t>4,5</w:t>
      </w:r>
      <w:r w:rsidR="00863657" w:rsidRPr="001E0AD1">
        <w:rPr>
          <w:b/>
          <w:bCs/>
          <w:i/>
          <w:iCs/>
        </w:rPr>
        <w:t xml:space="preserve"> tūkst. m</w:t>
      </w:r>
      <w:r w:rsidR="00863657" w:rsidRPr="001E0AD1">
        <w:rPr>
          <w:b/>
          <w:bCs/>
          <w:i/>
          <w:iCs/>
          <w:vertAlign w:val="superscript"/>
        </w:rPr>
        <w:t>3</w:t>
      </w:r>
      <w:r w:rsidR="00863657" w:rsidRPr="001E0AD1">
        <w:rPr>
          <w:b/>
          <w:bCs/>
          <w:i/>
          <w:iCs/>
        </w:rPr>
        <w:t>nuotekų.</w:t>
      </w:r>
    </w:p>
    <w:p w:rsidR="005155BE" w:rsidRPr="001E0AD1" w:rsidRDefault="006C7BED" w:rsidP="007D2BC0">
      <w:pPr>
        <w:spacing w:before="360" w:after="360" w:line="360" w:lineRule="auto"/>
        <w:ind w:firstLine="851"/>
        <w:jc w:val="center"/>
        <w:rPr>
          <w:b/>
          <w:bCs/>
          <w:i/>
          <w:iCs/>
          <w:caps/>
          <w:sz w:val="28"/>
          <w:szCs w:val="28"/>
          <w:lang w:val="lt-LT"/>
        </w:rPr>
      </w:pPr>
      <w:r w:rsidRPr="001E0AD1">
        <w:rPr>
          <w:b/>
          <w:bCs/>
          <w:i/>
          <w:iCs/>
          <w:caps/>
          <w:sz w:val="28"/>
          <w:szCs w:val="28"/>
          <w:lang w:val="lt-LT"/>
        </w:rPr>
        <w:br w:type="page"/>
      </w:r>
      <w:r w:rsidR="005155BE" w:rsidRPr="001E0AD1">
        <w:rPr>
          <w:b/>
          <w:bCs/>
          <w:i/>
          <w:iCs/>
          <w:caps/>
          <w:sz w:val="28"/>
          <w:szCs w:val="28"/>
          <w:lang w:val="lt-LT"/>
        </w:rPr>
        <w:lastRenderedPageBreak/>
        <w:t>PAGRINDINIAI RIZIKOS VEIKSNIAI IR NEAPIBRĖŽTUMAI</w:t>
      </w:r>
    </w:p>
    <w:p w:rsidR="004977EB" w:rsidRPr="001E0AD1" w:rsidRDefault="00A74809" w:rsidP="004977EB">
      <w:pPr>
        <w:spacing w:line="360" w:lineRule="auto"/>
        <w:ind w:firstLine="851"/>
        <w:jc w:val="both"/>
        <w:rPr>
          <w:b/>
          <w:bCs/>
          <w:i/>
          <w:iCs/>
          <w:lang w:val="lt-LT"/>
        </w:rPr>
      </w:pPr>
      <w:r w:rsidRPr="001E0AD1">
        <w:rPr>
          <w:noProof/>
          <w:lang w:val="lt-LT" w:eastAsia="lt-LT"/>
        </w:rPr>
        <w:drawing>
          <wp:anchor distT="0" distB="0" distL="114300" distR="114300" simplePos="0" relativeHeight="251661824" behindDoc="0" locked="0" layoutInCell="1" allowOverlap="1">
            <wp:simplePos x="0" y="0"/>
            <wp:positionH relativeFrom="column">
              <wp:posOffset>329565</wp:posOffset>
            </wp:positionH>
            <wp:positionV relativeFrom="paragraph">
              <wp:posOffset>1195070</wp:posOffset>
            </wp:positionV>
            <wp:extent cx="5572125" cy="3790950"/>
            <wp:effectExtent l="0" t="0" r="0" b="0"/>
            <wp:wrapTopAndBottom/>
            <wp:docPr id="14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818" t="-5814" r="-1855" b="-10652"/>
                    <a:stretch>
                      <a:fillRect/>
                    </a:stretch>
                  </pic:blipFill>
                  <pic:spPr bwMode="auto">
                    <a:xfrm>
                      <a:off x="0" y="0"/>
                      <a:ext cx="5572125" cy="3790950"/>
                    </a:xfrm>
                    <a:prstGeom prst="rect">
                      <a:avLst/>
                    </a:prstGeom>
                    <a:noFill/>
                    <a:ln>
                      <a:noFill/>
                    </a:ln>
                  </pic:spPr>
                </pic:pic>
              </a:graphicData>
            </a:graphic>
          </wp:anchor>
        </w:drawing>
      </w:r>
      <w:r w:rsidR="0084632D" w:rsidRPr="001E0AD1">
        <w:rPr>
          <w:b/>
          <w:bCs/>
          <w:i/>
          <w:iCs/>
          <w:lang w:val="lt-LT"/>
        </w:rPr>
        <w:t>Nuolat b</w:t>
      </w:r>
      <w:r w:rsidR="0084597D" w:rsidRPr="001E0AD1">
        <w:rPr>
          <w:b/>
          <w:bCs/>
          <w:i/>
          <w:iCs/>
          <w:lang w:val="lt-LT"/>
        </w:rPr>
        <w:t>esikeičiant ekonominei, sociali</w:t>
      </w:r>
      <w:r w:rsidR="0084632D" w:rsidRPr="001E0AD1">
        <w:rPr>
          <w:b/>
          <w:bCs/>
          <w:i/>
          <w:iCs/>
          <w:lang w:val="lt-LT"/>
        </w:rPr>
        <w:t>nei bei teisinei aplinkai, kiekviena įmonė susiduria su neapibrėžtumais. Be visuotinai vandentvarkos ūkį veikiančių faktorių, Bendrovė susiduria ir su vidinėmis rizikomis ir neapibrėžtumais. Vieni iš daugiausiai įtakos padarančių rodikliųyra van</w:t>
      </w:r>
      <w:r w:rsidR="004977EB" w:rsidRPr="001E0AD1">
        <w:rPr>
          <w:b/>
          <w:bCs/>
          <w:i/>
          <w:iCs/>
          <w:lang w:val="lt-LT"/>
        </w:rPr>
        <w:t xml:space="preserve">dens netektys ir infiltracija. </w:t>
      </w:r>
    </w:p>
    <w:p w:rsidR="005A6A2A" w:rsidRPr="001E0AD1" w:rsidRDefault="00AD4C99" w:rsidP="004977EB">
      <w:pPr>
        <w:spacing w:line="360" w:lineRule="auto"/>
        <w:ind w:firstLine="851"/>
        <w:jc w:val="both"/>
        <w:rPr>
          <w:b/>
          <w:bCs/>
          <w:i/>
          <w:iCs/>
          <w:lang w:val="lt-LT"/>
        </w:rPr>
      </w:pPr>
      <w:r>
        <w:rPr>
          <w:b/>
          <w:bCs/>
          <w:i/>
          <w:iCs/>
          <w:noProof/>
          <w:lang w:val="lt-LT" w:eastAsia="lt-LT"/>
        </w:rPr>
        <w:pict>
          <v:shape id="Text Box 144" o:spid="_x0000_s1035" type="#_x0000_t202" style="position:absolute;left:0;text-align:left;margin-left:151.95pt;margin-top:286.5pt;width:279pt;height:18.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" stroked="f">
            <v:textbox>
              <w:txbxContent>
                <w:p w:rsidR="005A6A2A" w:rsidRPr="00E77DC1" w:rsidRDefault="005A6A2A" w:rsidP="005A6A2A">
                  <w:pPr>
                    <w:rPr>
                      <w:i/>
                      <w:sz w:val="16"/>
                      <w:szCs w:val="16"/>
                      <w:lang w:val="lt-LT"/>
                    </w:rPr>
                  </w:pPr>
                  <w:r>
                    <w:rPr>
                      <w:i/>
                      <w:sz w:val="16"/>
                      <w:szCs w:val="16"/>
                      <w:lang w:val="lt-LT"/>
                    </w:rPr>
                    <w:t>5</w:t>
                  </w:r>
                  <w:r w:rsidRPr="00E77DC1">
                    <w:rPr>
                      <w:i/>
                      <w:sz w:val="16"/>
                      <w:szCs w:val="16"/>
                      <w:lang w:val="lt-LT"/>
                    </w:rPr>
                    <w:t xml:space="preserve">. diagrama. </w:t>
                  </w:r>
                  <w:r>
                    <w:rPr>
                      <w:i/>
                      <w:sz w:val="16"/>
                      <w:szCs w:val="16"/>
                      <w:lang w:val="lt-LT"/>
                    </w:rPr>
                    <w:t xml:space="preserve">Vandens gavyba, pardavimai ri netektys tūkst. </w:t>
                  </w:r>
                  <w:r w:rsidRPr="00E77DC1">
                    <w:rPr>
                      <w:i/>
                      <w:sz w:val="16"/>
                      <w:szCs w:val="16"/>
                      <w:lang w:val="lt-LT"/>
                    </w:rPr>
                    <w:t>m</w:t>
                  </w:r>
                  <w:r w:rsidRPr="00E77DC1">
                    <w:rPr>
                      <w:i/>
                      <w:sz w:val="16"/>
                      <w:szCs w:val="16"/>
                      <w:vertAlign w:val="superscript"/>
                      <w:lang w:val="lt-LT"/>
                    </w:rPr>
                    <w:t xml:space="preserve">3 </w:t>
                  </w:r>
                  <w:r w:rsidRPr="00E77DC1">
                    <w:rPr>
                      <w:i/>
                      <w:sz w:val="16"/>
                      <w:szCs w:val="16"/>
                      <w:lang w:val="lt-LT"/>
                    </w:rPr>
                    <w:t>20</w:t>
                  </w:r>
                  <w:r>
                    <w:rPr>
                      <w:i/>
                      <w:sz w:val="16"/>
                      <w:szCs w:val="16"/>
                      <w:lang w:val="lt-LT"/>
                    </w:rPr>
                    <w:t>10</w:t>
                  </w:r>
                  <w:r w:rsidRPr="00E77DC1">
                    <w:rPr>
                      <w:i/>
                      <w:sz w:val="16"/>
                      <w:szCs w:val="16"/>
                      <w:lang w:val="lt-LT"/>
                    </w:rPr>
                    <w:t>-2015 m.</w:t>
                  </w:r>
                </w:p>
              </w:txbxContent>
            </v:textbox>
          </v:shape>
        </w:pict>
      </w:r>
      <w:r w:rsidR="004977EB" w:rsidRPr="001E0AD1">
        <w:rPr>
          <w:b/>
          <w:bCs/>
          <w:i/>
          <w:iCs/>
          <w:lang w:val="lt-LT"/>
        </w:rPr>
        <w:t>Vandens netektys atsiranda dėl vandentiekio gedimų</w:t>
      </w:r>
      <w:r w:rsidR="0005042E" w:rsidRPr="001E0AD1">
        <w:rPr>
          <w:b/>
          <w:bCs/>
          <w:i/>
          <w:iCs/>
          <w:lang w:val="lt-LT"/>
        </w:rPr>
        <w:t xml:space="preserve"> ir</w:t>
      </w:r>
      <w:r w:rsidR="004977EB" w:rsidRPr="001E0AD1">
        <w:rPr>
          <w:b/>
          <w:bCs/>
          <w:i/>
          <w:iCs/>
          <w:lang w:val="lt-LT"/>
        </w:rPr>
        <w:t xml:space="preserve"> nesąžiningos vartotojų veiklos. 2015</w:t>
      </w:r>
      <w:r w:rsidR="0084632D" w:rsidRPr="001E0AD1">
        <w:rPr>
          <w:b/>
          <w:bCs/>
          <w:i/>
          <w:iCs/>
          <w:lang w:val="lt-LT"/>
        </w:rPr>
        <w:t xml:space="preserve"> m. iš požeminių vandens šaltinių buvo</w:t>
      </w:r>
      <w:r w:rsidR="004977EB" w:rsidRPr="001E0AD1">
        <w:rPr>
          <w:b/>
          <w:bCs/>
          <w:i/>
          <w:iCs/>
          <w:lang w:val="lt-LT"/>
        </w:rPr>
        <w:t xml:space="preserve"> išgauta509,1 </w:t>
      </w:r>
      <w:r w:rsidR="0084632D" w:rsidRPr="001E0AD1">
        <w:rPr>
          <w:b/>
          <w:bCs/>
          <w:i/>
          <w:iCs/>
          <w:lang w:val="lt-LT"/>
        </w:rPr>
        <w:t>tūkst. m</w:t>
      </w:r>
      <w:r w:rsidR="0084632D" w:rsidRPr="001E0AD1">
        <w:rPr>
          <w:b/>
          <w:bCs/>
          <w:i/>
          <w:iCs/>
          <w:vertAlign w:val="superscript"/>
          <w:lang w:val="lt-LT"/>
        </w:rPr>
        <w:t>3</w:t>
      </w:r>
      <w:r w:rsidR="0084632D" w:rsidRPr="001E0AD1">
        <w:rPr>
          <w:b/>
          <w:bCs/>
          <w:i/>
          <w:iCs/>
          <w:lang w:val="lt-LT"/>
        </w:rPr>
        <w:t xml:space="preserve"> vandens, iš jų tik </w:t>
      </w:r>
      <w:r w:rsidR="004977EB" w:rsidRPr="001E0AD1">
        <w:rPr>
          <w:b/>
          <w:bCs/>
          <w:i/>
          <w:iCs/>
          <w:lang w:val="lt-LT"/>
        </w:rPr>
        <w:t>381,4</w:t>
      </w:r>
      <w:r w:rsidR="0084632D" w:rsidRPr="001E0AD1">
        <w:rPr>
          <w:b/>
          <w:bCs/>
          <w:i/>
          <w:iCs/>
          <w:lang w:val="lt-LT"/>
        </w:rPr>
        <w:t xml:space="preserve"> tūkst. m</w:t>
      </w:r>
      <w:r w:rsidR="0084632D" w:rsidRPr="001E0AD1">
        <w:rPr>
          <w:b/>
          <w:bCs/>
          <w:i/>
          <w:iCs/>
          <w:vertAlign w:val="superscript"/>
          <w:lang w:val="lt-LT"/>
        </w:rPr>
        <w:t xml:space="preserve">3 </w:t>
      </w:r>
      <w:r w:rsidR="0084632D" w:rsidRPr="001E0AD1">
        <w:rPr>
          <w:b/>
          <w:bCs/>
          <w:i/>
          <w:iCs/>
          <w:lang w:val="lt-LT"/>
        </w:rPr>
        <w:t>pateikta vartotojams. Akivaizdžiai matosi, kad išgauto ir parduoto vandens kiekis žymiai skiriasi. Tam įtakos turi vandentiekio linijų gedimai</w:t>
      </w:r>
      <w:r w:rsidR="004977EB" w:rsidRPr="001E0AD1">
        <w:rPr>
          <w:b/>
          <w:bCs/>
          <w:i/>
          <w:iCs/>
          <w:lang w:val="lt-LT"/>
        </w:rPr>
        <w:t xml:space="preserve"> (per 2015</w:t>
      </w:r>
      <w:r w:rsidR="0084597D" w:rsidRPr="001E0AD1">
        <w:rPr>
          <w:b/>
          <w:bCs/>
          <w:i/>
          <w:iCs/>
          <w:lang w:val="lt-LT"/>
        </w:rPr>
        <w:t xml:space="preserve"> m. vandentiekio tink</w:t>
      </w:r>
      <w:r w:rsidR="004977EB" w:rsidRPr="001E0AD1">
        <w:rPr>
          <w:b/>
          <w:bCs/>
          <w:i/>
          <w:iCs/>
          <w:lang w:val="lt-LT"/>
        </w:rPr>
        <w:t>luose įvyko ir buvo likviduoti 156 gedimai)</w:t>
      </w:r>
      <w:r w:rsidR="0084632D" w:rsidRPr="001E0AD1">
        <w:rPr>
          <w:b/>
          <w:bCs/>
          <w:i/>
          <w:iCs/>
          <w:lang w:val="lt-LT"/>
        </w:rPr>
        <w:t xml:space="preserve">, </w:t>
      </w:r>
      <w:r w:rsidR="00483C1A">
        <w:rPr>
          <w:b/>
          <w:bCs/>
          <w:i/>
          <w:iCs/>
          <w:lang w:val="lt-LT"/>
        </w:rPr>
        <w:t xml:space="preserve">gaisrų gesinimas, </w:t>
      </w:r>
      <w:r w:rsidR="0084632D" w:rsidRPr="001E0AD1">
        <w:rPr>
          <w:b/>
          <w:bCs/>
          <w:i/>
          <w:iCs/>
          <w:lang w:val="lt-LT"/>
        </w:rPr>
        <w:t>techniniuose procesuose panaudo</w:t>
      </w:r>
      <w:r w:rsidR="00483C1A">
        <w:rPr>
          <w:b/>
          <w:bCs/>
          <w:i/>
          <w:iCs/>
          <w:lang w:val="lt-LT"/>
        </w:rPr>
        <w:t>tas</w:t>
      </w:r>
      <w:r w:rsidR="0084632D" w:rsidRPr="001E0AD1">
        <w:rPr>
          <w:b/>
          <w:bCs/>
          <w:i/>
          <w:iCs/>
          <w:lang w:val="lt-LT"/>
        </w:rPr>
        <w:t xml:space="preserve"> vanduo, neteisėti prisijungimai, vartotojų nesąžininga veikla bei kt. 201</w:t>
      </w:r>
      <w:r w:rsidR="004977EB" w:rsidRPr="001E0AD1">
        <w:rPr>
          <w:b/>
          <w:bCs/>
          <w:i/>
          <w:iCs/>
          <w:lang w:val="lt-LT"/>
        </w:rPr>
        <w:t>5</w:t>
      </w:r>
      <w:r w:rsidR="0084632D" w:rsidRPr="001E0AD1">
        <w:rPr>
          <w:b/>
          <w:bCs/>
          <w:i/>
          <w:iCs/>
          <w:lang w:val="lt-LT"/>
        </w:rPr>
        <w:t xml:space="preserve"> m. dėl minėtųpriežasčių buvo patirta 1</w:t>
      </w:r>
      <w:r w:rsidR="005A6A2A" w:rsidRPr="001E0AD1">
        <w:rPr>
          <w:b/>
          <w:bCs/>
          <w:i/>
          <w:iCs/>
          <w:lang w:val="lt-LT"/>
        </w:rPr>
        <w:t>2</w:t>
      </w:r>
      <w:r w:rsidR="0084632D" w:rsidRPr="001E0AD1">
        <w:rPr>
          <w:b/>
          <w:bCs/>
          <w:i/>
          <w:iCs/>
          <w:lang w:val="lt-LT"/>
        </w:rPr>
        <w:t>7,7 tūkst. m</w:t>
      </w:r>
      <w:r w:rsidR="0084632D" w:rsidRPr="001E0AD1">
        <w:rPr>
          <w:b/>
          <w:bCs/>
          <w:i/>
          <w:iCs/>
          <w:vertAlign w:val="superscript"/>
          <w:lang w:val="lt-LT"/>
        </w:rPr>
        <w:t xml:space="preserve">3 </w:t>
      </w:r>
      <w:r w:rsidR="0084632D" w:rsidRPr="001E0AD1">
        <w:rPr>
          <w:b/>
          <w:bCs/>
          <w:i/>
          <w:iCs/>
          <w:lang w:val="lt-LT"/>
        </w:rPr>
        <w:t xml:space="preserve">vandens netekčių. </w:t>
      </w:r>
    </w:p>
    <w:p w:rsidR="0084632D" w:rsidRPr="001E0AD1" w:rsidRDefault="00AD4C99" w:rsidP="0084632D">
      <w:pPr>
        <w:spacing w:line="360" w:lineRule="auto"/>
        <w:ind w:firstLine="851"/>
        <w:jc w:val="both"/>
        <w:rPr>
          <w:b/>
          <w:bCs/>
          <w:i/>
          <w:iCs/>
          <w:lang w:val="lt-LT"/>
        </w:rPr>
      </w:pPr>
      <w:r w:rsidRPr="00AD4C99">
        <w:rPr>
          <w:noProof/>
          <w:lang w:val="lt-LT" w:eastAsia="lt-LT"/>
        </w:rPr>
        <w:lastRenderedPageBreak/>
        <w:pict>
          <v:shape id="Text Box 148" o:spid="_x0000_s1036" type="#_x0000_t202" style="position:absolute;left:0;text-align:left;margin-left:-309.3pt;margin-top:240.45pt;width:279pt;height:18.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nGiAIAABk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" stroked="f">
            <v:textbox>
              <w:txbxContent>
                <w:p w:rsidR="006E2388" w:rsidRPr="00E77DC1" w:rsidRDefault="006E2388" w:rsidP="006E2388">
                  <w:pPr>
                    <w:rPr>
                      <w:i/>
                      <w:sz w:val="16"/>
                      <w:szCs w:val="16"/>
                      <w:lang w:val="lt-LT"/>
                    </w:rPr>
                  </w:pPr>
                  <w:r>
                    <w:rPr>
                      <w:i/>
                      <w:sz w:val="16"/>
                      <w:szCs w:val="16"/>
                      <w:lang w:val="lt-LT"/>
                    </w:rPr>
                    <w:t>6</w:t>
                  </w:r>
                  <w:r w:rsidRPr="00E77DC1">
                    <w:rPr>
                      <w:i/>
                      <w:sz w:val="16"/>
                      <w:szCs w:val="16"/>
                      <w:lang w:val="lt-LT"/>
                    </w:rPr>
                    <w:t xml:space="preserve">. diagrama. </w:t>
                  </w:r>
                  <w:r>
                    <w:rPr>
                      <w:i/>
                      <w:sz w:val="16"/>
                      <w:szCs w:val="16"/>
                      <w:lang w:val="lt-LT"/>
                    </w:rPr>
                    <w:t xml:space="preserve">Nuotekų surinkimas, pardavimas ir infiltracija tūkst. </w:t>
                  </w:r>
                  <w:r w:rsidRPr="00E77DC1">
                    <w:rPr>
                      <w:i/>
                      <w:sz w:val="16"/>
                      <w:szCs w:val="16"/>
                      <w:lang w:val="lt-LT"/>
                    </w:rPr>
                    <w:t>m</w:t>
                  </w:r>
                  <w:r w:rsidRPr="00E77DC1">
                    <w:rPr>
                      <w:i/>
                      <w:sz w:val="16"/>
                      <w:szCs w:val="16"/>
                      <w:vertAlign w:val="superscript"/>
                      <w:lang w:val="lt-LT"/>
                    </w:rPr>
                    <w:t xml:space="preserve">3 </w:t>
                  </w:r>
                  <w:r w:rsidRPr="00E77DC1">
                    <w:rPr>
                      <w:i/>
                      <w:sz w:val="16"/>
                      <w:szCs w:val="16"/>
                      <w:lang w:val="lt-LT"/>
                    </w:rPr>
                    <w:t>20</w:t>
                  </w:r>
                  <w:r>
                    <w:rPr>
                      <w:i/>
                      <w:sz w:val="16"/>
                      <w:szCs w:val="16"/>
                      <w:lang w:val="lt-LT"/>
                    </w:rPr>
                    <w:t>10</w:t>
                  </w:r>
                  <w:r w:rsidRPr="00E77DC1">
                    <w:rPr>
                      <w:i/>
                      <w:sz w:val="16"/>
                      <w:szCs w:val="16"/>
                      <w:lang w:val="lt-LT"/>
                    </w:rPr>
                    <w:t>-2015 m.</w:t>
                  </w:r>
                </w:p>
              </w:txbxContent>
            </v:textbox>
          </v:shape>
        </w:pict>
      </w:r>
      <w:r w:rsidR="00A74809" w:rsidRPr="001E0AD1">
        <w:rPr>
          <w:noProof/>
          <w:lang w:val="lt-LT" w:eastAsia="lt-LT"/>
        </w:rPr>
        <w:drawing>
          <wp:anchor distT="0" distB="0" distL="114300" distR="114300" simplePos="0" relativeHeight="251664896" behindDoc="0" locked="0" layoutInCell="1" allowOverlap="1">
            <wp:simplePos x="0" y="0"/>
            <wp:positionH relativeFrom="column">
              <wp:posOffset>-203835</wp:posOffset>
            </wp:positionH>
            <wp:positionV relativeFrom="paragraph">
              <wp:posOffset>60960</wp:posOffset>
            </wp:positionV>
            <wp:extent cx="4600575" cy="3228975"/>
            <wp:effectExtent l="0" t="0" r="9525" b="0"/>
            <wp:wrapSquare wrapText="bothSides"/>
            <wp:docPr id="14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60" t="-3506" r="-1176" b="-12378"/>
                    <a:stretch>
                      <a:fillRect/>
                    </a:stretch>
                  </pic:blipFill>
                  <pic:spPr bwMode="auto">
                    <a:xfrm>
                      <a:off x="0" y="0"/>
                      <a:ext cx="4600575" cy="3228975"/>
                    </a:xfrm>
                    <a:prstGeom prst="rect">
                      <a:avLst/>
                    </a:prstGeom>
                    <a:noFill/>
                    <a:ln>
                      <a:noFill/>
                    </a:ln>
                  </pic:spPr>
                </pic:pic>
              </a:graphicData>
            </a:graphic>
          </wp:anchor>
        </w:drawing>
      </w:r>
      <w:r w:rsidRPr="00AD4C99">
        <w:rPr>
          <w:noProof/>
          <w:lang w:val="lt-LT" w:eastAsia="lt-LT"/>
        </w:rPr>
        <w:pict>
          <v:shape id="Text Box 146" o:spid="_x0000_s1037" type="#_x0000_t202" style="position:absolute;left:0;text-align:left;margin-left:183pt;margin-top:312.3pt;width:279pt;height:18.6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VNiAIAABk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" stroked="f">
            <v:textbox>
              <w:txbxContent>
                <w:p w:rsidR="00F814E8" w:rsidRPr="00E77DC1" w:rsidRDefault="00F814E8" w:rsidP="00F814E8">
                  <w:pPr>
                    <w:rPr>
                      <w:i/>
                      <w:sz w:val="16"/>
                      <w:szCs w:val="16"/>
                      <w:lang w:val="lt-LT"/>
                    </w:rPr>
                  </w:pPr>
                  <w:r>
                    <w:rPr>
                      <w:i/>
                      <w:sz w:val="16"/>
                      <w:szCs w:val="16"/>
                      <w:lang w:val="lt-LT"/>
                    </w:rPr>
                    <w:t>6</w:t>
                  </w:r>
                  <w:r w:rsidRPr="00E77DC1">
                    <w:rPr>
                      <w:i/>
                      <w:sz w:val="16"/>
                      <w:szCs w:val="16"/>
                      <w:lang w:val="lt-LT"/>
                    </w:rPr>
                    <w:t xml:space="preserve">. diagrama. </w:t>
                  </w:r>
                  <w:r>
                    <w:rPr>
                      <w:i/>
                      <w:sz w:val="16"/>
                      <w:szCs w:val="16"/>
                      <w:lang w:val="lt-LT"/>
                    </w:rPr>
                    <w:t xml:space="preserve">Vandens gavyba, pardavimai ri netektys tūkst. </w:t>
                  </w:r>
                  <w:r w:rsidRPr="00E77DC1">
                    <w:rPr>
                      <w:i/>
                      <w:sz w:val="16"/>
                      <w:szCs w:val="16"/>
                      <w:lang w:val="lt-LT"/>
                    </w:rPr>
                    <w:t>m</w:t>
                  </w:r>
                  <w:r w:rsidRPr="00E77DC1">
                    <w:rPr>
                      <w:i/>
                      <w:sz w:val="16"/>
                      <w:szCs w:val="16"/>
                      <w:vertAlign w:val="superscript"/>
                      <w:lang w:val="lt-LT"/>
                    </w:rPr>
                    <w:t xml:space="preserve">3 </w:t>
                  </w:r>
                  <w:r w:rsidRPr="00E77DC1">
                    <w:rPr>
                      <w:i/>
                      <w:sz w:val="16"/>
                      <w:szCs w:val="16"/>
                      <w:lang w:val="lt-LT"/>
                    </w:rPr>
                    <w:t>20</w:t>
                  </w:r>
                  <w:r>
                    <w:rPr>
                      <w:i/>
                      <w:sz w:val="16"/>
                      <w:szCs w:val="16"/>
                      <w:lang w:val="lt-LT"/>
                    </w:rPr>
                    <w:t>10</w:t>
                  </w:r>
                  <w:r w:rsidRPr="00E77DC1">
                    <w:rPr>
                      <w:i/>
                      <w:sz w:val="16"/>
                      <w:szCs w:val="16"/>
                      <w:lang w:val="lt-LT"/>
                    </w:rPr>
                    <w:t>-2015 m.</w:t>
                  </w:r>
                </w:p>
              </w:txbxContent>
            </v:textbox>
          </v:shape>
        </w:pict>
      </w:r>
      <w:r w:rsidR="0084632D" w:rsidRPr="001E0AD1">
        <w:rPr>
          <w:b/>
          <w:bCs/>
          <w:i/>
          <w:iCs/>
          <w:lang w:val="lt-LT"/>
        </w:rPr>
        <w:t>201</w:t>
      </w:r>
      <w:r w:rsidR="00FB5032" w:rsidRPr="001E0AD1">
        <w:rPr>
          <w:b/>
          <w:bCs/>
          <w:i/>
          <w:iCs/>
          <w:lang w:val="lt-LT"/>
        </w:rPr>
        <w:t>6</w:t>
      </w:r>
      <w:r w:rsidR="0084632D" w:rsidRPr="001E0AD1">
        <w:rPr>
          <w:b/>
          <w:bCs/>
          <w:i/>
          <w:iCs/>
          <w:lang w:val="lt-LT"/>
        </w:rPr>
        <w:t xml:space="preserve"> m. pašalinta </w:t>
      </w:r>
      <w:r w:rsidR="00FB5032" w:rsidRPr="001E0AD1">
        <w:rPr>
          <w:b/>
          <w:bCs/>
          <w:i/>
          <w:iCs/>
          <w:lang w:val="lt-LT"/>
        </w:rPr>
        <w:t>463,7</w:t>
      </w:r>
      <w:r w:rsidR="0084632D" w:rsidRPr="001E0AD1">
        <w:rPr>
          <w:b/>
          <w:bCs/>
          <w:i/>
          <w:iCs/>
          <w:lang w:val="lt-LT"/>
        </w:rPr>
        <w:t xml:space="preserve"> tūkst. m</w:t>
      </w:r>
      <w:r w:rsidR="0084632D" w:rsidRPr="001E0AD1">
        <w:rPr>
          <w:b/>
          <w:bCs/>
          <w:i/>
          <w:iCs/>
          <w:vertAlign w:val="superscript"/>
          <w:lang w:val="lt-LT"/>
        </w:rPr>
        <w:t xml:space="preserve">3 </w:t>
      </w:r>
      <w:r w:rsidR="0084632D" w:rsidRPr="001E0AD1">
        <w:rPr>
          <w:b/>
          <w:bCs/>
          <w:i/>
          <w:iCs/>
          <w:lang w:val="lt-LT"/>
        </w:rPr>
        <w:t xml:space="preserve">nuotekų, tik už </w:t>
      </w:r>
      <w:r w:rsidR="00FB5032" w:rsidRPr="001E0AD1">
        <w:rPr>
          <w:b/>
          <w:bCs/>
          <w:i/>
          <w:iCs/>
          <w:lang w:val="lt-LT"/>
        </w:rPr>
        <w:t>263,5</w:t>
      </w:r>
      <w:r w:rsidR="0084632D" w:rsidRPr="001E0AD1">
        <w:rPr>
          <w:b/>
          <w:bCs/>
          <w:i/>
          <w:iCs/>
          <w:lang w:val="lt-LT"/>
        </w:rPr>
        <w:t xml:space="preserve"> tūkst. m</w:t>
      </w:r>
      <w:r w:rsidR="0084632D" w:rsidRPr="001E0AD1">
        <w:rPr>
          <w:b/>
          <w:bCs/>
          <w:i/>
          <w:iCs/>
          <w:vertAlign w:val="superscript"/>
          <w:lang w:val="lt-LT"/>
        </w:rPr>
        <w:t>3</w:t>
      </w:r>
      <w:r w:rsidR="0084632D" w:rsidRPr="001E0AD1">
        <w:rPr>
          <w:b/>
          <w:bCs/>
          <w:i/>
          <w:iCs/>
          <w:lang w:val="lt-LT"/>
        </w:rPr>
        <w:t xml:space="preserve"> buvo priskaičiuoti mokėjimai.</w:t>
      </w:r>
      <w:r w:rsidR="00FB5032" w:rsidRPr="001E0AD1">
        <w:rPr>
          <w:b/>
          <w:bCs/>
          <w:i/>
          <w:iCs/>
          <w:lang w:val="lt-LT"/>
        </w:rPr>
        <w:t xml:space="preserve"> Iš šių skaičių matyti, jog infiltracija siekia net 43 proc.</w:t>
      </w:r>
      <w:r w:rsidR="0084632D" w:rsidRPr="001E0AD1">
        <w:rPr>
          <w:b/>
          <w:bCs/>
          <w:i/>
          <w:iCs/>
          <w:lang w:val="lt-LT"/>
        </w:rPr>
        <w:t xml:space="preserve">Infiltracijai didelę įtaką turi seni, nesandarūs nuotekų tinklai, į kuriuos patenka gruntinis bei lietaus vanduo, neatmetama ir neteisėtų prisijungimų prie nuotekų tinklų galimybė. </w:t>
      </w:r>
      <w:r w:rsidR="004977EB" w:rsidRPr="001E0AD1">
        <w:rPr>
          <w:b/>
          <w:bCs/>
          <w:i/>
          <w:iCs/>
          <w:lang w:val="lt-LT"/>
        </w:rPr>
        <w:t>Nuotekų tinkluose buvo likviduot</w:t>
      </w:r>
      <w:r w:rsidR="00FB5032" w:rsidRPr="001E0AD1">
        <w:rPr>
          <w:b/>
          <w:bCs/>
          <w:i/>
          <w:iCs/>
          <w:lang w:val="lt-LT"/>
        </w:rPr>
        <w:t>i156gedimai.</w:t>
      </w:r>
    </w:p>
    <w:p w:rsidR="0084632D" w:rsidRPr="001E0AD1" w:rsidRDefault="004977EB" w:rsidP="004977EB">
      <w:pPr>
        <w:spacing w:line="360" w:lineRule="auto"/>
        <w:ind w:firstLine="720"/>
        <w:jc w:val="both"/>
        <w:rPr>
          <w:i/>
          <w:color w:val="FF0000"/>
          <w:lang w:val="lt-LT"/>
        </w:rPr>
      </w:pPr>
      <w:r w:rsidRPr="001E0AD1">
        <w:rPr>
          <w:b/>
          <w:bCs/>
          <w:i/>
          <w:iCs/>
          <w:lang w:val="lt-LT"/>
        </w:rPr>
        <w:t>Aplinkos ministerijos vykdytos inventorizacijos duomenimis, Lietuvoje yra 499299 nuotekų kaupimo rezervuarai, tačiau tik 11 proc. (57788) nuotekų kaupimo rezervuarų savininkų sudarę nuotekų tvarkymo sutartis.</w:t>
      </w:r>
      <w:r w:rsidR="0084632D" w:rsidRPr="001E0AD1">
        <w:rPr>
          <w:b/>
          <w:bCs/>
          <w:i/>
          <w:iCs/>
          <w:lang w:val="lt-LT"/>
        </w:rPr>
        <w:t xml:space="preserve">Neretai tie, kurie nesijungia prie tinklų, nuotekas yra nukreipę į drenažo sistemas, lietaus kanalizaciją arba turi nesandarias išgriebimo duobes. </w:t>
      </w:r>
    </w:p>
    <w:p w:rsidR="0084632D" w:rsidRPr="001E0AD1" w:rsidRDefault="0084632D" w:rsidP="00647190">
      <w:pPr>
        <w:pStyle w:val="BodyTextIndent"/>
        <w:ind w:firstLine="851"/>
        <w:rPr>
          <w:b/>
          <w:bCs/>
          <w:i/>
          <w:iCs/>
        </w:rPr>
      </w:pPr>
      <w:r w:rsidRPr="001E0AD1">
        <w:rPr>
          <w:b/>
          <w:bCs/>
          <w:i/>
          <w:iCs/>
        </w:rPr>
        <w:t>Bendrovės veiklą labai sunkina ir tai, jog didelė dalis senų tinklų n</w:t>
      </w:r>
      <w:r w:rsidR="00FB5032" w:rsidRPr="001E0AD1">
        <w:rPr>
          <w:b/>
          <w:bCs/>
          <w:i/>
          <w:iCs/>
        </w:rPr>
        <w:t>ė</w:t>
      </w:r>
      <w:r w:rsidRPr="001E0AD1">
        <w:rPr>
          <w:b/>
          <w:bCs/>
          <w:i/>
          <w:iCs/>
        </w:rPr>
        <w:t>ra inventorizuota, įvertinta ir registruota.</w:t>
      </w:r>
      <w:r w:rsidR="00FB5032" w:rsidRPr="001E0AD1">
        <w:rPr>
          <w:b/>
          <w:bCs/>
          <w:i/>
          <w:iCs/>
        </w:rPr>
        <w:t xml:space="preserve"> Kaimo vandentiekis </w:t>
      </w:r>
      <w:r w:rsidR="00483C1A">
        <w:rPr>
          <w:b/>
          <w:bCs/>
          <w:i/>
          <w:iCs/>
        </w:rPr>
        <w:t>Prienų rajono savivaldybėje, kaip ir kitose savivaldybėse,</w:t>
      </w:r>
      <w:r w:rsidR="00FB5032" w:rsidRPr="001E0AD1">
        <w:rPr>
          <w:b/>
          <w:bCs/>
          <w:i/>
          <w:iCs/>
        </w:rPr>
        <w:t xml:space="preserve"> yra gerokai apleistas: gręžiniai ir įrenginiai pasenę ir nenašūs, jų sanitarinės apsaugos zonos apleistos ar visai neišlikusios, vandentiekio tinklai nea</w:t>
      </w:r>
      <w:r w:rsidR="00647190" w:rsidRPr="001E0AD1">
        <w:rPr>
          <w:b/>
          <w:bCs/>
          <w:i/>
          <w:iCs/>
        </w:rPr>
        <w:t>p</w:t>
      </w:r>
      <w:r w:rsidR="00FB5032" w:rsidRPr="001E0AD1">
        <w:rPr>
          <w:b/>
          <w:bCs/>
          <w:i/>
          <w:iCs/>
        </w:rPr>
        <w:t>skaityti daug kur nėra net būtiniausios pirminės dokumentacijos</w:t>
      </w:r>
      <w:r w:rsidR="00647190" w:rsidRPr="001E0AD1">
        <w:rPr>
          <w:b/>
          <w:bCs/>
          <w:i/>
          <w:iCs/>
        </w:rPr>
        <w:t xml:space="preserve">. Be to, tiekiant vandenį, išlaidas didžiausia dalimi įtakoja atstumas tarp atskirų vandens </w:t>
      </w:r>
      <w:r w:rsidR="00A74809" w:rsidRPr="001E0AD1">
        <w:rPr>
          <w:b/>
          <w:bCs/>
          <w:i/>
          <w:iCs/>
        </w:rPr>
        <w:t>vartotojų</w:t>
      </w:r>
      <w:r w:rsidR="00647190" w:rsidRPr="001E0AD1">
        <w:rPr>
          <w:b/>
          <w:bCs/>
          <w:i/>
          <w:iCs/>
        </w:rPr>
        <w:t xml:space="preserve">.  </w:t>
      </w:r>
      <w:r w:rsidR="00E24930" w:rsidRPr="001E0AD1">
        <w:rPr>
          <w:b/>
          <w:bCs/>
          <w:i/>
          <w:iCs/>
        </w:rPr>
        <w:t xml:space="preserve">Tokiems </w:t>
      </w:r>
      <w:r w:rsidR="00A74809" w:rsidRPr="001E0AD1">
        <w:rPr>
          <w:b/>
          <w:bCs/>
          <w:i/>
          <w:iCs/>
        </w:rPr>
        <w:t>vartotojams</w:t>
      </w:r>
      <w:r w:rsidR="00E24930" w:rsidRPr="001E0AD1">
        <w:rPr>
          <w:b/>
          <w:bCs/>
          <w:i/>
          <w:iCs/>
        </w:rPr>
        <w:t xml:space="preserve"> v</w:t>
      </w:r>
      <w:r w:rsidR="00647190" w:rsidRPr="001E0AD1">
        <w:rPr>
          <w:b/>
          <w:bCs/>
          <w:i/>
          <w:iCs/>
        </w:rPr>
        <w:t>anduo yra tiekiamas, tačiau gerinti jo kokybę, išvalyti nuotekas, pašalinti gedimus įmonei kainuoja žymiai brangiau ir tokių išlaidų nepadengia iš šių vandens vartotojų gaunamos pajamos.</w:t>
      </w:r>
      <w:r w:rsidRPr="001E0AD1">
        <w:rPr>
          <w:b/>
          <w:bCs/>
          <w:i/>
          <w:iCs/>
        </w:rPr>
        <w:t xml:space="preserve"> Ši situacija neleidžia realiai planuoti metinių išlaidų, nes visada yra didelė tinklų gedimų tikimybė, be to, infiltracijos bei praradimų rodikliai išlieka dideli.</w:t>
      </w:r>
    </w:p>
    <w:p w:rsidR="00647190" w:rsidRPr="001E0AD1" w:rsidRDefault="00647190" w:rsidP="00647190">
      <w:pPr>
        <w:pStyle w:val="BodyTextIndent"/>
        <w:ind w:firstLine="851"/>
        <w:rPr>
          <w:b/>
          <w:bCs/>
          <w:i/>
          <w:iCs/>
        </w:rPr>
      </w:pPr>
      <w:r w:rsidRPr="001E0AD1">
        <w:rPr>
          <w:b/>
          <w:bCs/>
          <w:i/>
          <w:iCs/>
        </w:rPr>
        <w:lastRenderedPageBreak/>
        <w:t>Įvertinus visas Bendrovei kylančias rizikas, reikėtų panagrinėti ir galimybes su jomis susidoroti. Tam tikslui žemiau</w:t>
      </w:r>
      <w:r w:rsidR="00A74809" w:rsidRPr="001E0AD1">
        <w:rPr>
          <w:b/>
          <w:bCs/>
          <w:i/>
          <w:iCs/>
        </w:rPr>
        <w:t xml:space="preserve"> pateikiama SSGG (SWOT)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0"/>
        <w:gridCol w:w="4811"/>
      </w:tblGrid>
      <w:tr w:rsidR="00647190" w:rsidRPr="001E0AD1" w:rsidTr="00871886">
        <w:tc>
          <w:tcPr>
            <w:tcW w:w="4810" w:type="dxa"/>
            <w:shd w:val="clear" w:color="auto" w:fill="auto"/>
          </w:tcPr>
          <w:p w:rsidR="00647190" w:rsidRPr="00320AA8" w:rsidRDefault="00647190" w:rsidP="00871886">
            <w:pPr>
              <w:autoSpaceDE w:val="0"/>
              <w:autoSpaceDN w:val="0"/>
              <w:adjustRightInd w:val="0"/>
              <w:rPr>
                <w:rFonts w:eastAsia="Calibri"/>
                <w:b/>
                <w:bCs/>
                <w:i/>
                <w:lang w:val="lt-LT" w:eastAsia="lt-LT"/>
              </w:rPr>
            </w:pPr>
            <w:r w:rsidRPr="00320AA8">
              <w:rPr>
                <w:rFonts w:eastAsia="Calibri"/>
                <w:b/>
                <w:bCs/>
                <w:i/>
                <w:lang w:val="lt-LT" w:eastAsia="lt-LT"/>
              </w:rPr>
              <w:t>Bendrovės stiprybės: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Platus vandens tiekimo ir nuotekų surinkimo tinklas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Geologinė ir hidrologinė padėtis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Pakankamos požeminio vandens atsargos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Kvalifikuotas, patyręs Bendrovės personalas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Monopolinė rinka</w:t>
            </w:r>
          </w:p>
        </w:tc>
        <w:tc>
          <w:tcPr>
            <w:tcW w:w="4811" w:type="dxa"/>
            <w:shd w:val="clear" w:color="auto" w:fill="auto"/>
          </w:tcPr>
          <w:p w:rsidR="00647190" w:rsidRPr="00320AA8" w:rsidRDefault="00647190" w:rsidP="00871886">
            <w:pPr>
              <w:autoSpaceDE w:val="0"/>
              <w:autoSpaceDN w:val="0"/>
              <w:adjustRightInd w:val="0"/>
              <w:rPr>
                <w:rFonts w:eastAsia="Calibri"/>
                <w:b/>
                <w:bCs/>
                <w:i/>
                <w:lang w:val="lt-LT" w:eastAsia="lt-LT"/>
              </w:rPr>
            </w:pPr>
            <w:r w:rsidRPr="00320AA8">
              <w:rPr>
                <w:rFonts w:eastAsia="Calibri"/>
                <w:b/>
                <w:bCs/>
                <w:i/>
                <w:lang w:val="lt-LT" w:eastAsia="lt-LT"/>
              </w:rPr>
              <w:t>Bendrovės galimybės: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Vandens tiekimo ir nuotekų surinkimo tinklų plėtra ir renovacija</w:t>
            </w:r>
          </w:p>
          <w:p w:rsidR="00647190" w:rsidRPr="00320AA8" w:rsidRDefault="00F814E8"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I</w:t>
            </w:r>
            <w:r w:rsidR="00647190" w:rsidRPr="00320AA8">
              <w:rPr>
                <w:rFonts w:eastAsia="Calibri"/>
                <w:b/>
                <w:i/>
                <w:lang w:val="lt-LT" w:eastAsia="lt-LT"/>
              </w:rPr>
              <w:t>novacijų, informacinių technologijų, pažangių technologijų plėtra ir efektyvesnis jų panaudojimas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Vandens netekčių mažinimas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Nuotekų valymo proceso efektyvumo didinimas, mažinant išlaidas ir gaunant papildomas pajamas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Vidinių procesų optimizavimas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Esamų specialistų kvalifikacijos kėlimas, auk</w:t>
            </w:r>
            <w:r w:rsidR="00F814E8" w:rsidRPr="00320AA8">
              <w:rPr>
                <w:rFonts w:eastAsia="Calibri"/>
                <w:b/>
                <w:i/>
                <w:lang w:val="lt-LT" w:eastAsia="lt-LT"/>
              </w:rPr>
              <w:t xml:space="preserve">štos kvalifikacijos specialistų </w:t>
            </w:r>
            <w:r w:rsidRPr="00320AA8">
              <w:rPr>
                <w:rFonts w:eastAsia="Calibri"/>
                <w:b/>
                <w:i/>
                <w:lang w:val="lt-LT" w:eastAsia="lt-LT"/>
              </w:rPr>
              <w:t>įdarbinimas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Santykių su klientais gerinimas, bendradarbiavimo didinimas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Bendrovės įvaizdžio gerinimas</w:t>
            </w:r>
          </w:p>
        </w:tc>
      </w:tr>
      <w:tr w:rsidR="00647190" w:rsidRPr="00B40BF7" w:rsidTr="00871886">
        <w:tc>
          <w:tcPr>
            <w:tcW w:w="4810" w:type="dxa"/>
            <w:shd w:val="clear" w:color="auto" w:fill="auto"/>
          </w:tcPr>
          <w:p w:rsidR="00647190" w:rsidRPr="00320AA8" w:rsidRDefault="00647190" w:rsidP="00871886">
            <w:pPr>
              <w:autoSpaceDE w:val="0"/>
              <w:autoSpaceDN w:val="0"/>
              <w:adjustRightInd w:val="0"/>
              <w:rPr>
                <w:rFonts w:eastAsia="Calibri"/>
                <w:b/>
                <w:bCs/>
                <w:i/>
                <w:lang w:val="lt-LT" w:eastAsia="lt-LT"/>
              </w:rPr>
            </w:pPr>
            <w:r w:rsidRPr="00320AA8">
              <w:rPr>
                <w:rFonts w:eastAsia="Calibri"/>
                <w:b/>
                <w:bCs/>
                <w:i/>
                <w:lang w:val="lt-LT" w:eastAsia="lt-LT"/>
              </w:rPr>
              <w:t>Bendrovės silpnybės: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Ženkli dalis eksploatuojamų tinklų yra fiziškai ir morališkai nudėvėti</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Nepakankamas nudėvėtų tinklų, įrenginių ir pastatų atnaujinimas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Imlus laikui priemiesčių rajonų aptarnavimas, atliekant avarinio reagavimo darbus (skirtingas reagavimo laikas)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Pagal įstatymus privaloma viešųjų pirkimų sistema mažina lankstumą perkant prekes ir paslaugas, ilgina jų pristatymolaiką</w:t>
            </w:r>
          </w:p>
        </w:tc>
        <w:tc>
          <w:tcPr>
            <w:tcW w:w="4811" w:type="dxa"/>
            <w:shd w:val="clear" w:color="auto" w:fill="auto"/>
          </w:tcPr>
          <w:p w:rsidR="00647190" w:rsidRPr="00320AA8" w:rsidRDefault="00647190" w:rsidP="00871886">
            <w:pPr>
              <w:autoSpaceDE w:val="0"/>
              <w:autoSpaceDN w:val="0"/>
              <w:adjustRightInd w:val="0"/>
              <w:rPr>
                <w:rFonts w:eastAsia="Calibri"/>
                <w:b/>
                <w:bCs/>
                <w:i/>
                <w:lang w:val="lt-LT" w:eastAsia="lt-LT"/>
              </w:rPr>
            </w:pPr>
            <w:r w:rsidRPr="00320AA8">
              <w:rPr>
                <w:rFonts w:eastAsia="Calibri"/>
                <w:b/>
                <w:bCs/>
                <w:i/>
                <w:lang w:val="lt-LT" w:eastAsia="lt-LT"/>
              </w:rPr>
              <w:t>Bendrovės grėsmės: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Blogėjanti vandens tiekimo ir nuotekų surinkimo tinklų ir kitos infrastruktūros būklė</w:t>
            </w:r>
          </w:p>
          <w:p w:rsidR="00647190" w:rsidRPr="00320AA8" w:rsidRDefault="00F814E8"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Mažėjantis gyventojų skaičius/galimai mažėjančios pajamos</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Naujų vartotojų neprisijungimas prie naujai nutiestų tinklų</w:t>
            </w:r>
          </w:p>
          <w:p w:rsidR="00647190" w:rsidRPr="00320AA8" w:rsidRDefault="00647190" w:rsidP="00871886">
            <w:pPr>
              <w:numPr>
                <w:ilvl w:val="0"/>
                <w:numId w:val="14"/>
              </w:numPr>
              <w:autoSpaceDE w:val="0"/>
              <w:autoSpaceDN w:val="0"/>
              <w:adjustRightInd w:val="0"/>
              <w:ind w:left="357" w:hanging="357"/>
              <w:rPr>
                <w:rFonts w:eastAsia="Calibri"/>
                <w:b/>
                <w:i/>
                <w:lang w:val="lt-LT" w:eastAsia="lt-LT"/>
              </w:rPr>
            </w:pPr>
            <w:r w:rsidRPr="00320AA8">
              <w:rPr>
                <w:rFonts w:eastAsia="Calibri"/>
                <w:b/>
                <w:i/>
                <w:lang w:val="lt-LT" w:eastAsia="lt-LT"/>
              </w:rPr>
              <w:t>Bendrovės darbuotojų amžiaus vidurkio didėjimas (personalo senėjimas)</w:t>
            </w:r>
          </w:p>
          <w:p w:rsidR="00647190" w:rsidRPr="00320AA8" w:rsidRDefault="00647190" w:rsidP="00871886">
            <w:pPr>
              <w:numPr>
                <w:ilvl w:val="0"/>
                <w:numId w:val="14"/>
              </w:numPr>
              <w:autoSpaceDE w:val="0"/>
              <w:autoSpaceDN w:val="0"/>
              <w:adjustRightInd w:val="0"/>
              <w:ind w:left="357" w:hanging="357"/>
              <w:rPr>
                <w:rFonts w:ascii="Calibri" w:eastAsia="Calibri" w:hAnsi="Calibri" w:cs="Calibri"/>
                <w:b/>
                <w:bCs/>
                <w:i/>
                <w:iCs/>
                <w:lang w:val="lt-LT"/>
              </w:rPr>
            </w:pPr>
            <w:r w:rsidRPr="00320AA8">
              <w:rPr>
                <w:rFonts w:eastAsia="Calibri"/>
                <w:b/>
                <w:i/>
                <w:lang w:val="lt-LT" w:eastAsia="lt-LT"/>
              </w:rPr>
              <w:t>Dažna Vyriausybės priimamų ir reguliuojančių Bendrovės veiklą teisės aktų kaita</w:t>
            </w:r>
          </w:p>
        </w:tc>
      </w:tr>
    </w:tbl>
    <w:p w:rsidR="00647190" w:rsidRPr="001E0AD1" w:rsidRDefault="00647190" w:rsidP="00647190">
      <w:pPr>
        <w:pStyle w:val="BodyTextIndent"/>
        <w:ind w:firstLine="851"/>
        <w:rPr>
          <w:b/>
          <w:bCs/>
          <w:i/>
          <w:iCs/>
        </w:rPr>
      </w:pPr>
    </w:p>
    <w:p w:rsidR="007C3CCC" w:rsidRPr="001E0AD1" w:rsidRDefault="007C3CCC" w:rsidP="001E0AD1">
      <w:pPr>
        <w:spacing w:before="360" w:after="360" w:line="360" w:lineRule="auto"/>
        <w:ind w:firstLine="851"/>
        <w:jc w:val="center"/>
        <w:rPr>
          <w:b/>
          <w:bCs/>
          <w:i/>
          <w:iCs/>
          <w:caps/>
          <w:sz w:val="28"/>
          <w:szCs w:val="28"/>
          <w:lang w:val="lt-LT"/>
        </w:rPr>
      </w:pPr>
      <w:r w:rsidRPr="001E0AD1">
        <w:rPr>
          <w:b/>
          <w:bCs/>
          <w:i/>
          <w:iCs/>
          <w:caps/>
          <w:sz w:val="28"/>
          <w:szCs w:val="28"/>
          <w:lang w:val="lt-LT"/>
        </w:rPr>
        <w:t>BENDROVĖS VEIKLOS PLANAI IR PROGNOZĖS</w:t>
      </w:r>
    </w:p>
    <w:p w:rsidR="00A74809" w:rsidRPr="001E0AD1" w:rsidRDefault="00A74809" w:rsidP="00A74809">
      <w:pPr>
        <w:spacing w:line="360" w:lineRule="auto"/>
        <w:ind w:firstLine="851"/>
        <w:jc w:val="both"/>
        <w:rPr>
          <w:b/>
          <w:i/>
          <w:lang w:val="lt-LT"/>
        </w:rPr>
      </w:pPr>
      <w:r w:rsidRPr="001E0AD1">
        <w:rPr>
          <w:b/>
          <w:i/>
          <w:lang w:val="lt-LT"/>
        </w:rPr>
        <w:t>2016 m. Bendrovei nusimato išties nelengvi. Dėl numatytų nemenkų investicijų į planuojamą įgyvendinti projektą „</w:t>
      </w:r>
      <w:r w:rsidR="00D22A0A">
        <w:rPr>
          <w:b/>
          <w:i/>
          <w:lang w:val="lt-LT"/>
        </w:rPr>
        <w:t>Vandens tiekimo ir nuotekų tvarkymo infrastruktūros plėtra ir rekonstrukcija Prienų rajone</w:t>
      </w:r>
      <w:r w:rsidR="00D22A0A" w:rsidRPr="00293170">
        <w:rPr>
          <w:b/>
          <w:i/>
          <w:lang w:val="lt-LT"/>
        </w:rPr>
        <w:t>“</w:t>
      </w:r>
      <w:r w:rsidRPr="001E0AD1">
        <w:rPr>
          <w:b/>
          <w:i/>
          <w:lang w:val="lt-LT"/>
        </w:rPr>
        <w:t xml:space="preserve"> lieka ribotos galimybės vykdyti kitas veiklas. Kaip jau minėta </w:t>
      </w:r>
      <w:r w:rsidRPr="001E0AD1">
        <w:rPr>
          <w:b/>
          <w:i/>
          <w:lang w:val="lt-LT"/>
        </w:rPr>
        <w:lastRenderedPageBreak/>
        <w:t xml:space="preserve">anksčiau, šio projekto įgyvendinimui 2316786 Eur planuojama gauti iš ES paramos fondų, o likusią dalį 851883 Eur teks padengti Bendrovės ir Prienų rajono savivaldybės lėšomis. </w:t>
      </w:r>
    </w:p>
    <w:p w:rsidR="00A74809" w:rsidRDefault="00D524B8" w:rsidP="00A74809">
      <w:pPr>
        <w:spacing w:line="360" w:lineRule="auto"/>
        <w:ind w:firstLine="851"/>
        <w:jc w:val="both"/>
        <w:rPr>
          <w:b/>
          <w:i/>
          <w:lang w:val="lt-LT"/>
        </w:rPr>
      </w:pPr>
      <w:r>
        <w:rPr>
          <w:b/>
          <w:i/>
          <w:lang w:val="lt-LT"/>
        </w:rPr>
        <w:t>T</w:t>
      </w:r>
      <w:r w:rsidR="00A74809" w:rsidRPr="001E0AD1">
        <w:rPr>
          <w:b/>
          <w:i/>
          <w:lang w:val="lt-LT"/>
        </w:rPr>
        <w:t xml:space="preserve">ikimasi sklandžiai įgyvendinti projekto veiklas ir pagerinti sąlygas Strielčių bei Stakliškių gyventojams. Šio projekto pagrindu planuojama nutiesti </w:t>
      </w:r>
      <w:r w:rsidR="00D22A0A">
        <w:rPr>
          <w:b/>
          <w:i/>
          <w:lang w:val="lt-LT"/>
        </w:rPr>
        <w:t>ir renovuoti 12,17 km nuotekų tinklų ir 11,52 km van</w:t>
      </w:r>
      <w:r w:rsidR="00C367C2">
        <w:rPr>
          <w:b/>
          <w:i/>
          <w:lang w:val="lt-LT"/>
        </w:rPr>
        <w:t>dentiekio tinklų, pastatyti nuotekų valyklą Stakliškėse</w:t>
      </w:r>
      <w:r>
        <w:rPr>
          <w:b/>
          <w:i/>
          <w:lang w:val="lt-LT"/>
        </w:rPr>
        <w:t>, atnaujinti pirmo pakėlimo vandens tiekimo stotį, renovuoti Basanavičiaus g. bei Stadiono g. vandentiekio tinklus</w:t>
      </w:r>
      <w:r w:rsidR="00C367C2">
        <w:rPr>
          <w:b/>
          <w:i/>
          <w:lang w:val="lt-LT"/>
        </w:rPr>
        <w:t xml:space="preserve">. </w:t>
      </w:r>
      <w:r>
        <w:rPr>
          <w:b/>
          <w:i/>
          <w:lang w:val="lt-LT"/>
        </w:rPr>
        <w:t>Didžiausia investicijos dalis ir p</w:t>
      </w:r>
      <w:r w:rsidR="00C367C2">
        <w:rPr>
          <w:b/>
          <w:i/>
          <w:lang w:val="lt-LT"/>
        </w:rPr>
        <w:t>agrindinis šio projekto tikslas – sujungti Prienų ir Strielčių vandentiekio tinklus, kad Strielčių gyventojams būtų tiekiamas kokybiškas, higienos normas atitinkantis vanduo, bei nutiesti bei su Prienų miesto tinklais sujungti nuotekų tinklus.</w:t>
      </w:r>
    </w:p>
    <w:p w:rsidR="00C367C2" w:rsidRDefault="00C367C2" w:rsidP="00A74809">
      <w:pPr>
        <w:spacing w:line="360" w:lineRule="auto"/>
        <w:ind w:firstLine="851"/>
        <w:jc w:val="both"/>
        <w:rPr>
          <w:b/>
          <w:i/>
          <w:lang w:val="lt-LT"/>
        </w:rPr>
      </w:pPr>
      <w:r>
        <w:rPr>
          <w:b/>
          <w:i/>
          <w:lang w:val="lt-LT"/>
        </w:rPr>
        <w:t>Atsižvelgiant į tai, kaip seksis įgyvendinti projektą, ir kiek lėšų teks prisidėti Bendrovei, planuojama tęsti tinklų inventorizaciją ir teisinę registraciją, atnaujinti kritinės būklės tinklus kaimuose, re</w:t>
      </w:r>
      <w:r w:rsidR="00D524B8">
        <w:rPr>
          <w:b/>
          <w:i/>
          <w:lang w:val="lt-LT"/>
        </w:rPr>
        <w:t>konstruoti šulinius, nustatyti vandenviečių apsaugos zonas bei aprobuoti ištekius, atnaujinti dispečerinės valdymo sistemas bei apskaitos programą.</w:t>
      </w:r>
    </w:p>
    <w:p w:rsidR="00D524B8" w:rsidRDefault="00D524B8" w:rsidP="00B808CB">
      <w:pPr>
        <w:spacing w:line="360" w:lineRule="auto"/>
        <w:ind w:firstLine="851"/>
        <w:jc w:val="both"/>
        <w:rPr>
          <w:b/>
          <w:i/>
          <w:lang w:val="lt-LT"/>
        </w:rPr>
      </w:pPr>
      <w:r w:rsidRPr="00B808CB">
        <w:rPr>
          <w:b/>
          <w:i/>
          <w:lang w:val="lt-LT"/>
        </w:rPr>
        <w:t>Pratęsus fizinių rodiklių pasiekiamumo terminą iki 2016-12-31</w:t>
      </w:r>
      <w:r w:rsidR="00B808CB" w:rsidRPr="00B808CB">
        <w:rPr>
          <w:b/>
          <w:i/>
          <w:lang w:val="lt-LT"/>
        </w:rPr>
        <w:t>, bus tol</w:t>
      </w:r>
      <w:r w:rsidRPr="00B808CB">
        <w:rPr>
          <w:b/>
          <w:i/>
          <w:lang w:val="lt-LT"/>
        </w:rPr>
        <w:t xml:space="preserve">iau siekiama įgyvendinti projekto „Vandentiekio ir nuotekų tinklų plėtra Balbieriškyje ir nuotekų tinklų keitimas Prienuose“ tikslą - sudaryti vandens tiekimo ir nuotekų šalinimo sutartis su 138 vartotojais. </w:t>
      </w:r>
    </w:p>
    <w:p w:rsidR="00B808CB" w:rsidRDefault="00B808CB" w:rsidP="00B808CB">
      <w:pPr>
        <w:spacing w:line="360" w:lineRule="auto"/>
        <w:ind w:firstLine="851"/>
        <w:jc w:val="both"/>
        <w:rPr>
          <w:b/>
          <w:i/>
          <w:lang w:val="lt-LT"/>
        </w:rPr>
      </w:pPr>
      <w:r>
        <w:rPr>
          <w:b/>
          <w:i/>
          <w:lang w:val="lt-LT"/>
        </w:rPr>
        <w:t>Nesvarbu su kokiais iššūkiais teko susidurti Bendrovei per gyvavimo metus, visi jie buvo įveikti. Tokia nuotaika UAB „Prienų vandenys“ pasitinka ir 2016 metus.</w:t>
      </w:r>
    </w:p>
    <w:p w:rsidR="00B808CB" w:rsidRDefault="00B808CB" w:rsidP="00B808CB">
      <w:pPr>
        <w:spacing w:line="360" w:lineRule="auto"/>
        <w:ind w:firstLine="851"/>
        <w:jc w:val="both"/>
        <w:rPr>
          <w:b/>
          <w:i/>
          <w:lang w:val="lt-LT"/>
        </w:rPr>
      </w:pPr>
    </w:p>
    <w:p w:rsidR="00B808CB" w:rsidRDefault="00B808CB" w:rsidP="00B808CB">
      <w:pPr>
        <w:spacing w:line="360" w:lineRule="auto"/>
        <w:ind w:firstLine="851"/>
        <w:jc w:val="both"/>
        <w:rPr>
          <w:b/>
          <w:i/>
          <w:lang w:val="lt-LT"/>
        </w:rPr>
      </w:pPr>
    </w:p>
    <w:p w:rsidR="00B808CB" w:rsidRPr="00B808CB" w:rsidRDefault="00B808CB" w:rsidP="00B808CB">
      <w:pPr>
        <w:spacing w:line="360" w:lineRule="auto"/>
        <w:ind w:firstLine="851"/>
        <w:jc w:val="both"/>
        <w:rPr>
          <w:b/>
          <w:i/>
          <w:lang w:val="lt-LT"/>
        </w:rPr>
      </w:pPr>
      <w:r>
        <w:rPr>
          <w:b/>
          <w:i/>
          <w:lang w:val="lt-LT"/>
        </w:rPr>
        <w:t>Direktorius</w:t>
      </w:r>
      <w:r>
        <w:rPr>
          <w:b/>
          <w:i/>
          <w:lang w:val="lt-LT"/>
        </w:rPr>
        <w:tab/>
      </w:r>
      <w:r>
        <w:rPr>
          <w:b/>
          <w:i/>
          <w:lang w:val="lt-LT"/>
        </w:rPr>
        <w:tab/>
      </w:r>
      <w:r>
        <w:rPr>
          <w:b/>
          <w:i/>
          <w:lang w:val="lt-LT"/>
        </w:rPr>
        <w:tab/>
      </w:r>
      <w:r>
        <w:rPr>
          <w:b/>
          <w:i/>
          <w:lang w:val="lt-LT"/>
        </w:rPr>
        <w:tab/>
      </w:r>
      <w:r>
        <w:rPr>
          <w:b/>
          <w:i/>
          <w:lang w:val="lt-LT"/>
        </w:rPr>
        <w:tab/>
      </w:r>
      <w:r>
        <w:rPr>
          <w:b/>
          <w:i/>
          <w:lang w:val="lt-LT"/>
        </w:rPr>
        <w:tab/>
      </w:r>
      <w:r>
        <w:rPr>
          <w:b/>
          <w:i/>
          <w:lang w:val="lt-LT"/>
        </w:rPr>
        <w:tab/>
        <w:t>Pranas Mitkevičius</w:t>
      </w:r>
    </w:p>
    <w:p w:rsidR="00A74809" w:rsidRPr="001E0AD1" w:rsidRDefault="00A74809" w:rsidP="00A74809">
      <w:pPr>
        <w:pStyle w:val="BodyTextIndent"/>
        <w:tabs>
          <w:tab w:val="left" w:pos="930"/>
        </w:tabs>
        <w:rPr>
          <w:b/>
          <w:i/>
        </w:rPr>
      </w:pPr>
    </w:p>
    <w:p w:rsidR="00293170" w:rsidRPr="001E0AD1" w:rsidRDefault="00293170" w:rsidP="00E77DC1">
      <w:pPr>
        <w:pStyle w:val="BodyTextIndent"/>
        <w:ind w:firstLine="0"/>
        <w:rPr>
          <w:color w:val="FF0000"/>
        </w:rPr>
      </w:pPr>
    </w:p>
    <w:sectPr w:rsidR="00293170" w:rsidRPr="001E0AD1" w:rsidSect="005A6A2A">
      <w:headerReference w:type="even" r:id="rId17"/>
      <w:headerReference w:type="default" r:id="rId18"/>
      <w:footerReference w:type="even" r:id="rId19"/>
      <w:footerReference w:type="default" r:id="rId20"/>
      <w:headerReference w:type="first" r:id="rId21"/>
      <w:pgSz w:w="12240" w:h="15840"/>
      <w:pgMar w:top="1701"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0A6" w:rsidRDefault="002440A6">
      <w:r>
        <w:separator/>
      </w:r>
    </w:p>
  </w:endnote>
  <w:endnote w:type="continuationSeparator" w:id="1">
    <w:p w:rsidR="002440A6" w:rsidRDefault="002440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BE" w:rsidRDefault="00AD4C99">
    <w:pPr>
      <w:pStyle w:val="Footer"/>
      <w:framePr w:wrap="around" w:vAnchor="text" w:hAnchor="margin" w:xAlign="right" w:y="1"/>
      <w:rPr>
        <w:rStyle w:val="PageNumber"/>
      </w:rPr>
    </w:pPr>
    <w:r>
      <w:rPr>
        <w:rStyle w:val="PageNumber"/>
      </w:rPr>
      <w:fldChar w:fldCharType="begin"/>
    </w:r>
    <w:r w:rsidR="005155BE">
      <w:rPr>
        <w:rStyle w:val="PageNumber"/>
      </w:rPr>
      <w:instrText xml:space="preserve">PAGE  </w:instrText>
    </w:r>
    <w:r>
      <w:rPr>
        <w:rStyle w:val="PageNumber"/>
      </w:rPr>
      <w:fldChar w:fldCharType="end"/>
    </w:r>
  </w:p>
  <w:p w:rsidR="005155BE" w:rsidRDefault="005155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2A" w:rsidRDefault="005A6A2A"/>
  <w:p w:rsidR="005A6A2A" w:rsidRDefault="005A6A2A"/>
  <w:tbl>
    <w:tblPr>
      <w:tblW w:w="5000" w:type="pct"/>
      <w:tblBorders>
        <w:top w:val="single" w:sz="18" w:space="0" w:color="808080"/>
        <w:insideV w:val="single" w:sz="18" w:space="0" w:color="808080"/>
      </w:tblBorders>
      <w:tblLook w:val="04A0"/>
    </w:tblPr>
    <w:tblGrid>
      <w:gridCol w:w="9322"/>
      <w:gridCol w:w="299"/>
    </w:tblGrid>
    <w:tr w:rsidR="00EB1A9E" w:rsidTr="00EB1A9E">
      <w:tc>
        <w:tcPr>
          <w:tcW w:w="9322" w:type="dxa"/>
        </w:tcPr>
        <w:p w:rsidR="00EB1A9E" w:rsidRPr="00EB1A9E" w:rsidRDefault="00EB1A9E" w:rsidP="00EB1A9E">
          <w:pPr>
            <w:pStyle w:val="Footer"/>
            <w:tabs>
              <w:tab w:val="right" w:pos="9106"/>
            </w:tabs>
            <w:rPr>
              <w:b/>
              <w:bCs/>
              <w:color w:val="4F81BD"/>
              <w:sz w:val="32"/>
              <w:szCs w:val="32"/>
            </w:rPr>
          </w:pPr>
          <w:r w:rsidRPr="00EB1A9E">
            <w:rPr>
              <w:b/>
              <w:bCs/>
              <w:noProof/>
              <w:color w:val="4F81BD"/>
              <w:sz w:val="20"/>
              <w:szCs w:val="20"/>
            </w:rPr>
            <w:t>UAB „PRIENŲ VAND</w:t>
          </w:r>
          <w:r w:rsidR="00873598">
            <w:rPr>
              <w:b/>
              <w:bCs/>
              <w:noProof/>
              <w:color w:val="4F81BD"/>
              <w:sz w:val="20"/>
              <w:szCs w:val="20"/>
            </w:rPr>
            <w:t>ENYS“ 2015 M. METINĖ VEIKLOS ATASKAITA</w:t>
          </w:r>
          <w:r>
            <w:rPr>
              <w:sz w:val="22"/>
              <w:szCs w:val="22"/>
            </w:rPr>
            <w:tab/>
          </w:r>
          <w:r w:rsidR="00AD4C99" w:rsidRPr="00AD4C99">
            <w:rPr>
              <w:sz w:val="20"/>
              <w:szCs w:val="20"/>
            </w:rPr>
            <w:fldChar w:fldCharType="begin"/>
          </w:r>
          <w:r w:rsidRPr="00EB1A9E">
            <w:rPr>
              <w:sz w:val="20"/>
              <w:szCs w:val="20"/>
            </w:rPr>
            <w:instrText xml:space="preserve"> PAGE   \* MERGEFORMAT </w:instrText>
          </w:r>
          <w:r w:rsidR="00AD4C99" w:rsidRPr="00AD4C99">
            <w:rPr>
              <w:sz w:val="20"/>
              <w:szCs w:val="20"/>
            </w:rPr>
            <w:fldChar w:fldCharType="separate"/>
          </w:r>
          <w:r w:rsidR="00B40BF7" w:rsidRPr="00B40BF7">
            <w:rPr>
              <w:b/>
              <w:bCs/>
              <w:noProof/>
              <w:color w:val="4F81BD"/>
              <w:sz w:val="20"/>
              <w:szCs w:val="20"/>
            </w:rPr>
            <w:t>1</w:t>
          </w:r>
          <w:r w:rsidR="00AD4C99" w:rsidRPr="00EB1A9E">
            <w:rPr>
              <w:b/>
              <w:bCs/>
              <w:noProof/>
              <w:color w:val="4F81BD"/>
              <w:sz w:val="20"/>
              <w:szCs w:val="20"/>
            </w:rPr>
            <w:fldChar w:fldCharType="end"/>
          </w:r>
        </w:p>
      </w:tc>
      <w:tc>
        <w:tcPr>
          <w:tcW w:w="299" w:type="dxa"/>
        </w:tcPr>
        <w:p w:rsidR="00EB1A9E" w:rsidRDefault="00EB1A9E">
          <w:pPr>
            <w:pStyle w:val="Footer"/>
          </w:pPr>
        </w:p>
      </w:tc>
    </w:tr>
  </w:tbl>
  <w:p w:rsidR="005155BE" w:rsidRDefault="005155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0A6" w:rsidRDefault="002440A6">
      <w:r>
        <w:separator/>
      </w:r>
    </w:p>
  </w:footnote>
  <w:footnote w:type="continuationSeparator" w:id="1">
    <w:p w:rsidR="002440A6" w:rsidRDefault="00244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CD" w:rsidRDefault="00AD4C99">
    <w:pPr>
      <w:pStyle w:val="Header"/>
    </w:pPr>
    <w:r>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0018" o:spid="_x0000_s2050" type="#_x0000_t75" style="position:absolute;margin-left:0;margin-top:0;width:376.5pt;height:301.5pt;z-index:-251658752;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CD" w:rsidRDefault="00AD4C99" w:rsidP="00641D9F">
    <w:pPr>
      <w:pStyle w:val="Header"/>
      <w:tabs>
        <w:tab w:val="clear" w:pos="4819"/>
        <w:tab w:val="clear" w:pos="9638"/>
        <w:tab w:val="center" w:pos="4678"/>
      </w:tabs>
    </w:pPr>
    <w:r>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0019" o:spid="_x0000_s2051" type="#_x0000_t75" style="position:absolute;margin-left:0;margin-top:0;width:376.5pt;height:301.5pt;z-index:-251657728;mso-position-horizontal:center;mso-position-horizontal-relative:margin;mso-position-vertical:center;mso-position-vertical-relative:margin" o:allowincell="f" filled="t">
          <v:fill opacity="2621f" color2="fill darken(118)" recolor="t" rotate="t" method="linear sigma" focus="100%" type="gradient"/>
          <v:imagedata r:id="rId1" o:title="1" gain="19661f" blacklevel="28180f"/>
          <w10:wrap anchorx="margin" anchory="margin"/>
        </v:shape>
      </w:pict>
    </w:r>
    <w:r w:rsidR="00641D9F">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CD" w:rsidRDefault="00AD4C99">
    <w:pPr>
      <w:pStyle w:val="Header"/>
    </w:pPr>
    <w:r>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0017" o:spid="_x0000_s2049" type="#_x0000_t75" style="position:absolute;margin-left:0;margin-top:0;width:376.5pt;height:301.5pt;z-index:-251659776;mso-position-horizontal:center;mso-position-horizontal-relative:margin;mso-position-vertical:center;mso-position-vertical-relative:margin" o:allowincell="f" filled="t">
          <v:fill opacity="655f" color2="fill darken(118)" o:opacity2="26214f" recolor="t" rotate="t" method="linear sigma" focus="100%" type="gradient"/>
          <v:imagedata r:id="rId1" o:title="1" gain="19661f" blacklevel="26214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A8E"/>
    <w:multiLevelType w:val="hybridMultilevel"/>
    <w:tmpl w:val="D186A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E30B9F"/>
    <w:multiLevelType w:val="hybridMultilevel"/>
    <w:tmpl w:val="027E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B5B39"/>
    <w:multiLevelType w:val="hybridMultilevel"/>
    <w:tmpl w:val="5414ECB8"/>
    <w:lvl w:ilvl="0" w:tplc="D21285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29F4214A"/>
    <w:multiLevelType w:val="hybridMultilevel"/>
    <w:tmpl w:val="97980C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A220D6D"/>
    <w:multiLevelType w:val="hybridMultilevel"/>
    <w:tmpl w:val="ADDC4C02"/>
    <w:lvl w:ilvl="0" w:tplc="4E5EFC7E">
      <w:start w:val="1"/>
      <w:numFmt w:val="decimal"/>
      <w:lvlText w:val="(%1)"/>
      <w:lvlJc w:val="left"/>
      <w:pPr>
        <w:tabs>
          <w:tab w:val="num" w:pos="1130"/>
        </w:tabs>
        <w:ind w:left="1130" w:hanging="360"/>
      </w:pPr>
      <w:rPr>
        <w:rFonts w:ascii="Times New Roman" w:eastAsia="Times New Roman" w:hAnsi="Times New Roman" w:cs="Times New Roman"/>
      </w:rPr>
    </w:lvl>
    <w:lvl w:ilvl="1" w:tplc="7FAC4786">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3A44B2"/>
    <w:multiLevelType w:val="hybridMultilevel"/>
    <w:tmpl w:val="464C2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437300"/>
    <w:multiLevelType w:val="hybridMultilevel"/>
    <w:tmpl w:val="2076AA50"/>
    <w:lvl w:ilvl="0" w:tplc="4E5EFC7E">
      <w:start w:val="1"/>
      <w:numFmt w:val="decimal"/>
      <w:lvlText w:val="(%1)"/>
      <w:lvlJc w:val="left"/>
      <w:pPr>
        <w:tabs>
          <w:tab w:val="num" w:pos="1850"/>
        </w:tabs>
        <w:ind w:left="1850" w:hanging="360"/>
      </w:pPr>
      <w:rPr>
        <w:rFonts w:ascii="Times New Roman" w:eastAsia="Times New Roman" w:hAnsi="Times New Roman" w:cs="Times New Roman"/>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35F77C28"/>
    <w:multiLevelType w:val="hybridMultilevel"/>
    <w:tmpl w:val="86BC4C26"/>
    <w:lvl w:ilvl="0" w:tplc="2844FE76">
      <w:start w:val="1"/>
      <w:numFmt w:val="decimal"/>
      <w:lvlText w:val="(%1)"/>
      <w:lvlJc w:val="left"/>
      <w:pPr>
        <w:tabs>
          <w:tab w:val="num" w:pos="1116"/>
        </w:tabs>
        <w:ind w:left="1116" w:hanging="396"/>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3BDE035D"/>
    <w:multiLevelType w:val="hybridMultilevel"/>
    <w:tmpl w:val="BF9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05C19"/>
    <w:multiLevelType w:val="hybridMultilevel"/>
    <w:tmpl w:val="F4B6B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3A56473"/>
    <w:multiLevelType w:val="hybridMultilevel"/>
    <w:tmpl w:val="97980CE2"/>
    <w:lvl w:ilvl="0" w:tplc="8A426E6E">
      <w:start w:val="1"/>
      <w:numFmt w:val="bullet"/>
      <w:lvlText w:val=""/>
      <w:lvlJc w:val="left"/>
      <w:pPr>
        <w:tabs>
          <w:tab w:val="num" w:pos="1440"/>
        </w:tabs>
        <w:ind w:left="1296" w:hanging="216"/>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1B76ACC"/>
    <w:multiLevelType w:val="hybridMultilevel"/>
    <w:tmpl w:val="E73810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6A8C3E0B"/>
    <w:multiLevelType w:val="multilevel"/>
    <w:tmpl w:val="27C077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sz w:val="23"/>
        <w:szCs w:val="23"/>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D4D027C"/>
    <w:multiLevelType w:val="hybridMultilevel"/>
    <w:tmpl w:val="5DD07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DAF2DFC"/>
    <w:multiLevelType w:val="multilevel"/>
    <w:tmpl w:val="303AA982"/>
    <w:lvl w:ilvl="0">
      <w:start w:val="1"/>
      <w:numFmt w:val="decimal"/>
      <w:lvlText w:val="(%1)"/>
      <w:lvlJc w:val="left"/>
      <w:pPr>
        <w:tabs>
          <w:tab w:val="num" w:pos="1260"/>
        </w:tabs>
        <w:ind w:left="1260" w:hanging="5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10"/>
  </w:num>
  <w:num w:numId="3">
    <w:abstractNumId w:val="12"/>
  </w:num>
  <w:num w:numId="4">
    <w:abstractNumId w:val="14"/>
  </w:num>
  <w:num w:numId="5">
    <w:abstractNumId w:val="4"/>
  </w:num>
  <w:num w:numId="6">
    <w:abstractNumId w:val="7"/>
  </w:num>
  <w:num w:numId="7">
    <w:abstractNumId w:val="2"/>
  </w:num>
  <w:num w:numId="8">
    <w:abstractNumId w:val="6"/>
  </w:num>
  <w:num w:numId="9">
    <w:abstractNumId w:val="9"/>
  </w:num>
  <w:num w:numId="10">
    <w:abstractNumId w:val="13"/>
  </w:num>
  <w:num w:numId="11">
    <w:abstractNumId w:val="8"/>
  </w:num>
  <w:num w:numId="12">
    <w:abstractNumId w:val="1"/>
  </w:num>
  <w:num w:numId="13">
    <w:abstractNumId w:val="11"/>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396"/>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92A8B"/>
    <w:rsid w:val="0000069B"/>
    <w:rsid w:val="000108F8"/>
    <w:rsid w:val="00011DEB"/>
    <w:rsid w:val="0005042E"/>
    <w:rsid w:val="00057C3B"/>
    <w:rsid w:val="00063511"/>
    <w:rsid w:val="000644F6"/>
    <w:rsid w:val="0006646C"/>
    <w:rsid w:val="000A1D62"/>
    <w:rsid w:val="000A30C8"/>
    <w:rsid w:val="000B1592"/>
    <w:rsid w:val="000B718D"/>
    <w:rsid w:val="000C5381"/>
    <w:rsid w:val="000C6C6C"/>
    <w:rsid w:val="000E09EF"/>
    <w:rsid w:val="000E31BA"/>
    <w:rsid w:val="000F0C37"/>
    <w:rsid w:val="00104072"/>
    <w:rsid w:val="001174A9"/>
    <w:rsid w:val="00123379"/>
    <w:rsid w:val="00123FFF"/>
    <w:rsid w:val="00126C35"/>
    <w:rsid w:val="00134D93"/>
    <w:rsid w:val="00136789"/>
    <w:rsid w:val="0015136D"/>
    <w:rsid w:val="0015154F"/>
    <w:rsid w:val="00160386"/>
    <w:rsid w:val="001842CF"/>
    <w:rsid w:val="00192A8B"/>
    <w:rsid w:val="001967A9"/>
    <w:rsid w:val="001A0234"/>
    <w:rsid w:val="001A08CA"/>
    <w:rsid w:val="001A1DF5"/>
    <w:rsid w:val="001A63B8"/>
    <w:rsid w:val="001A7DE9"/>
    <w:rsid w:val="001A7E05"/>
    <w:rsid w:val="001B22AF"/>
    <w:rsid w:val="001B6B73"/>
    <w:rsid w:val="001C110F"/>
    <w:rsid w:val="001C2970"/>
    <w:rsid w:val="001D35DE"/>
    <w:rsid w:val="001E0AD1"/>
    <w:rsid w:val="001E4CAB"/>
    <w:rsid w:val="001F06B6"/>
    <w:rsid w:val="001F42DC"/>
    <w:rsid w:val="001F71D1"/>
    <w:rsid w:val="00205DD6"/>
    <w:rsid w:val="00236255"/>
    <w:rsid w:val="002440A6"/>
    <w:rsid w:val="00250ACC"/>
    <w:rsid w:val="002603E4"/>
    <w:rsid w:val="00281DAF"/>
    <w:rsid w:val="00287666"/>
    <w:rsid w:val="00293170"/>
    <w:rsid w:val="002B0415"/>
    <w:rsid w:val="002B04A4"/>
    <w:rsid w:val="002B07E5"/>
    <w:rsid w:val="002B5655"/>
    <w:rsid w:val="002D6258"/>
    <w:rsid w:val="00310C15"/>
    <w:rsid w:val="00320AA8"/>
    <w:rsid w:val="00323726"/>
    <w:rsid w:val="003316F5"/>
    <w:rsid w:val="0034543E"/>
    <w:rsid w:val="00356E7F"/>
    <w:rsid w:val="00357C64"/>
    <w:rsid w:val="00367639"/>
    <w:rsid w:val="0037090F"/>
    <w:rsid w:val="003859DA"/>
    <w:rsid w:val="003932EF"/>
    <w:rsid w:val="003A7807"/>
    <w:rsid w:val="003B7629"/>
    <w:rsid w:val="003C2612"/>
    <w:rsid w:val="003D65DB"/>
    <w:rsid w:val="003E40C0"/>
    <w:rsid w:val="003E6E84"/>
    <w:rsid w:val="003F0606"/>
    <w:rsid w:val="003F25CB"/>
    <w:rsid w:val="003F7719"/>
    <w:rsid w:val="00406209"/>
    <w:rsid w:val="00412077"/>
    <w:rsid w:val="00423B9A"/>
    <w:rsid w:val="004275BB"/>
    <w:rsid w:val="00441026"/>
    <w:rsid w:val="00451D49"/>
    <w:rsid w:val="00454876"/>
    <w:rsid w:val="00456C62"/>
    <w:rsid w:val="0046095D"/>
    <w:rsid w:val="00462A79"/>
    <w:rsid w:val="00463E48"/>
    <w:rsid w:val="00471BCC"/>
    <w:rsid w:val="00483C1A"/>
    <w:rsid w:val="004848AE"/>
    <w:rsid w:val="00485D8D"/>
    <w:rsid w:val="0049152A"/>
    <w:rsid w:val="004977EB"/>
    <w:rsid w:val="004A1CD5"/>
    <w:rsid w:val="004C4903"/>
    <w:rsid w:val="004E601C"/>
    <w:rsid w:val="004E64A6"/>
    <w:rsid w:val="004F053A"/>
    <w:rsid w:val="004F4B97"/>
    <w:rsid w:val="004F76E3"/>
    <w:rsid w:val="00503396"/>
    <w:rsid w:val="00507D32"/>
    <w:rsid w:val="00511CFB"/>
    <w:rsid w:val="005155BE"/>
    <w:rsid w:val="00527336"/>
    <w:rsid w:val="00535570"/>
    <w:rsid w:val="00590574"/>
    <w:rsid w:val="005A4534"/>
    <w:rsid w:val="005A4FAD"/>
    <w:rsid w:val="005A555E"/>
    <w:rsid w:val="005A6A2A"/>
    <w:rsid w:val="005C1353"/>
    <w:rsid w:val="005C2545"/>
    <w:rsid w:val="005C49A5"/>
    <w:rsid w:val="005D00B8"/>
    <w:rsid w:val="005D1192"/>
    <w:rsid w:val="005D5182"/>
    <w:rsid w:val="0060246C"/>
    <w:rsid w:val="00603DDC"/>
    <w:rsid w:val="00605603"/>
    <w:rsid w:val="00605CD0"/>
    <w:rsid w:val="00606638"/>
    <w:rsid w:val="00607275"/>
    <w:rsid w:val="00612AB6"/>
    <w:rsid w:val="006147E0"/>
    <w:rsid w:val="006156BB"/>
    <w:rsid w:val="00616C0B"/>
    <w:rsid w:val="00633106"/>
    <w:rsid w:val="00635C2C"/>
    <w:rsid w:val="00641D9F"/>
    <w:rsid w:val="00646CBF"/>
    <w:rsid w:val="00647190"/>
    <w:rsid w:val="00652A03"/>
    <w:rsid w:val="00656B55"/>
    <w:rsid w:val="006660F7"/>
    <w:rsid w:val="00671A2E"/>
    <w:rsid w:val="006959A0"/>
    <w:rsid w:val="006A49A3"/>
    <w:rsid w:val="006A5629"/>
    <w:rsid w:val="006A61E1"/>
    <w:rsid w:val="006B32C7"/>
    <w:rsid w:val="006C05B6"/>
    <w:rsid w:val="006C4CFC"/>
    <w:rsid w:val="006C4E0B"/>
    <w:rsid w:val="006C7BED"/>
    <w:rsid w:val="006D450F"/>
    <w:rsid w:val="006E2388"/>
    <w:rsid w:val="006E45F0"/>
    <w:rsid w:val="00712B9D"/>
    <w:rsid w:val="00721105"/>
    <w:rsid w:val="007225B5"/>
    <w:rsid w:val="007274A2"/>
    <w:rsid w:val="0073396B"/>
    <w:rsid w:val="00743576"/>
    <w:rsid w:val="00745A72"/>
    <w:rsid w:val="00752B53"/>
    <w:rsid w:val="00760CEF"/>
    <w:rsid w:val="0076736E"/>
    <w:rsid w:val="00773EB7"/>
    <w:rsid w:val="00785467"/>
    <w:rsid w:val="0078731D"/>
    <w:rsid w:val="007876B1"/>
    <w:rsid w:val="00795263"/>
    <w:rsid w:val="007A0828"/>
    <w:rsid w:val="007A305E"/>
    <w:rsid w:val="007B3EB4"/>
    <w:rsid w:val="007B6398"/>
    <w:rsid w:val="007C3CCC"/>
    <w:rsid w:val="007C3E86"/>
    <w:rsid w:val="007C70B1"/>
    <w:rsid w:val="007D2BC0"/>
    <w:rsid w:val="007D42B6"/>
    <w:rsid w:val="007F1907"/>
    <w:rsid w:val="007F26FB"/>
    <w:rsid w:val="007F3DCE"/>
    <w:rsid w:val="00800FE4"/>
    <w:rsid w:val="0080489D"/>
    <w:rsid w:val="0081140F"/>
    <w:rsid w:val="00811F79"/>
    <w:rsid w:val="00831E87"/>
    <w:rsid w:val="008336F4"/>
    <w:rsid w:val="00834381"/>
    <w:rsid w:val="00844E7A"/>
    <w:rsid w:val="0084597D"/>
    <w:rsid w:val="0084632D"/>
    <w:rsid w:val="0085289C"/>
    <w:rsid w:val="00863657"/>
    <w:rsid w:val="00863D68"/>
    <w:rsid w:val="00871886"/>
    <w:rsid w:val="00873598"/>
    <w:rsid w:val="0087457F"/>
    <w:rsid w:val="00876C12"/>
    <w:rsid w:val="008869DF"/>
    <w:rsid w:val="0088777B"/>
    <w:rsid w:val="00896CFD"/>
    <w:rsid w:val="008A4CBD"/>
    <w:rsid w:val="008B4202"/>
    <w:rsid w:val="008B6BE0"/>
    <w:rsid w:val="008B7149"/>
    <w:rsid w:val="008C2E16"/>
    <w:rsid w:val="008E1F25"/>
    <w:rsid w:val="008E26D6"/>
    <w:rsid w:val="008E458C"/>
    <w:rsid w:val="008E64A0"/>
    <w:rsid w:val="00903C85"/>
    <w:rsid w:val="00904342"/>
    <w:rsid w:val="00922E2C"/>
    <w:rsid w:val="00925157"/>
    <w:rsid w:val="00935471"/>
    <w:rsid w:val="00944ED2"/>
    <w:rsid w:val="00971DB9"/>
    <w:rsid w:val="009815B4"/>
    <w:rsid w:val="00981BC4"/>
    <w:rsid w:val="00994B2F"/>
    <w:rsid w:val="00997129"/>
    <w:rsid w:val="009A6817"/>
    <w:rsid w:val="009C3171"/>
    <w:rsid w:val="009D2369"/>
    <w:rsid w:val="009D4750"/>
    <w:rsid w:val="009E2A8A"/>
    <w:rsid w:val="00A00713"/>
    <w:rsid w:val="00A1760F"/>
    <w:rsid w:val="00A17D7C"/>
    <w:rsid w:val="00A30353"/>
    <w:rsid w:val="00A31C19"/>
    <w:rsid w:val="00A4212E"/>
    <w:rsid w:val="00A427B0"/>
    <w:rsid w:val="00A55221"/>
    <w:rsid w:val="00A60571"/>
    <w:rsid w:val="00A74809"/>
    <w:rsid w:val="00A74FB8"/>
    <w:rsid w:val="00A806AC"/>
    <w:rsid w:val="00A90CC1"/>
    <w:rsid w:val="00AA3D3B"/>
    <w:rsid w:val="00AB08DF"/>
    <w:rsid w:val="00AB0A9F"/>
    <w:rsid w:val="00AB16EF"/>
    <w:rsid w:val="00AC092E"/>
    <w:rsid w:val="00AC66BA"/>
    <w:rsid w:val="00AD4969"/>
    <w:rsid w:val="00AD4C99"/>
    <w:rsid w:val="00AF560F"/>
    <w:rsid w:val="00B05064"/>
    <w:rsid w:val="00B07245"/>
    <w:rsid w:val="00B146B7"/>
    <w:rsid w:val="00B31018"/>
    <w:rsid w:val="00B33E1F"/>
    <w:rsid w:val="00B40BF7"/>
    <w:rsid w:val="00B41C39"/>
    <w:rsid w:val="00B42624"/>
    <w:rsid w:val="00B5714F"/>
    <w:rsid w:val="00B808CB"/>
    <w:rsid w:val="00B80BBE"/>
    <w:rsid w:val="00BA0E5A"/>
    <w:rsid w:val="00BA420E"/>
    <w:rsid w:val="00BA4FD2"/>
    <w:rsid w:val="00BA530F"/>
    <w:rsid w:val="00BA6711"/>
    <w:rsid w:val="00BB3F9A"/>
    <w:rsid w:val="00BC7639"/>
    <w:rsid w:val="00BD0670"/>
    <w:rsid w:val="00BE1554"/>
    <w:rsid w:val="00BE3A8D"/>
    <w:rsid w:val="00BE4AC5"/>
    <w:rsid w:val="00BE7A7F"/>
    <w:rsid w:val="00BF29C2"/>
    <w:rsid w:val="00BF455B"/>
    <w:rsid w:val="00C01E5B"/>
    <w:rsid w:val="00C05578"/>
    <w:rsid w:val="00C104B8"/>
    <w:rsid w:val="00C235A7"/>
    <w:rsid w:val="00C25699"/>
    <w:rsid w:val="00C316BA"/>
    <w:rsid w:val="00C367C2"/>
    <w:rsid w:val="00C36F83"/>
    <w:rsid w:val="00C4057A"/>
    <w:rsid w:val="00C45769"/>
    <w:rsid w:val="00C55226"/>
    <w:rsid w:val="00C60EA3"/>
    <w:rsid w:val="00C65643"/>
    <w:rsid w:val="00C667BA"/>
    <w:rsid w:val="00C72A6F"/>
    <w:rsid w:val="00C73D56"/>
    <w:rsid w:val="00C93E26"/>
    <w:rsid w:val="00CB4424"/>
    <w:rsid w:val="00CC18BA"/>
    <w:rsid w:val="00CC2918"/>
    <w:rsid w:val="00CD34A7"/>
    <w:rsid w:val="00CD455B"/>
    <w:rsid w:val="00CE7AD1"/>
    <w:rsid w:val="00CF5987"/>
    <w:rsid w:val="00D22A0A"/>
    <w:rsid w:val="00D30116"/>
    <w:rsid w:val="00D31B57"/>
    <w:rsid w:val="00D35EB9"/>
    <w:rsid w:val="00D524B8"/>
    <w:rsid w:val="00D53066"/>
    <w:rsid w:val="00D5702F"/>
    <w:rsid w:val="00D60B82"/>
    <w:rsid w:val="00D64713"/>
    <w:rsid w:val="00D76F89"/>
    <w:rsid w:val="00D77CBB"/>
    <w:rsid w:val="00D9198A"/>
    <w:rsid w:val="00D9423B"/>
    <w:rsid w:val="00D94913"/>
    <w:rsid w:val="00DA5391"/>
    <w:rsid w:val="00DB55CD"/>
    <w:rsid w:val="00DB6FA3"/>
    <w:rsid w:val="00DC12F5"/>
    <w:rsid w:val="00DE44ED"/>
    <w:rsid w:val="00DE6554"/>
    <w:rsid w:val="00DF196E"/>
    <w:rsid w:val="00E03659"/>
    <w:rsid w:val="00E0547E"/>
    <w:rsid w:val="00E1520B"/>
    <w:rsid w:val="00E24930"/>
    <w:rsid w:val="00E259C9"/>
    <w:rsid w:val="00E512E0"/>
    <w:rsid w:val="00E72A19"/>
    <w:rsid w:val="00E768E8"/>
    <w:rsid w:val="00E77DC1"/>
    <w:rsid w:val="00E841CD"/>
    <w:rsid w:val="00E87120"/>
    <w:rsid w:val="00E90244"/>
    <w:rsid w:val="00E9071B"/>
    <w:rsid w:val="00EA1BAA"/>
    <w:rsid w:val="00EA5199"/>
    <w:rsid w:val="00EB1A9E"/>
    <w:rsid w:val="00EB25D5"/>
    <w:rsid w:val="00EC5AC7"/>
    <w:rsid w:val="00EC5B5B"/>
    <w:rsid w:val="00ED409E"/>
    <w:rsid w:val="00ED6027"/>
    <w:rsid w:val="00ED60D3"/>
    <w:rsid w:val="00ED7B0B"/>
    <w:rsid w:val="00EE5BB7"/>
    <w:rsid w:val="00EE7240"/>
    <w:rsid w:val="00F07059"/>
    <w:rsid w:val="00F15A94"/>
    <w:rsid w:val="00F16B98"/>
    <w:rsid w:val="00F1712C"/>
    <w:rsid w:val="00F21764"/>
    <w:rsid w:val="00F350A0"/>
    <w:rsid w:val="00F411FE"/>
    <w:rsid w:val="00F46AEF"/>
    <w:rsid w:val="00F55B89"/>
    <w:rsid w:val="00F6278E"/>
    <w:rsid w:val="00F64114"/>
    <w:rsid w:val="00F64828"/>
    <w:rsid w:val="00F7400B"/>
    <w:rsid w:val="00F76F80"/>
    <w:rsid w:val="00F814E8"/>
    <w:rsid w:val="00F8229A"/>
    <w:rsid w:val="00F96330"/>
    <w:rsid w:val="00FA0575"/>
    <w:rsid w:val="00FB305B"/>
    <w:rsid w:val="00FB5032"/>
    <w:rsid w:val="00FC7C2E"/>
    <w:rsid w:val="00FD5B13"/>
    <w:rsid w:val="00FE4B12"/>
    <w:rsid w:val="00FE4D4D"/>
    <w:rsid w:val="00FF133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C99"/>
    <w:rPr>
      <w:sz w:val="24"/>
      <w:szCs w:val="24"/>
      <w:lang w:val="en-US" w:eastAsia="en-US"/>
    </w:rPr>
  </w:style>
  <w:style w:type="paragraph" w:styleId="Heading1">
    <w:name w:val="heading 1"/>
    <w:basedOn w:val="Normal"/>
    <w:next w:val="Normal"/>
    <w:qFormat/>
    <w:rsid w:val="00AD4C99"/>
    <w:pPr>
      <w:keepNext/>
      <w:jc w:val="center"/>
      <w:outlineLvl w:val="0"/>
    </w:pPr>
    <w:rPr>
      <w:b/>
      <w:bCs/>
      <w:lang w:val="lt-LT"/>
    </w:rPr>
  </w:style>
  <w:style w:type="paragraph" w:styleId="Heading2">
    <w:name w:val="heading 2"/>
    <w:basedOn w:val="Normal"/>
    <w:next w:val="Normal"/>
    <w:qFormat/>
    <w:rsid w:val="00AD4C99"/>
    <w:pPr>
      <w:keepNext/>
      <w:spacing w:line="360" w:lineRule="auto"/>
      <w:ind w:firstLine="720"/>
      <w:jc w:val="both"/>
      <w:outlineLvl w:val="1"/>
    </w:pPr>
    <w:rPr>
      <w:b/>
      <w:bCs/>
      <w:lang w:val="lt-LT"/>
    </w:rPr>
  </w:style>
  <w:style w:type="paragraph" w:styleId="Heading3">
    <w:name w:val="heading 3"/>
    <w:basedOn w:val="Normal"/>
    <w:next w:val="Normal"/>
    <w:qFormat/>
    <w:rsid w:val="00AD4C99"/>
    <w:pPr>
      <w:keepNext/>
      <w:tabs>
        <w:tab w:val="left" w:pos="1080"/>
      </w:tabs>
      <w:outlineLvl w:val="2"/>
    </w:pPr>
    <w:rPr>
      <w:b/>
      <w:bCs/>
      <w:lang w:val="lt-LT"/>
    </w:rPr>
  </w:style>
  <w:style w:type="paragraph" w:styleId="Heading4">
    <w:name w:val="heading 4"/>
    <w:basedOn w:val="Normal"/>
    <w:next w:val="Normal"/>
    <w:qFormat/>
    <w:rsid w:val="00AD4C99"/>
    <w:pPr>
      <w:keepNext/>
      <w:spacing w:line="360" w:lineRule="auto"/>
      <w:ind w:firstLine="720"/>
      <w:jc w:val="center"/>
      <w:outlineLvl w:val="3"/>
    </w:pPr>
    <w:rPr>
      <w:b/>
      <w:bCs/>
      <w:lang w:val="lt-LT"/>
    </w:rPr>
  </w:style>
  <w:style w:type="paragraph" w:styleId="Heading5">
    <w:name w:val="heading 5"/>
    <w:basedOn w:val="Normal"/>
    <w:next w:val="Normal"/>
    <w:qFormat/>
    <w:rsid w:val="00AD4C99"/>
    <w:pPr>
      <w:keepNext/>
      <w:spacing w:line="360" w:lineRule="auto"/>
      <w:ind w:firstLine="720"/>
      <w:jc w:val="both"/>
      <w:outlineLvl w:val="4"/>
    </w:pPr>
    <w:rPr>
      <w:lang w:val="lt-LT"/>
    </w:rPr>
  </w:style>
  <w:style w:type="paragraph" w:styleId="Heading6">
    <w:name w:val="heading 6"/>
    <w:basedOn w:val="Normal"/>
    <w:next w:val="Normal"/>
    <w:qFormat/>
    <w:rsid w:val="00AD4C99"/>
    <w:pPr>
      <w:keepNext/>
      <w:spacing w:before="240" w:after="240" w:line="360" w:lineRule="auto"/>
      <w:jc w:val="both"/>
      <w:outlineLvl w:val="5"/>
    </w:pPr>
    <w:rPr>
      <w:b/>
      <w:bCs/>
      <w:i/>
      <w:iCs/>
    </w:rPr>
  </w:style>
  <w:style w:type="paragraph" w:styleId="Heading7">
    <w:name w:val="heading 7"/>
    <w:basedOn w:val="Normal"/>
    <w:next w:val="Normal"/>
    <w:qFormat/>
    <w:rsid w:val="00AD4C99"/>
    <w:pPr>
      <w:keepNext/>
      <w:spacing w:line="360" w:lineRule="auto"/>
      <w:outlineLvl w:val="6"/>
    </w:pPr>
    <w:rPr>
      <w:b/>
      <w:bCs/>
      <w:i/>
      <w:iCs/>
      <w:sz w:val="32"/>
      <w:lang w:val="lt-LT"/>
    </w:rPr>
  </w:style>
  <w:style w:type="paragraph" w:styleId="Heading8">
    <w:name w:val="heading 8"/>
    <w:basedOn w:val="Normal"/>
    <w:next w:val="Normal"/>
    <w:link w:val="Heading8Char"/>
    <w:qFormat/>
    <w:rsid w:val="00AD4C99"/>
    <w:pPr>
      <w:keepNext/>
      <w:outlineLvl w:val="7"/>
    </w:pPr>
    <w:rPr>
      <w:b/>
      <w:bCs/>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D4C99"/>
    <w:pPr>
      <w:spacing w:line="360" w:lineRule="auto"/>
      <w:ind w:firstLine="720"/>
      <w:jc w:val="both"/>
    </w:pPr>
    <w:rPr>
      <w:lang w:val="lt-LT"/>
    </w:rPr>
  </w:style>
  <w:style w:type="paragraph" w:customStyle="1" w:styleId="Default">
    <w:name w:val="Default"/>
    <w:rsid w:val="00AD4C99"/>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AD4C99"/>
    <w:pPr>
      <w:tabs>
        <w:tab w:val="center" w:pos="4320"/>
        <w:tab w:val="right" w:pos="8640"/>
      </w:tabs>
    </w:pPr>
  </w:style>
  <w:style w:type="character" w:styleId="PageNumber">
    <w:name w:val="page number"/>
    <w:basedOn w:val="DefaultParagraphFont"/>
    <w:semiHidden/>
    <w:rsid w:val="00AD4C99"/>
  </w:style>
  <w:style w:type="paragraph" w:styleId="BodyText">
    <w:name w:val="Body Text"/>
    <w:basedOn w:val="Normal"/>
    <w:semiHidden/>
    <w:rsid w:val="00AD4C99"/>
    <w:pPr>
      <w:spacing w:line="360" w:lineRule="auto"/>
      <w:jc w:val="both"/>
    </w:pPr>
    <w:rPr>
      <w:lang w:val="lt-LT"/>
    </w:rPr>
  </w:style>
  <w:style w:type="paragraph" w:styleId="NormalWeb">
    <w:name w:val="Normal (Web)"/>
    <w:basedOn w:val="Normal"/>
    <w:uiPriority w:val="99"/>
    <w:rsid w:val="00AD4C99"/>
    <w:pPr>
      <w:spacing w:before="100" w:beforeAutospacing="1" w:after="100" w:afterAutospacing="1"/>
    </w:pPr>
  </w:style>
  <w:style w:type="character" w:styleId="Strong">
    <w:name w:val="Strong"/>
    <w:qFormat/>
    <w:rsid w:val="00AD4C99"/>
    <w:rPr>
      <w:b/>
      <w:bCs/>
    </w:rPr>
  </w:style>
  <w:style w:type="paragraph" w:styleId="BodyTextIndent2">
    <w:name w:val="Body Text Indent 2"/>
    <w:basedOn w:val="Normal"/>
    <w:semiHidden/>
    <w:rsid w:val="00AD4C99"/>
    <w:pPr>
      <w:tabs>
        <w:tab w:val="left" w:pos="5820"/>
      </w:tabs>
      <w:spacing w:line="360" w:lineRule="auto"/>
      <w:ind w:firstLine="720"/>
      <w:jc w:val="both"/>
    </w:pPr>
    <w:rPr>
      <w:b/>
      <w:bCs/>
      <w:i/>
      <w:iCs/>
      <w:noProof/>
      <w:lang w:val="lt-LT"/>
    </w:rPr>
  </w:style>
  <w:style w:type="character" w:styleId="Hyperlink">
    <w:name w:val="Hyperlink"/>
    <w:uiPriority w:val="99"/>
    <w:semiHidden/>
    <w:unhideWhenUsed/>
    <w:rsid w:val="005A4FAD"/>
    <w:rPr>
      <w:color w:val="0000FF"/>
      <w:u w:val="single"/>
    </w:rPr>
  </w:style>
  <w:style w:type="paragraph" w:styleId="ListParagraph">
    <w:name w:val="List Paragraph"/>
    <w:basedOn w:val="Normal"/>
    <w:uiPriority w:val="34"/>
    <w:qFormat/>
    <w:rsid w:val="005C2545"/>
    <w:pPr>
      <w:spacing w:after="200" w:line="276" w:lineRule="auto"/>
      <w:ind w:left="720"/>
      <w:contextualSpacing/>
    </w:pPr>
    <w:rPr>
      <w:rFonts w:ascii="Calibri" w:eastAsia="Calibri" w:hAnsi="Calibri"/>
      <w:sz w:val="22"/>
      <w:szCs w:val="22"/>
      <w:lang w:val="lt-LT"/>
    </w:rPr>
  </w:style>
  <w:style w:type="paragraph" w:styleId="Title">
    <w:name w:val="Title"/>
    <w:basedOn w:val="Normal"/>
    <w:next w:val="Normal"/>
    <w:link w:val="TitleChar"/>
    <w:uiPriority w:val="10"/>
    <w:qFormat/>
    <w:rsid w:val="008869DF"/>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8869DF"/>
    <w:rPr>
      <w:rFonts w:ascii="Cambria" w:eastAsia="MS Gothic" w:hAnsi="Cambria"/>
      <w:color w:val="17365D"/>
      <w:spacing w:val="5"/>
      <w:kern w:val="28"/>
      <w:sz w:val="52"/>
      <w:szCs w:val="52"/>
      <w:lang w:val="en-US" w:eastAsia="ja-JP"/>
    </w:rPr>
  </w:style>
  <w:style w:type="paragraph" w:styleId="Subtitle">
    <w:name w:val="Subtitle"/>
    <w:basedOn w:val="Normal"/>
    <w:next w:val="Normal"/>
    <w:link w:val="SubtitleChar"/>
    <w:uiPriority w:val="11"/>
    <w:qFormat/>
    <w:rsid w:val="008869DF"/>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8869DF"/>
    <w:rPr>
      <w:rFonts w:ascii="Cambria" w:eastAsia="MS Gothic" w:hAnsi="Cambria"/>
      <w:i/>
      <w:iCs/>
      <w:color w:val="4F81BD"/>
      <w:spacing w:val="15"/>
      <w:sz w:val="24"/>
      <w:szCs w:val="24"/>
      <w:lang w:val="en-US" w:eastAsia="ja-JP"/>
    </w:rPr>
  </w:style>
  <w:style w:type="paragraph" w:styleId="BalloonText">
    <w:name w:val="Balloon Text"/>
    <w:basedOn w:val="Normal"/>
    <w:link w:val="BalloonTextChar"/>
    <w:uiPriority w:val="99"/>
    <w:semiHidden/>
    <w:unhideWhenUsed/>
    <w:rsid w:val="008869DF"/>
    <w:rPr>
      <w:rFonts w:ascii="Tahoma" w:hAnsi="Tahoma" w:cs="Tahoma"/>
      <w:sz w:val="16"/>
      <w:szCs w:val="16"/>
    </w:rPr>
  </w:style>
  <w:style w:type="character" w:customStyle="1" w:styleId="BalloonTextChar">
    <w:name w:val="Balloon Text Char"/>
    <w:link w:val="BalloonText"/>
    <w:uiPriority w:val="99"/>
    <w:semiHidden/>
    <w:rsid w:val="008869DF"/>
    <w:rPr>
      <w:rFonts w:ascii="Tahoma" w:hAnsi="Tahoma" w:cs="Tahoma"/>
      <w:sz w:val="16"/>
      <w:szCs w:val="16"/>
      <w:lang w:val="en-US" w:eastAsia="en-US"/>
    </w:rPr>
  </w:style>
  <w:style w:type="paragraph" w:styleId="Header">
    <w:name w:val="header"/>
    <w:basedOn w:val="Normal"/>
    <w:link w:val="HeaderChar"/>
    <w:uiPriority w:val="99"/>
    <w:unhideWhenUsed/>
    <w:rsid w:val="00E841CD"/>
    <w:pPr>
      <w:tabs>
        <w:tab w:val="center" w:pos="4819"/>
        <w:tab w:val="right" w:pos="9638"/>
      </w:tabs>
    </w:pPr>
  </w:style>
  <w:style w:type="character" w:customStyle="1" w:styleId="HeaderChar">
    <w:name w:val="Header Char"/>
    <w:link w:val="Header"/>
    <w:uiPriority w:val="99"/>
    <w:rsid w:val="00E841CD"/>
    <w:rPr>
      <w:sz w:val="24"/>
      <w:szCs w:val="24"/>
      <w:lang w:val="en-US" w:eastAsia="en-US"/>
    </w:rPr>
  </w:style>
  <w:style w:type="paragraph" w:styleId="NoSpacing">
    <w:name w:val="No Spacing"/>
    <w:link w:val="NoSpacingChar"/>
    <w:uiPriority w:val="1"/>
    <w:qFormat/>
    <w:rsid w:val="00B05064"/>
    <w:rPr>
      <w:rFonts w:ascii="Calibri" w:eastAsia="MS Mincho" w:hAnsi="Calibri" w:cs="Arial"/>
      <w:sz w:val="22"/>
      <w:szCs w:val="22"/>
      <w:lang w:val="en-US" w:eastAsia="ja-JP"/>
    </w:rPr>
  </w:style>
  <w:style w:type="character" w:customStyle="1" w:styleId="NoSpacingChar">
    <w:name w:val="No Spacing Char"/>
    <w:link w:val="NoSpacing"/>
    <w:uiPriority w:val="1"/>
    <w:rsid w:val="00B05064"/>
    <w:rPr>
      <w:rFonts w:ascii="Calibri" w:eastAsia="MS Mincho" w:hAnsi="Calibri" w:cs="Arial"/>
      <w:sz w:val="22"/>
      <w:szCs w:val="22"/>
      <w:lang w:val="en-US" w:eastAsia="ja-JP"/>
    </w:rPr>
  </w:style>
  <w:style w:type="table" w:styleId="TableGrid">
    <w:name w:val="Table Grid"/>
    <w:basedOn w:val="TableNormal"/>
    <w:uiPriority w:val="59"/>
    <w:rsid w:val="00B05064"/>
    <w:rPr>
      <w:rFonts w:ascii="Calibri" w:eastAsia="Calibri" w:hAnsi="Calibri" w:cs="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ilius1">
    <w:name w:val="Stilius1"/>
    <w:rsid w:val="000C6C6C"/>
    <w:pPr>
      <w:suppressAutoHyphens/>
      <w:spacing w:before="200" w:line="300" w:lineRule="exact"/>
      <w:ind w:left="851"/>
      <w:jc w:val="both"/>
    </w:pPr>
    <w:rPr>
      <w:rFonts w:ascii="Arial" w:eastAsia="Arial" w:hAnsi="Arial" w:cs="Arial"/>
      <w:lang w:eastAsia="ar-SA"/>
    </w:rPr>
  </w:style>
  <w:style w:type="table" w:styleId="LightList-Accent1">
    <w:name w:val="Light List Accent 1"/>
    <w:basedOn w:val="TableNormal"/>
    <w:uiPriority w:val="61"/>
    <w:rsid w:val="00612AB6"/>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eading8Char">
    <w:name w:val="Heading 8 Char"/>
    <w:link w:val="Heading8"/>
    <w:rsid w:val="007C3CCC"/>
    <w:rPr>
      <w:b/>
      <w:bCs/>
      <w:i/>
      <w:iCs/>
      <w:sz w:val="24"/>
      <w:szCs w:val="24"/>
      <w:lang w:eastAsia="en-US"/>
    </w:rPr>
  </w:style>
  <w:style w:type="character" w:customStyle="1" w:styleId="BodyTextIndentChar">
    <w:name w:val="Body Text Indent Char"/>
    <w:link w:val="BodyTextIndent"/>
    <w:semiHidden/>
    <w:rsid w:val="007C3CCC"/>
    <w:rPr>
      <w:sz w:val="24"/>
      <w:szCs w:val="24"/>
      <w:lang w:eastAsia="en-US"/>
    </w:rPr>
  </w:style>
  <w:style w:type="character" w:customStyle="1" w:styleId="FooterChar">
    <w:name w:val="Footer Char"/>
    <w:link w:val="Footer"/>
    <w:uiPriority w:val="99"/>
    <w:rsid w:val="00EB1A9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6897827">
      <w:bodyDiv w:val="1"/>
      <w:marLeft w:val="0"/>
      <w:marRight w:val="0"/>
      <w:marTop w:val="0"/>
      <w:marBottom w:val="0"/>
      <w:divBdr>
        <w:top w:val="none" w:sz="0" w:space="0" w:color="auto"/>
        <w:left w:val="none" w:sz="0" w:space="0" w:color="auto"/>
        <w:bottom w:val="none" w:sz="0" w:space="0" w:color="auto"/>
        <w:right w:val="none" w:sz="0" w:space="0" w:color="auto"/>
      </w:divBdr>
    </w:div>
    <w:div w:id="125516833">
      <w:bodyDiv w:val="1"/>
      <w:marLeft w:val="0"/>
      <w:marRight w:val="0"/>
      <w:marTop w:val="0"/>
      <w:marBottom w:val="0"/>
      <w:divBdr>
        <w:top w:val="none" w:sz="0" w:space="0" w:color="auto"/>
        <w:left w:val="none" w:sz="0" w:space="0" w:color="auto"/>
        <w:bottom w:val="none" w:sz="0" w:space="0" w:color="auto"/>
        <w:right w:val="none" w:sz="0" w:space="0" w:color="auto"/>
      </w:divBdr>
    </w:div>
    <w:div w:id="536696647">
      <w:bodyDiv w:val="1"/>
      <w:marLeft w:val="0"/>
      <w:marRight w:val="0"/>
      <w:marTop w:val="0"/>
      <w:marBottom w:val="0"/>
      <w:divBdr>
        <w:top w:val="none" w:sz="0" w:space="0" w:color="auto"/>
        <w:left w:val="none" w:sz="0" w:space="0" w:color="auto"/>
        <w:bottom w:val="none" w:sz="0" w:space="0" w:color="auto"/>
        <w:right w:val="none" w:sz="0" w:space="0" w:color="auto"/>
      </w:divBdr>
    </w:div>
    <w:div w:id="975723764">
      <w:bodyDiv w:val="1"/>
      <w:marLeft w:val="0"/>
      <w:marRight w:val="0"/>
      <w:marTop w:val="0"/>
      <w:marBottom w:val="0"/>
      <w:divBdr>
        <w:top w:val="none" w:sz="0" w:space="0" w:color="auto"/>
        <w:left w:val="none" w:sz="0" w:space="0" w:color="auto"/>
        <w:bottom w:val="none" w:sz="0" w:space="0" w:color="auto"/>
        <w:right w:val="none" w:sz="0" w:space="0" w:color="auto"/>
      </w:divBdr>
    </w:div>
    <w:div w:id="1174958861">
      <w:bodyDiv w:val="1"/>
      <w:marLeft w:val="0"/>
      <w:marRight w:val="0"/>
      <w:marTop w:val="0"/>
      <w:marBottom w:val="0"/>
      <w:divBdr>
        <w:top w:val="none" w:sz="0" w:space="0" w:color="auto"/>
        <w:left w:val="none" w:sz="0" w:space="0" w:color="auto"/>
        <w:bottom w:val="none" w:sz="0" w:space="0" w:color="auto"/>
        <w:right w:val="none" w:sz="0" w:space="0" w:color="auto"/>
      </w:divBdr>
    </w:div>
    <w:div w:id="1281297231">
      <w:bodyDiv w:val="1"/>
      <w:marLeft w:val="0"/>
      <w:marRight w:val="0"/>
      <w:marTop w:val="0"/>
      <w:marBottom w:val="0"/>
      <w:divBdr>
        <w:top w:val="none" w:sz="0" w:space="0" w:color="auto"/>
        <w:left w:val="none" w:sz="0" w:space="0" w:color="auto"/>
        <w:bottom w:val="none" w:sz="0" w:space="0" w:color="auto"/>
        <w:right w:val="none" w:sz="0" w:space="0" w:color="auto"/>
      </w:divBdr>
    </w:div>
    <w:div w:id="1421872869">
      <w:bodyDiv w:val="1"/>
      <w:marLeft w:val="0"/>
      <w:marRight w:val="0"/>
      <w:marTop w:val="0"/>
      <w:marBottom w:val="0"/>
      <w:divBdr>
        <w:top w:val="none" w:sz="0" w:space="0" w:color="auto"/>
        <w:left w:val="none" w:sz="0" w:space="0" w:color="auto"/>
        <w:bottom w:val="none" w:sz="0" w:space="0" w:color="auto"/>
        <w:right w:val="none" w:sz="0" w:space="0" w:color="auto"/>
      </w:divBdr>
    </w:div>
    <w:div w:id="1521047822">
      <w:bodyDiv w:val="1"/>
      <w:marLeft w:val="0"/>
      <w:marRight w:val="0"/>
      <w:marTop w:val="0"/>
      <w:marBottom w:val="0"/>
      <w:divBdr>
        <w:top w:val="none" w:sz="0" w:space="0" w:color="auto"/>
        <w:left w:val="none" w:sz="0" w:space="0" w:color="auto"/>
        <w:bottom w:val="none" w:sz="0" w:space="0" w:color="auto"/>
        <w:right w:val="none" w:sz="0" w:space="0" w:color="auto"/>
      </w:divBdr>
    </w:div>
    <w:div w:id="1547908378">
      <w:bodyDiv w:val="1"/>
      <w:marLeft w:val="0"/>
      <w:marRight w:val="0"/>
      <w:marTop w:val="0"/>
      <w:marBottom w:val="0"/>
      <w:divBdr>
        <w:top w:val="none" w:sz="0" w:space="0" w:color="auto"/>
        <w:left w:val="none" w:sz="0" w:space="0" w:color="auto"/>
        <w:bottom w:val="none" w:sz="0" w:space="0" w:color="auto"/>
        <w:right w:val="none" w:sz="0" w:space="0" w:color="auto"/>
      </w:divBdr>
    </w:div>
    <w:div w:id="1647587401">
      <w:bodyDiv w:val="1"/>
      <w:marLeft w:val="0"/>
      <w:marRight w:val="0"/>
      <w:marTop w:val="0"/>
      <w:marBottom w:val="0"/>
      <w:divBdr>
        <w:top w:val="none" w:sz="0" w:space="0" w:color="auto"/>
        <w:left w:val="none" w:sz="0" w:space="0" w:color="auto"/>
        <w:bottom w:val="none" w:sz="0" w:space="0" w:color="auto"/>
        <w:right w:val="none" w:sz="0" w:space="0" w:color="auto"/>
      </w:divBdr>
    </w:div>
    <w:div w:id="1668748895">
      <w:bodyDiv w:val="1"/>
      <w:marLeft w:val="0"/>
      <w:marRight w:val="0"/>
      <w:marTop w:val="0"/>
      <w:marBottom w:val="0"/>
      <w:divBdr>
        <w:top w:val="none" w:sz="0" w:space="0" w:color="auto"/>
        <w:left w:val="none" w:sz="0" w:space="0" w:color="auto"/>
        <w:bottom w:val="none" w:sz="0" w:space="0" w:color="auto"/>
        <w:right w:val="none" w:sz="0" w:space="0" w:color="auto"/>
      </w:divBdr>
      <w:divsChild>
        <w:div w:id="19287402">
          <w:marLeft w:val="0"/>
          <w:marRight w:val="0"/>
          <w:marTop w:val="0"/>
          <w:marBottom w:val="0"/>
          <w:divBdr>
            <w:top w:val="none" w:sz="0" w:space="0" w:color="auto"/>
            <w:left w:val="none" w:sz="0" w:space="0" w:color="auto"/>
            <w:bottom w:val="none" w:sz="0" w:space="0" w:color="auto"/>
            <w:right w:val="none" w:sz="0" w:space="0" w:color="auto"/>
          </w:divBdr>
        </w:div>
        <w:div w:id="50811755">
          <w:marLeft w:val="0"/>
          <w:marRight w:val="0"/>
          <w:marTop w:val="0"/>
          <w:marBottom w:val="0"/>
          <w:divBdr>
            <w:top w:val="none" w:sz="0" w:space="0" w:color="auto"/>
            <w:left w:val="none" w:sz="0" w:space="0" w:color="auto"/>
            <w:bottom w:val="none" w:sz="0" w:space="0" w:color="auto"/>
            <w:right w:val="none" w:sz="0" w:space="0" w:color="auto"/>
          </w:divBdr>
        </w:div>
        <w:div w:id="78911909">
          <w:marLeft w:val="0"/>
          <w:marRight w:val="0"/>
          <w:marTop w:val="0"/>
          <w:marBottom w:val="0"/>
          <w:divBdr>
            <w:top w:val="none" w:sz="0" w:space="0" w:color="auto"/>
            <w:left w:val="none" w:sz="0" w:space="0" w:color="auto"/>
            <w:bottom w:val="none" w:sz="0" w:space="0" w:color="auto"/>
            <w:right w:val="none" w:sz="0" w:space="0" w:color="auto"/>
          </w:divBdr>
        </w:div>
        <w:div w:id="107898045">
          <w:marLeft w:val="0"/>
          <w:marRight w:val="0"/>
          <w:marTop w:val="0"/>
          <w:marBottom w:val="0"/>
          <w:divBdr>
            <w:top w:val="none" w:sz="0" w:space="0" w:color="auto"/>
            <w:left w:val="none" w:sz="0" w:space="0" w:color="auto"/>
            <w:bottom w:val="none" w:sz="0" w:space="0" w:color="auto"/>
            <w:right w:val="none" w:sz="0" w:space="0" w:color="auto"/>
          </w:divBdr>
        </w:div>
        <w:div w:id="140469259">
          <w:marLeft w:val="0"/>
          <w:marRight w:val="0"/>
          <w:marTop w:val="0"/>
          <w:marBottom w:val="0"/>
          <w:divBdr>
            <w:top w:val="none" w:sz="0" w:space="0" w:color="auto"/>
            <w:left w:val="none" w:sz="0" w:space="0" w:color="auto"/>
            <w:bottom w:val="none" w:sz="0" w:space="0" w:color="auto"/>
            <w:right w:val="none" w:sz="0" w:space="0" w:color="auto"/>
          </w:divBdr>
        </w:div>
        <w:div w:id="142082986">
          <w:marLeft w:val="0"/>
          <w:marRight w:val="0"/>
          <w:marTop w:val="0"/>
          <w:marBottom w:val="0"/>
          <w:divBdr>
            <w:top w:val="none" w:sz="0" w:space="0" w:color="auto"/>
            <w:left w:val="none" w:sz="0" w:space="0" w:color="auto"/>
            <w:bottom w:val="none" w:sz="0" w:space="0" w:color="auto"/>
            <w:right w:val="none" w:sz="0" w:space="0" w:color="auto"/>
          </w:divBdr>
        </w:div>
        <w:div w:id="180357427">
          <w:marLeft w:val="0"/>
          <w:marRight w:val="0"/>
          <w:marTop w:val="0"/>
          <w:marBottom w:val="0"/>
          <w:divBdr>
            <w:top w:val="none" w:sz="0" w:space="0" w:color="auto"/>
            <w:left w:val="none" w:sz="0" w:space="0" w:color="auto"/>
            <w:bottom w:val="none" w:sz="0" w:space="0" w:color="auto"/>
            <w:right w:val="none" w:sz="0" w:space="0" w:color="auto"/>
          </w:divBdr>
        </w:div>
        <w:div w:id="260187864">
          <w:marLeft w:val="0"/>
          <w:marRight w:val="0"/>
          <w:marTop w:val="0"/>
          <w:marBottom w:val="0"/>
          <w:divBdr>
            <w:top w:val="none" w:sz="0" w:space="0" w:color="auto"/>
            <w:left w:val="none" w:sz="0" w:space="0" w:color="auto"/>
            <w:bottom w:val="none" w:sz="0" w:space="0" w:color="auto"/>
            <w:right w:val="none" w:sz="0" w:space="0" w:color="auto"/>
          </w:divBdr>
        </w:div>
        <w:div w:id="284583270">
          <w:marLeft w:val="0"/>
          <w:marRight w:val="0"/>
          <w:marTop w:val="0"/>
          <w:marBottom w:val="0"/>
          <w:divBdr>
            <w:top w:val="none" w:sz="0" w:space="0" w:color="auto"/>
            <w:left w:val="none" w:sz="0" w:space="0" w:color="auto"/>
            <w:bottom w:val="none" w:sz="0" w:space="0" w:color="auto"/>
            <w:right w:val="none" w:sz="0" w:space="0" w:color="auto"/>
          </w:divBdr>
        </w:div>
        <w:div w:id="303848695">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429350119">
          <w:marLeft w:val="0"/>
          <w:marRight w:val="0"/>
          <w:marTop w:val="0"/>
          <w:marBottom w:val="0"/>
          <w:divBdr>
            <w:top w:val="none" w:sz="0" w:space="0" w:color="auto"/>
            <w:left w:val="none" w:sz="0" w:space="0" w:color="auto"/>
            <w:bottom w:val="none" w:sz="0" w:space="0" w:color="auto"/>
            <w:right w:val="none" w:sz="0" w:space="0" w:color="auto"/>
          </w:divBdr>
        </w:div>
        <w:div w:id="474759535">
          <w:marLeft w:val="0"/>
          <w:marRight w:val="0"/>
          <w:marTop w:val="0"/>
          <w:marBottom w:val="0"/>
          <w:divBdr>
            <w:top w:val="none" w:sz="0" w:space="0" w:color="auto"/>
            <w:left w:val="none" w:sz="0" w:space="0" w:color="auto"/>
            <w:bottom w:val="none" w:sz="0" w:space="0" w:color="auto"/>
            <w:right w:val="none" w:sz="0" w:space="0" w:color="auto"/>
          </w:divBdr>
        </w:div>
        <w:div w:id="506411250">
          <w:marLeft w:val="0"/>
          <w:marRight w:val="0"/>
          <w:marTop w:val="0"/>
          <w:marBottom w:val="0"/>
          <w:divBdr>
            <w:top w:val="none" w:sz="0" w:space="0" w:color="auto"/>
            <w:left w:val="none" w:sz="0" w:space="0" w:color="auto"/>
            <w:bottom w:val="none" w:sz="0" w:space="0" w:color="auto"/>
            <w:right w:val="none" w:sz="0" w:space="0" w:color="auto"/>
          </w:divBdr>
        </w:div>
        <w:div w:id="537663413">
          <w:marLeft w:val="0"/>
          <w:marRight w:val="0"/>
          <w:marTop w:val="0"/>
          <w:marBottom w:val="0"/>
          <w:divBdr>
            <w:top w:val="none" w:sz="0" w:space="0" w:color="auto"/>
            <w:left w:val="none" w:sz="0" w:space="0" w:color="auto"/>
            <w:bottom w:val="none" w:sz="0" w:space="0" w:color="auto"/>
            <w:right w:val="none" w:sz="0" w:space="0" w:color="auto"/>
          </w:divBdr>
        </w:div>
        <w:div w:id="541669061">
          <w:marLeft w:val="0"/>
          <w:marRight w:val="0"/>
          <w:marTop w:val="0"/>
          <w:marBottom w:val="0"/>
          <w:divBdr>
            <w:top w:val="none" w:sz="0" w:space="0" w:color="auto"/>
            <w:left w:val="none" w:sz="0" w:space="0" w:color="auto"/>
            <w:bottom w:val="none" w:sz="0" w:space="0" w:color="auto"/>
            <w:right w:val="none" w:sz="0" w:space="0" w:color="auto"/>
          </w:divBdr>
        </w:div>
        <w:div w:id="557056263">
          <w:marLeft w:val="0"/>
          <w:marRight w:val="0"/>
          <w:marTop w:val="0"/>
          <w:marBottom w:val="0"/>
          <w:divBdr>
            <w:top w:val="none" w:sz="0" w:space="0" w:color="auto"/>
            <w:left w:val="none" w:sz="0" w:space="0" w:color="auto"/>
            <w:bottom w:val="none" w:sz="0" w:space="0" w:color="auto"/>
            <w:right w:val="none" w:sz="0" w:space="0" w:color="auto"/>
          </w:divBdr>
        </w:div>
        <w:div w:id="577598541">
          <w:marLeft w:val="0"/>
          <w:marRight w:val="0"/>
          <w:marTop w:val="0"/>
          <w:marBottom w:val="0"/>
          <w:divBdr>
            <w:top w:val="none" w:sz="0" w:space="0" w:color="auto"/>
            <w:left w:val="none" w:sz="0" w:space="0" w:color="auto"/>
            <w:bottom w:val="none" w:sz="0" w:space="0" w:color="auto"/>
            <w:right w:val="none" w:sz="0" w:space="0" w:color="auto"/>
          </w:divBdr>
        </w:div>
        <w:div w:id="660474607">
          <w:marLeft w:val="0"/>
          <w:marRight w:val="0"/>
          <w:marTop w:val="0"/>
          <w:marBottom w:val="0"/>
          <w:divBdr>
            <w:top w:val="none" w:sz="0" w:space="0" w:color="auto"/>
            <w:left w:val="none" w:sz="0" w:space="0" w:color="auto"/>
            <w:bottom w:val="none" w:sz="0" w:space="0" w:color="auto"/>
            <w:right w:val="none" w:sz="0" w:space="0" w:color="auto"/>
          </w:divBdr>
        </w:div>
        <w:div w:id="665669741">
          <w:marLeft w:val="0"/>
          <w:marRight w:val="0"/>
          <w:marTop w:val="0"/>
          <w:marBottom w:val="0"/>
          <w:divBdr>
            <w:top w:val="none" w:sz="0" w:space="0" w:color="auto"/>
            <w:left w:val="none" w:sz="0" w:space="0" w:color="auto"/>
            <w:bottom w:val="none" w:sz="0" w:space="0" w:color="auto"/>
            <w:right w:val="none" w:sz="0" w:space="0" w:color="auto"/>
          </w:divBdr>
        </w:div>
        <w:div w:id="779302242">
          <w:marLeft w:val="0"/>
          <w:marRight w:val="0"/>
          <w:marTop w:val="0"/>
          <w:marBottom w:val="0"/>
          <w:divBdr>
            <w:top w:val="none" w:sz="0" w:space="0" w:color="auto"/>
            <w:left w:val="none" w:sz="0" w:space="0" w:color="auto"/>
            <w:bottom w:val="none" w:sz="0" w:space="0" w:color="auto"/>
            <w:right w:val="none" w:sz="0" w:space="0" w:color="auto"/>
          </w:divBdr>
        </w:div>
        <w:div w:id="787941417">
          <w:marLeft w:val="0"/>
          <w:marRight w:val="0"/>
          <w:marTop w:val="0"/>
          <w:marBottom w:val="0"/>
          <w:divBdr>
            <w:top w:val="none" w:sz="0" w:space="0" w:color="auto"/>
            <w:left w:val="none" w:sz="0" w:space="0" w:color="auto"/>
            <w:bottom w:val="none" w:sz="0" w:space="0" w:color="auto"/>
            <w:right w:val="none" w:sz="0" w:space="0" w:color="auto"/>
          </w:divBdr>
        </w:div>
        <w:div w:id="961418478">
          <w:marLeft w:val="0"/>
          <w:marRight w:val="0"/>
          <w:marTop w:val="0"/>
          <w:marBottom w:val="0"/>
          <w:divBdr>
            <w:top w:val="none" w:sz="0" w:space="0" w:color="auto"/>
            <w:left w:val="none" w:sz="0" w:space="0" w:color="auto"/>
            <w:bottom w:val="none" w:sz="0" w:space="0" w:color="auto"/>
            <w:right w:val="none" w:sz="0" w:space="0" w:color="auto"/>
          </w:divBdr>
        </w:div>
        <w:div w:id="998653659">
          <w:marLeft w:val="0"/>
          <w:marRight w:val="0"/>
          <w:marTop w:val="0"/>
          <w:marBottom w:val="0"/>
          <w:divBdr>
            <w:top w:val="none" w:sz="0" w:space="0" w:color="auto"/>
            <w:left w:val="none" w:sz="0" w:space="0" w:color="auto"/>
            <w:bottom w:val="none" w:sz="0" w:space="0" w:color="auto"/>
            <w:right w:val="none" w:sz="0" w:space="0" w:color="auto"/>
          </w:divBdr>
        </w:div>
        <w:div w:id="1027682042">
          <w:marLeft w:val="0"/>
          <w:marRight w:val="0"/>
          <w:marTop w:val="0"/>
          <w:marBottom w:val="0"/>
          <w:divBdr>
            <w:top w:val="none" w:sz="0" w:space="0" w:color="auto"/>
            <w:left w:val="none" w:sz="0" w:space="0" w:color="auto"/>
            <w:bottom w:val="none" w:sz="0" w:space="0" w:color="auto"/>
            <w:right w:val="none" w:sz="0" w:space="0" w:color="auto"/>
          </w:divBdr>
        </w:div>
        <w:div w:id="1149520518">
          <w:marLeft w:val="0"/>
          <w:marRight w:val="0"/>
          <w:marTop w:val="0"/>
          <w:marBottom w:val="0"/>
          <w:divBdr>
            <w:top w:val="none" w:sz="0" w:space="0" w:color="auto"/>
            <w:left w:val="none" w:sz="0" w:space="0" w:color="auto"/>
            <w:bottom w:val="none" w:sz="0" w:space="0" w:color="auto"/>
            <w:right w:val="none" w:sz="0" w:space="0" w:color="auto"/>
          </w:divBdr>
        </w:div>
        <w:div w:id="1180772540">
          <w:marLeft w:val="0"/>
          <w:marRight w:val="0"/>
          <w:marTop w:val="0"/>
          <w:marBottom w:val="0"/>
          <w:divBdr>
            <w:top w:val="none" w:sz="0" w:space="0" w:color="auto"/>
            <w:left w:val="none" w:sz="0" w:space="0" w:color="auto"/>
            <w:bottom w:val="none" w:sz="0" w:space="0" w:color="auto"/>
            <w:right w:val="none" w:sz="0" w:space="0" w:color="auto"/>
          </w:divBdr>
        </w:div>
        <w:div w:id="1233078510">
          <w:marLeft w:val="0"/>
          <w:marRight w:val="0"/>
          <w:marTop w:val="0"/>
          <w:marBottom w:val="0"/>
          <w:divBdr>
            <w:top w:val="none" w:sz="0" w:space="0" w:color="auto"/>
            <w:left w:val="none" w:sz="0" w:space="0" w:color="auto"/>
            <w:bottom w:val="none" w:sz="0" w:space="0" w:color="auto"/>
            <w:right w:val="none" w:sz="0" w:space="0" w:color="auto"/>
          </w:divBdr>
        </w:div>
        <w:div w:id="1238592954">
          <w:marLeft w:val="0"/>
          <w:marRight w:val="0"/>
          <w:marTop w:val="0"/>
          <w:marBottom w:val="0"/>
          <w:divBdr>
            <w:top w:val="none" w:sz="0" w:space="0" w:color="auto"/>
            <w:left w:val="none" w:sz="0" w:space="0" w:color="auto"/>
            <w:bottom w:val="none" w:sz="0" w:space="0" w:color="auto"/>
            <w:right w:val="none" w:sz="0" w:space="0" w:color="auto"/>
          </w:divBdr>
        </w:div>
        <w:div w:id="1369338098">
          <w:marLeft w:val="0"/>
          <w:marRight w:val="0"/>
          <w:marTop w:val="0"/>
          <w:marBottom w:val="0"/>
          <w:divBdr>
            <w:top w:val="none" w:sz="0" w:space="0" w:color="auto"/>
            <w:left w:val="none" w:sz="0" w:space="0" w:color="auto"/>
            <w:bottom w:val="none" w:sz="0" w:space="0" w:color="auto"/>
            <w:right w:val="none" w:sz="0" w:space="0" w:color="auto"/>
          </w:divBdr>
        </w:div>
        <w:div w:id="1481842950">
          <w:marLeft w:val="0"/>
          <w:marRight w:val="0"/>
          <w:marTop w:val="0"/>
          <w:marBottom w:val="0"/>
          <w:divBdr>
            <w:top w:val="none" w:sz="0" w:space="0" w:color="auto"/>
            <w:left w:val="none" w:sz="0" w:space="0" w:color="auto"/>
            <w:bottom w:val="none" w:sz="0" w:space="0" w:color="auto"/>
            <w:right w:val="none" w:sz="0" w:space="0" w:color="auto"/>
          </w:divBdr>
        </w:div>
        <w:div w:id="1652522388">
          <w:marLeft w:val="0"/>
          <w:marRight w:val="0"/>
          <w:marTop w:val="0"/>
          <w:marBottom w:val="0"/>
          <w:divBdr>
            <w:top w:val="none" w:sz="0" w:space="0" w:color="auto"/>
            <w:left w:val="none" w:sz="0" w:space="0" w:color="auto"/>
            <w:bottom w:val="none" w:sz="0" w:space="0" w:color="auto"/>
            <w:right w:val="none" w:sz="0" w:space="0" w:color="auto"/>
          </w:divBdr>
        </w:div>
        <w:div w:id="1690984221">
          <w:marLeft w:val="0"/>
          <w:marRight w:val="0"/>
          <w:marTop w:val="0"/>
          <w:marBottom w:val="0"/>
          <w:divBdr>
            <w:top w:val="none" w:sz="0" w:space="0" w:color="auto"/>
            <w:left w:val="none" w:sz="0" w:space="0" w:color="auto"/>
            <w:bottom w:val="none" w:sz="0" w:space="0" w:color="auto"/>
            <w:right w:val="none" w:sz="0" w:space="0" w:color="auto"/>
          </w:divBdr>
        </w:div>
        <w:div w:id="1813058415">
          <w:marLeft w:val="0"/>
          <w:marRight w:val="0"/>
          <w:marTop w:val="0"/>
          <w:marBottom w:val="0"/>
          <w:divBdr>
            <w:top w:val="none" w:sz="0" w:space="0" w:color="auto"/>
            <w:left w:val="none" w:sz="0" w:space="0" w:color="auto"/>
            <w:bottom w:val="none" w:sz="0" w:space="0" w:color="auto"/>
            <w:right w:val="none" w:sz="0" w:space="0" w:color="auto"/>
          </w:divBdr>
        </w:div>
        <w:div w:id="1958828150">
          <w:marLeft w:val="0"/>
          <w:marRight w:val="0"/>
          <w:marTop w:val="0"/>
          <w:marBottom w:val="0"/>
          <w:divBdr>
            <w:top w:val="none" w:sz="0" w:space="0" w:color="auto"/>
            <w:left w:val="none" w:sz="0" w:space="0" w:color="auto"/>
            <w:bottom w:val="none" w:sz="0" w:space="0" w:color="auto"/>
            <w:right w:val="none" w:sz="0" w:space="0" w:color="auto"/>
          </w:divBdr>
        </w:div>
        <w:div w:id="2052921272">
          <w:marLeft w:val="0"/>
          <w:marRight w:val="0"/>
          <w:marTop w:val="0"/>
          <w:marBottom w:val="0"/>
          <w:divBdr>
            <w:top w:val="none" w:sz="0" w:space="0" w:color="auto"/>
            <w:left w:val="none" w:sz="0" w:space="0" w:color="auto"/>
            <w:bottom w:val="none" w:sz="0" w:space="0" w:color="auto"/>
            <w:right w:val="none" w:sz="0" w:space="0" w:color="auto"/>
          </w:divBdr>
        </w:div>
        <w:div w:id="2129086209">
          <w:marLeft w:val="0"/>
          <w:marRight w:val="0"/>
          <w:marTop w:val="0"/>
          <w:marBottom w:val="0"/>
          <w:divBdr>
            <w:top w:val="none" w:sz="0" w:space="0" w:color="auto"/>
            <w:left w:val="none" w:sz="0" w:space="0" w:color="auto"/>
            <w:bottom w:val="none" w:sz="0" w:space="0" w:color="auto"/>
            <w:right w:val="none" w:sz="0" w:space="0" w:color="auto"/>
          </w:divBdr>
        </w:div>
        <w:div w:id="2146848711">
          <w:marLeft w:val="0"/>
          <w:marRight w:val="0"/>
          <w:marTop w:val="0"/>
          <w:marBottom w:val="0"/>
          <w:divBdr>
            <w:top w:val="none" w:sz="0" w:space="0" w:color="auto"/>
            <w:left w:val="none" w:sz="0" w:space="0" w:color="auto"/>
            <w:bottom w:val="none" w:sz="0" w:space="0" w:color="auto"/>
            <w:right w:val="none" w:sz="0" w:space="0" w:color="auto"/>
          </w:divBdr>
        </w:div>
      </w:divsChild>
    </w:div>
    <w:div w:id="1860394006">
      <w:bodyDiv w:val="1"/>
      <w:marLeft w:val="0"/>
      <w:marRight w:val="0"/>
      <w:marTop w:val="0"/>
      <w:marBottom w:val="0"/>
      <w:divBdr>
        <w:top w:val="none" w:sz="0" w:space="0" w:color="auto"/>
        <w:left w:val="none" w:sz="0" w:space="0" w:color="auto"/>
        <w:bottom w:val="none" w:sz="0" w:space="0" w:color="auto"/>
        <w:right w:val="none" w:sz="0" w:space="0" w:color="auto"/>
      </w:divBdr>
    </w:div>
    <w:div w:id="2009281893">
      <w:bodyDiv w:val="1"/>
      <w:marLeft w:val="0"/>
      <w:marRight w:val="0"/>
      <w:marTop w:val="0"/>
      <w:marBottom w:val="0"/>
      <w:divBdr>
        <w:top w:val="none" w:sz="0" w:space="0" w:color="auto"/>
        <w:left w:val="none" w:sz="0" w:space="0" w:color="auto"/>
        <w:bottom w:val="none" w:sz="0" w:space="0" w:color="auto"/>
        <w:right w:val="none" w:sz="0" w:space="0" w:color="auto"/>
      </w:divBdr>
    </w:div>
    <w:div w:id="20343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Evaldas\Desktop\kubai%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visko\2015%20metinis\Book1_13.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autoTitleDeleted val="1"/>
    <c:view3D>
      <c:perspective val="30"/>
    </c:view3D>
    <c:plotArea>
      <c:layout/>
      <c:bar3DChart>
        <c:barDir val="col"/>
        <c:grouping val="clustered"/>
        <c:ser>
          <c:idx val="0"/>
          <c:order val="0"/>
          <c:dLbls>
            <c:dLbl>
              <c:idx val="2"/>
              <c:layout>
                <c:manualLayout>
                  <c:x val="9.1018384638676727E-3"/>
                  <c:y val="1.863571865640871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C5-4B6F-85E2-6C06FF667A83}"/>
                </c:ext>
              </c:extLst>
            </c:dLbl>
            <c:dLbl>
              <c:idx val="3"/>
              <c:layout>
                <c:manualLayout>
                  <c:x val="0"/>
                  <c:y val="-1.86357186564086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C5-4B6F-85E2-6C06FF667A83}"/>
                </c:ext>
              </c:extLst>
            </c:dLbl>
            <c:spPr>
              <a:noFill/>
              <a:ln>
                <a:noFill/>
              </a:ln>
              <a:effectLst/>
            </c:spPr>
            <c:txPr>
              <a:bodyPr/>
              <a:lstStyle/>
              <a:p>
                <a:pPr>
                  <a:defRPr lang="en-US"/>
                </a:pPr>
                <a:endParaRPr lang="lt-LT"/>
              </a:p>
            </c:txPr>
            <c:showVal val="1"/>
            <c:extLst xmlns:c16r2="http://schemas.microsoft.com/office/drawing/2015/06/chart">
              <c:ext xmlns:c15="http://schemas.microsoft.com/office/drawing/2012/chart" uri="{CE6537A1-D6FC-4f65-9D91-7224C49458BB}">
                <c15:showLeaderLines val="0"/>
              </c:ext>
            </c:extLst>
          </c:dLbls>
          <c:cat>
            <c:strRef>
              <c:f>Sheet1!$A$7:$E$7</c:f>
              <c:strCache>
                <c:ptCount val="5"/>
                <c:pt idx="0">
                  <c:v>2011 m.</c:v>
                </c:pt>
                <c:pt idx="1">
                  <c:v>2012 m.</c:v>
                </c:pt>
                <c:pt idx="2">
                  <c:v>2013 m.</c:v>
                </c:pt>
                <c:pt idx="3">
                  <c:v>2014 m.</c:v>
                </c:pt>
                <c:pt idx="4">
                  <c:v>2015 m.</c:v>
                </c:pt>
              </c:strCache>
            </c:strRef>
          </c:cat>
          <c:val>
            <c:numRef>
              <c:f>Sheet1!$A$8:$E$8</c:f>
              <c:numCache>
                <c:formatCode>0</c:formatCode>
                <c:ptCount val="5"/>
                <c:pt idx="0">
                  <c:v>375233</c:v>
                </c:pt>
                <c:pt idx="1">
                  <c:v>376091.3</c:v>
                </c:pt>
                <c:pt idx="2">
                  <c:v>367023</c:v>
                </c:pt>
                <c:pt idx="3">
                  <c:v>373629.3</c:v>
                </c:pt>
                <c:pt idx="4">
                  <c:v>381426.04</c:v>
                </c:pt>
              </c:numCache>
            </c:numRef>
          </c:val>
          <c:extLst xmlns:c16r2="http://schemas.microsoft.com/office/drawing/2015/06/chart">
            <c:ext xmlns:c16="http://schemas.microsoft.com/office/drawing/2014/chart" uri="{C3380CC4-5D6E-409C-BE32-E72D297353CC}">
              <c16:uniqueId val="{00000002-14C5-4B6F-85E2-6C06FF667A83}"/>
            </c:ext>
          </c:extLst>
        </c:ser>
        <c:gapWidth val="300"/>
        <c:shape val="cylinder"/>
        <c:axId val="105058688"/>
        <c:axId val="105060224"/>
        <c:axId val="0"/>
      </c:bar3DChart>
      <c:catAx>
        <c:axId val="105058688"/>
        <c:scaling>
          <c:orientation val="minMax"/>
        </c:scaling>
        <c:axPos val="b"/>
        <c:numFmt formatCode="General" sourceLinked="0"/>
        <c:majorTickMark val="none"/>
        <c:tickLblPos val="nextTo"/>
        <c:txPr>
          <a:bodyPr/>
          <a:lstStyle/>
          <a:p>
            <a:pPr>
              <a:defRPr lang="lt-LT"/>
            </a:pPr>
            <a:endParaRPr lang="lt-LT"/>
          </a:p>
        </c:txPr>
        <c:crossAx val="105060224"/>
        <c:crosses val="autoZero"/>
        <c:auto val="1"/>
        <c:lblAlgn val="ctr"/>
        <c:lblOffset val="100"/>
      </c:catAx>
      <c:valAx>
        <c:axId val="105060224"/>
        <c:scaling>
          <c:orientation val="minMax"/>
        </c:scaling>
        <c:axPos val="l"/>
        <c:majorGridlines/>
        <c:minorGridlines/>
        <c:numFmt formatCode="0" sourceLinked="1"/>
        <c:tickLblPos val="nextTo"/>
        <c:txPr>
          <a:bodyPr/>
          <a:lstStyle/>
          <a:p>
            <a:pPr>
              <a:defRPr lang="lt-LT"/>
            </a:pPr>
            <a:endParaRPr lang="lt-LT"/>
          </a:p>
        </c:txPr>
        <c:crossAx val="105058688"/>
        <c:crosses val="autoZero"/>
        <c:crossBetween val="between"/>
        <c:majorUnit val="10000"/>
        <c:minorUnit val="2000"/>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a:lstStyle/>
          <a:p>
            <a:pPr>
              <a:defRPr lang="en-US"/>
            </a:pPr>
            <a:r>
              <a:rPr lang="lt-LT" sz="1200" b="1" i="0" baseline="0">
                <a:effectLst/>
              </a:rPr>
              <a:t>Pašalinta nuotekų m</a:t>
            </a:r>
            <a:r>
              <a:rPr lang="lt-LT" sz="1200" b="1" i="0" baseline="30000">
                <a:effectLst/>
              </a:rPr>
              <a:t>3</a:t>
            </a:r>
            <a:r>
              <a:rPr lang="lt-LT" sz="1200" b="1" i="0" baseline="0">
                <a:effectLst/>
              </a:rPr>
              <a:t> 2008 - 2015 m.</a:t>
            </a:r>
            <a:endParaRPr lang="lt-LT" sz="1200">
              <a:effectLst/>
            </a:endParaRPr>
          </a:p>
        </c:rich>
      </c:tx>
    </c:title>
    <c:plotArea>
      <c:layout/>
      <c:barChart>
        <c:barDir val="bar"/>
        <c:grouping val="stacked"/>
        <c:ser>
          <c:idx val="0"/>
          <c:order val="0"/>
          <c:tx>
            <c:strRef>
              <c:f>'lentele rodikliu'!$A$12:$B$12</c:f>
              <c:strCache>
                <c:ptCount val="1"/>
                <c:pt idx="0">
                  <c:v>Iš viso pašalinta nuotekų (gyventojai) m3</c:v>
                </c:pt>
              </c:strCache>
            </c:strRef>
          </c:tx>
          <c:spPr>
            <a:solidFill>
              <a:schemeClr val="accent4">
                <a:lumMod val="60000"/>
                <a:lumOff val="40000"/>
              </a:schemeClr>
            </a:solidFill>
            <a:ln>
              <a:solidFill>
                <a:schemeClr val="accent4">
                  <a:lumMod val="75000"/>
                </a:schemeClr>
              </a:solidFill>
            </a:ln>
          </c:spPr>
          <c:dLbls>
            <c:spPr>
              <a:noFill/>
              <a:ln>
                <a:noFill/>
              </a:ln>
              <a:effectLst/>
            </c:spPr>
            <c:txPr>
              <a:bodyPr/>
              <a:lstStyle/>
              <a:p>
                <a:pPr>
                  <a:defRPr lang="en-US"/>
                </a:pPr>
                <a:endParaRPr lang="lt-LT"/>
              </a:p>
            </c:txPr>
            <c:showVal val="1"/>
            <c:extLst xmlns:c16r2="http://schemas.microsoft.com/office/drawing/2015/06/chart">
              <c:ext xmlns:c15="http://schemas.microsoft.com/office/drawing/2012/chart" uri="{CE6537A1-D6FC-4f65-9D91-7224C49458BB}">
                <c15:showLeaderLines val="0"/>
              </c:ext>
            </c:extLst>
          </c:dLbls>
          <c:cat>
            <c:strRef>
              <c:f>'lentele rodikliu'!$C$2:$J$2</c:f>
              <c:strCache>
                <c:ptCount val="8"/>
                <c:pt idx="0">
                  <c:v>2008 m.</c:v>
                </c:pt>
                <c:pt idx="1">
                  <c:v>2009 m.</c:v>
                </c:pt>
                <c:pt idx="2">
                  <c:v>2010 m.</c:v>
                </c:pt>
                <c:pt idx="3">
                  <c:v>2011 m.</c:v>
                </c:pt>
                <c:pt idx="4">
                  <c:v>2012 m.</c:v>
                </c:pt>
                <c:pt idx="5">
                  <c:v>2013 m.</c:v>
                </c:pt>
                <c:pt idx="6">
                  <c:v>2014 m.</c:v>
                </c:pt>
                <c:pt idx="7">
                  <c:v>2015 m.</c:v>
                </c:pt>
              </c:strCache>
            </c:strRef>
          </c:cat>
          <c:val>
            <c:numRef>
              <c:f>'lentele rodikliu'!$C$12:$J$12</c:f>
              <c:numCache>
                <c:formatCode>General</c:formatCode>
                <c:ptCount val="8"/>
                <c:pt idx="0">
                  <c:v>157460</c:v>
                </c:pt>
                <c:pt idx="1">
                  <c:v>160442</c:v>
                </c:pt>
                <c:pt idx="2">
                  <c:v>141602</c:v>
                </c:pt>
                <c:pt idx="3">
                  <c:v>156636.5</c:v>
                </c:pt>
                <c:pt idx="4">
                  <c:v>165438.6</c:v>
                </c:pt>
                <c:pt idx="5">
                  <c:v>145846.20000000001</c:v>
                </c:pt>
                <c:pt idx="6">
                  <c:v>150299.70000000001</c:v>
                </c:pt>
                <c:pt idx="7">
                  <c:v>149800</c:v>
                </c:pt>
              </c:numCache>
            </c:numRef>
          </c:val>
          <c:extLst xmlns:c16r2="http://schemas.microsoft.com/office/drawing/2015/06/chart">
            <c:ext xmlns:c16="http://schemas.microsoft.com/office/drawing/2014/chart" uri="{C3380CC4-5D6E-409C-BE32-E72D297353CC}">
              <c16:uniqueId val="{00000000-A15E-4149-8875-1EE550D63675}"/>
            </c:ext>
          </c:extLst>
        </c:ser>
        <c:ser>
          <c:idx val="1"/>
          <c:order val="1"/>
          <c:tx>
            <c:strRef>
              <c:f>'lentele rodikliu'!$A$13:$B$13</c:f>
              <c:strCache>
                <c:ptCount val="1"/>
                <c:pt idx="0">
                  <c:v>Iš viso pašalinta nuotekų (įmonės) m3</c:v>
                </c:pt>
              </c:strCache>
            </c:strRef>
          </c:tx>
          <c:spPr>
            <a:solidFill>
              <a:srgbClr val="FF0000"/>
            </a:solidFill>
            <a:ln>
              <a:solidFill>
                <a:srgbClr val="FF0000"/>
              </a:solidFill>
            </a:ln>
          </c:spPr>
          <c:dLbls>
            <c:spPr>
              <a:noFill/>
              <a:ln>
                <a:noFill/>
              </a:ln>
              <a:effectLst/>
            </c:spPr>
            <c:txPr>
              <a:bodyPr/>
              <a:lstStyle/>
              <a:p>
                <a:pPr>
                  <a:defRPr lang="en-US"/>
                </a:pPr>
                <a:endParaRPr lang="lt-LT"/>
              </a:p>
            </c:txPr>
            <c:showVal val="1"/>
            <c:extLst xmlns:c16r2="http://schemas.microsoft.com/office/drawing/2015/06/chart">
              <c:ext xmlns:c15="http://schemas.microsoft.com/office/drawing/2012/chart" uri="{CE6537A1-D6FC-4f65-9D91-7224C49458BB}">
                <c15:showLeaderLines val="0"/>
              </c:ext>
            </c:extLst>
          </c:dLbls>
          <c:cat>
            <c:strRef>
              <c:f>'lentele rodikliu'!$C$2:$J$2</c:f>
              <c:strCache>
                <c:ptCount val="8"/>
                <c:pt idx="0">
                  <c:v>2008 m.</c:v>
                </c:pt>
                <c:pt idx="1">
                  <c:v>2009 m.</c:v>
                </c:pt>
                <c:pt idx="2">
                  <c:v>2010 m.</c:v>
                </c:pt>
                <c:pt idx="3">
                  <c:v>2011 m.</c:v>
                </c:pt>
                <c:pt idx="4">
                  <c:v>2012 m.</c:v>
                </c:pt>
                <c:pt idx="5">
                  <c:v>2013 m.</c:v>
                </c:pt>
                <c:pt idx="6">
                  <c:v>2014 m.</c:v>
                </c:pt>
                <c:pt idx="7">
                  <c:v>2015 m.</c:v>
                </c:pt>
              </c:strCache>
            </c:strRef>
          </c:cat>
          <c:val>
            <c:numRef>
              <c:f>'lentele rodikliu'!$C$13:$J$13</c:f>
              <c:numCache>
                <c:formatCode>General</c:formatCode>
                <c:ptCount val="8"/>
                <c:pt idx="0">
                  <c:v>110535</c:v>
                </c:pt>
                <c:pt idx="1">
                  <c:v>96303</c:v>
                </c:pt>
                <c:pt idx="2">
                  <c:v>110567</c:v>
                </c:pt>
                <c:pt idx="3">
                  <c:v>97538</c:v>
                </c:pt>
                <c:pt idx="4">
                  <c:v>93782</c:v>
                </c:pt>
                <c:pt idx="5">
                  <c:v>101446.5</c:v>
                </c:pt>
                <c:pt idx="6">
                  <c:v>98813.6</c:v>
                </c:pt>
                <c:pt idx="7">
                  <c:v>113700</c:v>
                </c:pt>
              </c:numCache>
            </c:numRef>
          </c:val>
          <c:extLst xmlns:c16r2="http://schemas.microsoft.com/office/drawing/2015/06/chart">
            <c:ext xmlns:c16="http://schemas.microsoft.com/office/drawing/2014/chart" uri="{C3380CC4-5D6E-409C-BE32-E72D297353CC}">
              <c16:uniqueId val="{00000001-A15E-4149-8875-1EE550D63675}"/>
            </c:ext>
          </c:extLst>
        </c:ser>
        <c:gapWidth val="75"/>
        <c:overlap val="100"/>
        <c:axId val="105249024"/>
        <c:axId val="105598976"/>
      </c:barChart>
      <c:catAx>
        <c:axId val="105249024"/>
        <c:scaling>
          <c:orientation val="minMax"/>
        </c:scaling>
        <c:axPos val="l"/>
        <c:numFmt formatCode="General" sourceLinked="1"/>
        <c:majorTickMark val="none"/>
        <c:tickLblPos val="nextTo"/>
        <c:txPr>
          <a:bodyPr/>
          <a:lstStyle/>
          <a:p>
            <a:pPr>
              <a:defRPr lang="en-US"/>
            </a:pPr>
            <a:endParaRPr lang="lt-LT"/>
          </a:p>
        </c:txPr>
        <c:crossAx val="105598976"/>
        <c:crosses val="autoZero"/>
        <c:auto val="1"/>
        <c:lblAlgn val="ctr"/>
        <c:lblOffset val="100"/>
      </c:catAx>
      <c:valAx>
        <c:axId val="105598976"/>
        <c:scaling>
          <c:orientation val="minMax"/>
        </c:scaling>
        <c:axPos val="b"/>
        <c:majorGridlines/>
        <c:numFmt formatCode="General" sourceLinked="1"/>
        <c:majorTickMark val="none"/>
        <c:tickLblPos val="nextTo"/>
        <c:spPr>
          <a:ln w="9525">
            <a:noFill/>
          </a:ln>
        </c:spPr>
        <c:txPr>
          <a:bodyPr/>
          <a:lstStyle/>
          <a:p>
            <a:pPr>
              <a:defRPr lang="en-US"/>
            </a:pPr>
            <a:endParaRPr lang="lt-LT"/>
          </a:p>
        </c:txPr>
        <c:crossAx val="105249024"/>
        <c:crosses val="autoZero"/>
        <c:crossBetween val="between"/>
        <c:dispUnits>
          <c:builtInUnit val="thousands"/>
          <c:dispUnitsLbl>
            <c:layout>
              <c:manualLayout>
                <c:xMode val="edge"/>
                <c:yMode val="edge"/>
                <c:x val="0.41153469023919181"/>
                <c:y val="0.81996767172396112"/>
              </c:manualLayout>
            </c:layout>
            <c:tx>
              <c:rich>
                <a:bodyPr/>
                <a:lstStyle/>
                <a:p>
                  <a:pPr>
                    <a:defRPr lang="en-US"/>
                  </a:pPr>
                  <a:r>
                    <a:rPr lang="lt-LT"/>
                    <a:t>Tūkst. m3</a:t>
                  </a:r>
                </a:p>
              </c:rich>
            </c:tx>
          </c:dispUnitsLbl>
        </c:dispUnits>
      </c:valAx>
      <c:spPr>
        <a:noFill/>
      </c:spPr>
    </c:plotArea>
    <c:legend>
      <c:legendPos val="b"/>
      <c:txPr>
        <a:bodyPr/>
        <a:lstStyle/>
        <a:p>
          <a:pPr>
            <a:defRPr lang="en-US"/>
          </a:pPr>
          <a:endParaRPr lang="lt-LT"/>
        </a:p>
      </c:txPr>
    </c:legend>
    <c:plotVisOnly val="1"/>
    <c:dispBlanksAs val="gap"/>
  </c:chart>
  <c:spPr>
    <a:noFill/>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2014-03-07T00:00:00</PublishDate>
  <Abstract>Metinis pranešimas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19613</Words>
  <Characters>11180</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UŽDAROSIOS AKCINĖS BENDROVĖS „PRIENŲ VANDENYS“ 2013 M. METINIS PRANEŠIMAS</vt:lpstr>
      <vt:lpstr>UŽDAROSIOS AKCINĖS BENDROVĖS „PRIENŲ VANDENYS“ 2013 M. METINIS PRANEŠIMAS</vt:lpstr>
    </vt:vector>
  </TitlesOfParts>
  <Company>UAB „Prienu vandenys“</Company>
  <LinksUpToDate>false</LinksUpToDate>
  <CharactersWithSpaces>30732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„PRIENŲ VANDENYS“ 2013 M. METINIS PRANEŠIMAS</dc:title>
  <dc:creator>PC2014</dc:creator>
  <cp:lastModifiedBy>User</cp:lastModifiedBy>
  <cp:revision>3</cp:revision>
  <cp:lastPrinted>2015-03-04T09:07:00Z</cp:lastPrinted>
  <dcterms:created xsi:type="dcterms:W3CDTF">2016-07-04T11:00:00Z</dcterms:created>
  <dcterms:modified xsi:type="dcterms:W3CDTF">2016-07-04T11:03:00Z</dcterms:modified>
</cp:coreProperties>
</file>