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79" w:rsidRDefault="00A20879" w:rsidP="00A20879">
      <w:pPr>
        <w:pStyle w:val="Header"/>
        <w:tabs>
          <w:tab w:val="left" w:pos="6000"/>
        </w:tabs>
        <w:spacing w:line="360" w:lineRule="auto"/>
        <w:ind w:firstLine="6237"/>
      </w:pPr>
      <w:r>
        <w:t xml:space="preserve">PRITARTA </w:t>
      </w:r>
    </w:p>
    <w:p w:rsidR="00A20879" w:rsidRDefault="00A20879" w:rsidP="00A20879">
      <w:pPr>
        <w:pStyle w:val="Header"/>
        <w:tabs>
          <w:tab w:val="left" w:pos="6000"/>
        </w:tabs>
        <w:spacing w:line="360" w:lineRule="auto"/>
        <w:ind w:firstLine="6237"/>
      </w:pPr>
      <w:r>
        <w:t>Prienų rajono savivaldybės tarybos</w:t>
      </w:r>
    </w:p>
    <w:p w:rsidR="00A20879" w:rsidRDefault="00A20879" w:rsidP="00A20879">
      <w:pPr>
        <w:pStyle w:val="Header"/>
        <w:tabs>
          <w:tab w:val="left" w:pos="6000"/>
        </w:tabs>
        <w:spacing w:line="360" w:lineRule="auto"/>
        <w:ind w:firstLine="6237"/>
      </w:pPr>
      <w:r>
        <w:t>2017 m. kovo 9 d.</w:t>
      </w:r>
    </w:p>
    <w:p w:rsidR="00A20879" w:rsidRDefault="00A20879" w:rsidP="00A20879">
      <w:pPr>
        <w:pStyle w:val="Header"/>
        <w:tabs>
          <w:tab w:val="left" w:pos="6000"/>
        </w:tabs>
        <w:spacing w:line="360" w:lineRule="auto"/>
        <w:ind w:firstLine="6237"/>
      </w:pPr>
      <w:r>
        <w:t>sprendimu Nr. T3-48</w:t>
      </w:r>
    </w:p>
    <w:p w:rsidR="00A20879" w:rsidRDefault="00A20879" w:rsidP="0014385E">
      <w:pPr>
        <w:pStyle w:val="Default"/>
        <w:tabs>
          <w:tab w:val="left" w:pos="7230"/>
        </w:tabs>
        <w:spacing w:line="360" w:lineRule="auto"/>
        <w:jc w:val="center"/>
        <w:rPr>
          <w:b/>
          <w:color w:val="auto"/>
          <w:lang w:val="lt-LT"/>
        </w:rPr>
      </w:pPr>
    </w:p>
    <w:p w:rsidR="00A20879" w:rsidRDefault="00A20879" w:rsidP="0014385E">
      <w:pPr>
        <w:pStyle w:val="Default"/>
        <w:tabs>
          <w:tab w:val="left" w:pos="7230"/>
        </w:tabs>
        <w:spacing w:line="360" w:lineRule="auto"/>
        <w:jc w:val="center"/>
        <w:rPr>
          <w:b/>
          <w:color w:val="auto"/>
          <w:lang w:val="lt-LT"/>
        </w:rPr>
      </w:pPr>
    </w:p>
    <w:p w:rsidR="0014385E" w:rsidRPr="00591EED" w:rsidRDefault="0014385E" w:rsidP="0014385E">
      <w:pPr>
        <w:pStyle w:val="Default"/>
        <w:tabs>
          <w:tab w:val="left" w:pos="7230"/>
        </w:tabs>
        <w:spacing w:line="360" w:lineRule="auto"/>
        <w:jc w:val="center"/>
        <w:rPr>
          <w:b/>
          <w:color w:val="auto"/>
          <w:lang w:val="lt-LT"/>
        </w:rPr>
      </w:pPr>
      <w:r w:rsidRPr="00591EED">
        <w:rPr>
          <w:b/>
          <w:color w:val="auto"/>
          <w:lang w:val="lt-LT"/>
        </w:rPr>
        <w:t xml:space="preserve">PRIENŲ ŠVIETIMO CENTRO DIREKTORĖS </w:t>
      </w:r>
    </w:p>
    <w:p w:rsidR="0014385E" w:rsidRPr="00591EED" w:rsidRDefault="0014385E" w:rsidP="0014385E">
      <w:pPr>
        <w:pStyle w:val="Default"/>
        <w:tabs>
          <w:tab w:val="left" w:pos="7230"/>
        </w:tabs>
        <w:spacing w:line="360" w:lineRule="auto"/>
        <w:jc w:val="center"/>
        <w:rPr>
          <w:b/>
          <w:color w:val="auto"/>
          <w:lang w:val="lt-LT"/>
        </w:rPr>
      </w:pPr>
      <w:r w:rsidRPr="00591EED">
        <w:rPr>
          <w:b/>
          <w:color w:val="auto"/>
          <w:lang w:val="lt-LT"/>
        </w:rPr>
        <w:t>DANUTĖS STANKEVIČIENĖS</w:t>
      </w:r>
    </w:p>
    <w:p w:rsidR="0014385E" w:rsidRPr="00591EED" w:rsidRDefault="0002123D" w:rsidP="0014385E">
      <w:pPr>
        <w:pStyle w:val="Default"/>
        <w:spacing w:line="360" w:lineRule="auto"/>
        <w:jc w:val="center"/>
        <w:rPr>
          <w:b/>
          <w:color w:val="auto"/>
          <w:lang w:val="lt-LT"/>
        </w:rPr>
      </w:pPr>
      <w:r w:rsidRPr="00591EED">
        <w:rPr>
          <w:b/>
          <w:color w:val="auto"/>
          <w:lang w:val="lt-LT"/>
        </w:rPr>
        <w:t>2016</w:t>
      </w:r>
      <w:r w:rsidR="0014385E" w:rsidRPr="00591EED">
        <w:rPr>
          <w:b/>
          <w:color w:val="auto"/>
          <w:lang w:val="lt-LT"/>
        </w:rPr>
        <w:t xml:space="preserve"> METŲ VEIKLOS ATASKAITA</w:t>
      </w:r>
    </w:p>
    <w:p w:rsidR="0014385E" w:rsidRPr="00591EED" w:rsidRDefault="0014385E" w:rsidP="0014385E">
      <w:pPr>
        <w:pStyle w:val="Default"/>
        <w:spacing w:line="360" w:lineRule="auto"/>
        <w:jc w:val="center"/>
        <w:rPr>
          <w:b/>
          <w:color w:val="auto"/>
          <w:lang w:val="lt-LT"/>
        </w:rPr>
      </w:pPr>
    </w:p>
    <w:p w:rsidR="0014385E" w:rsidRPr="00591EED" w:rsidRDefault="0014385E" w:rsidP="00CD636B">
      <w:pPr>
        <w:pStyle w:val="Default"/>
        <w:spacing w:line="360" w:lineRule="auto"/>
        <w:ind w:firstLine="1080"/>
        <w:jc w:val="both"/>
        <w:rPr>
          <w:b/>
          <w:color w:val="auto"/>
          <w:lang w:val="lt-LT"/>
        </w:rPr>
      </w:pPr>
      <w:r w:rsidRPr="00591EED">
        <w:rPr>
          <w:b/>
          <w:color w:val="auto"/>
          <w:lang w:val="lt-LT"/>
        </w:rPr>
        <w:t xml:space="preserve">I. </w:t>
      </w:r>
      <w:r w:rsidR="0077049A" w:rsidRPr="00591EED">
        <w:rPr>
          <w:b/>
          <w:color w:val="auto"/>
          <w:lang w:val="lt-LT"/>
        </w:rPr>
        <w:t>Centro vizitinė kortelė</w:t>
      </w:r>
      <w:r w:rsidRPr="00591EED">
        <w:rPr>
          <w:b/>
          <w:color w:val="auto"/>
          <w:lang w:val="lt-LT"/>
        </w:rPr>
        <w:t>.</w:t>
      </w:r>
    </w:p>
    <w:p w:rsidR="0014385E" w:rsidRPr="00591EED" w:rsidRDefault="0014385E" w:rsidP="00CD636B">
      <w:pPr>
        <w:pStyle w:val="Default"/>
        <w:spacing w:line="360" w:lineRule="auto"/>
        <w:ind w:firstLine="1080"/>
        <w:jc w:val="both"/>
        <w:rPr>
          <w:color w:val="auto"/>
          <w:u w:val="single"/>
          <w:lang w:val="lt-LT"/>
        </w:rPr>
      </w:pPr>
      <w:r w:rsidRPr="00591EED">
        <w:rPr>
          <w:color w:val="auto"/>
          <w:lang w:val="lt-LT"/>
        </w:rPr>
        <w:t xml:space="preserve">Prienų švietimo centras (toliau Centras) </w:t>
      </w:r>
      <w:r w:rsidR="00A37D84" w:rsidRPr="00591EED">
        <w:rPr>
          <w:color w:val="auto"/>
          <w:lang w:val="lt-LT"/>
        </w:rPr>
        <w:t>–</w:t>
      </w:r>
      <w:r w:rsidRPr="00591EED">
        <w:rPr>
          <w:color w:val="auto"/>
          <w:lang w:val="lt-LT"/>
        </w:rPr>
        <w:t xml:space="preserve"> J. Brundzos g. 12 A, LT-59127, Prienai, tel./faks. (8 319 52081</w:t>
      </w:r>
      <w:r w:rsidR="00A37D84" w:rsidRPr="00591EED">
        <w:rPr>
          <w:color w:val="auto"/>
          <w:lang w:val="lt-LT"/>
        </w:rPr>
        <w:t>)</w:t>
      </w:r>
      <w:r w:rsidRPr="00591EED">
        <w:rPr>
          <w:color w:val="auto"/>
          <w:lang w:val="lt-LT"/>
        </w:rPr>
        <w:t xml:space="preserve"> el. p. </w:t>
      </w:r>
      <w:proofErr w:type="spellStart"/>
      <w:r w:rsidRPr="00591EED">
        <w:rPr>
          <w:color w:val="auto"/>
          <w:lang w:val="lt-LT"/>
        </w:rPr>
        <w:t>svietimocentras@prienai.lt</w:t>
      </w:r>
      <w:proofErr w:type="spellEnd"/>
      <w:r w:rsidRPr="00591EED">
        <w:rPr>
          <w:color w:val="auto"/>
          <w:lang w:val="lt-LT"/>
        </w:rPr>
        <w:t xml:space="preserve">; </w:t>
      </w:r>
      <w:hyperlink r:id="rId5" w:history="1">
        <w:r w:rsidRPr="00591EED">
          <w:rPr>
            <w:rStyle w:val="Hyperlink"/>
            <w:color w:val="auto"/>
            <w:lang w:val="lt-LT"/>
          </w:rPr>
          <w:t>www.svietimocentras.prienai.lm.lt</w:t>
        </w:r>
      </w:hyperlink>
    </w:p>
    <w:p w:rsidR="0014385E" w:rsidRPr="00591EED" w:rsidRDefault="0014385E" w:rsidP="00CD636B">
      <w:pPr>
        <w:pStyle w:val="Default"/>
        <w:spacing w:line="360" w:lineRule="auto"/>
        <w:ind w:firstLine="1080"/>
        <w:jc w:val="both"/>
        <w:rPr>
          <w:color w:val="auto"/>
          <w:u w:val="single"/>
          <w:lang w:val="lt-LT"/>
        </w:rPr>
      </w:pPr>
      <w:r w:rsidRPr="00591EED">
        <w:rPr>
          <w:color w:val="auto"/>
          <w:u w:val="single"/>
          <w:lang w:val="lt-LT"/>
        </w:rPr>
        <w:t>Centras įsteigtas – 2004-07-01</w:t>
      </w:r>
    </w:p>
    <w:p w:rsidR="0014385E" w:rsidRPr="00591EED" w:rsidRDefault="0014385E" w:rsidP="00CD636B">
      <w:pPr>
        <w:pStyle w:val="Default"/>
        <w:spacing w:line="360" w:lineRule="auto"/>
        <w:ind w:firstLine="1080"/>
        <w:jc w:val="both"/>
        <w:rPr>
          <w:color w:val="auto"/>
          <w:lang w:val="lt-LT"/>
        </w:rPr>
      </w:pPr>
      <w:r w:rsidRPr="00591EED">
        <w:rPr>
          <w:color w:val="auto"/>
          <w:lang w:val="lt-LT"/>
        </w:rPr>
        <w:t>Centro pagrindinė paskirtis – švietimo pagalbos teikimas.</w:t>
      </w:r>
    </w:p>
    <w:p w:rsidR="0014385E" w:rsidRPr="00591EED" w:rsidRDefault="0014385E" w:rsidP="00CD636B">
      <w:pPr>
        <w:pStyle w:val="Default"/>
        <w:spacing w:line="360" w:lineRule="auto"/>
        <w:ind w:firstLine="1080"/>
        <w:jc w:val="both"/>
        <w:rPr>
          <w:color w:val="auto"/>
          <w:lang w:val="lt-LT"/>
        </w:rPr>
      </w:pPr>
      <w:r w:rsidRPr="00591EED">
        <w:rPr>
          <w:color w:val="auto"/>
          <w:lang w:val="lt-LT"/>
        </w:rPr>
        <w:t xml:space="preserve">Centras – akredituota  institucija iki 2020  gegužės mėn. 7 d. (pažymėjimas AP Nr.076, išduotas vadovaujantis 2015-05-08  LR ŠMM </w:t>
      </w:r>
      <w:proofErr w:type="spellStart"/>
      <w:r w:rsidRPr="00591EED">
        <w:rPr>
          <w:color w:val="auto"/>
          <w:lang w:val="lt-LT"/>
        </w:rPr>
        <w:t>įsak</w:t>
      </w:r>
      <w:proofErr w:type="spellEnd"/>
      <w:r w:rsidRPr="00591EED">
        <w:rPr>
          <w:color w:val="auto"/>
          <w:lang w:val="lt-LT"/>
        </w:rPr>
        <w:t xml:space="preserve">. Nr. ISAK-V-474). </w:t>
      </w:r>
    </w:p>
    <w:p w:rsidR="0014385E" w:rsidRPr="00591EED" w:rsidRDefault="0014385E" w:rsidP="00CD636B">
      <w:pPr>
        <w:pStyle w:val="Default"/>
        <w:spacing w:line="360" w:lineRule="auto"/>
        <w:ind w:firstLine="1080"/>
        <w:jc w:val="both"/>
        <w:rPr>
          <w:color w:val="auto"/>
          <w:lang w:val="lt-LT"/>
        </w:rPr>
      </w:pPr>
      <w:r w:rsidRPr="00591EED">
        <w:rPr>
          <w:color w:val="auto"/>
          <w:lang w:val="lt-LT"/>
        </w:rPr>
        <w:t>Danutė Stankevičienė – Prienų švietimo centro direktorė, švietimo konsultantė –kvalifikacijos tobulinimo programų vertinimo ekspertė, švietimo lyderystės konsultantė, projektų administr</w:t>
      </w:r>
      <w:r w:rsidR="0002123D" w:rsidRPr="00591EED">
        <w:rPr>
          <w:color w:val="auto"/>
          <w:lang w:val="lt-LT"/>
        </w:rPr>
        <w:t>atorė. Vadybinio darbo stažas 29</w:t>
      </w:r>
      <w:r w:rsidRPr="00591EED">
        <w:rPr>
          <w:color w:val="auto"/>
          <w:lang w:val="lt-LT"/>
        </w:rPr>
        <w:t xml:space="preserve"> metai,  išsilavinimas –VDU, edukologijos magistras.</w:t>
      </w:r>
    </w:p>
    <w:p w:rsidR="00F70DB5" w:rsidRPr="00591EED" w:rsidRDefault="00F70DB5" w:rsidP="00CD636B">
      <w:pPr>
        <w:pStyle w:val="Default"/>
        <w:spacing w:line="360" w:lineRule="auto"/>
        <w:ind w:firstLine="1080"/>
        <w:jc w:val="both"/>
        <w:rPr>
          <w:color w:val="auto"/>
          <w:lang w:val="lt-LT"/>
        </w:rPr>
      </w:pPr>
      <w:r w:rsidRPr="00591EED">
        <w:rPr>
          <w:color w:val="auto"/>
          <w:lang w:val="lt-LT"/>
        </w:rPr>
        <w:t xml:space="preserve">Centre dirba </w:t>
      </w:r>
      <w:r w:rsidR="005C165F" w:rsidRPr="00591EED">
        <w:rPr>
          <w:color w:val="auto"/>
          <w:lang w:val="lt-LT"/>
        </w:rPr>
        <w:t>–</w:t>
      </w:r>
      <w:r w:rsidRPr="00591EED">
        <w:rPr>
          <w:color w:val="auto"/>
          <w:lang w:val="lt-LT"/>
        </w:rPr>
        <w:t xml:space="preserve"> </w:t>
      </w:r>
      <w:r w:rsidR="005C165F" w:rsidRPr="00591EED">
        <w:rPr>
          <w:color w:val="auto"/>
          <w:lang w:val="lt-LT"/>
        </w:rPr>
        <w:t>trys metodininkės (2,25 et.), buhalterė – 1 et., kompiuterininkas – 0,75 et.</w:t>
      </w:r>
      <w:r w:rsidR="00772C0D" w:rsidRPr="00591EED">
        <w:rPr>
          <w:color w:val="auto"/>
          <w:lang w:val="lt-LT"/>
        </w:rPr>
        <w:t>, valytoja – 0,75 et.</w:t>
      </w:r>
    </w:p>
    <w:p w:rsidR="00772C0D" w:rsidRPr="00591EED" w:rsidRDefault="002536D6" w:rsidP="00CD636B">
      <w:pPr>
        <w:pStyle w:val="Default"/>
        <w:spacing w:line="360" w:lineRule="auto"/>
        <w:ind w:firstLine="1080"/>
        <w:jc w:val="both"/>
        <w:rPr>
          <w:color w:val="auto"/>
          <w:lang w:val="lt-LT"/>
        </w:rPr>
      </w:pPr>
      <w:r w:rsidRPr="00591EED">
        <w:rPr>
          <w:color w:val="auto"/>
          <w:lang w:val="lt-LT"/>
        </w:rPr>
        <w:t>Prienų rajono savivaldybės tarybos 2</w:t>
      </w:r>
      <w:r w:rsidR="00BC0F40" w:rsidRPr="00591EED">
        <w:rPr>
          <w:color w:val="auto"/>
          <w:lang w:val="lt-LT"/>
        </w:rPr>
        <w:t>016 m. rugpjūčio 25 d. sprendimas</w:t>
      </w:r>
      <w:r w:rsidRPr="00591EED">
        <w:rPr>
          <w:color w:val="auto"/>
          <w:lang w:val="lt-LT"/>
        </w:rPr>
        <w:t xml:space="preserve"> </w:t>
      </w:r>
      <w:r w:rsidR="00416174" w:rsidRPr="00591EED">
        <w:rPr>
          <w:color w:val="auto"/>
          <w:lang w:val="lt-LT"/>
        </w:rPr>
        <w:t xml:space="preserve">Nr.T3-182 </w:t>
      </w:r>
      <w:r w:rsidRPr="00591EED">
        <w:rPr>
          <w:color w:val="auto"/>
          <w:lang w:val="lt-LT"/>
        </w:rPr>
        <w:t xml:space="preserve">„Dėl sutikimo reorganizuoti Prienų pedagoginę ir psichologinę </w:t>
      </w:r>
      <w:r w:rsidR="00485B6D" w:rsidRPr="00591EED">
        <w:rPr>
          <w:color w:val="auto"/>
          <w:lang w:val="lt-LT"/>
        </w:rPr>
        <w:t>tarnybą</w:t>
      </w:r>
      <w:r w:rsidR="00BC0F40" w:rsidRPr="00591EED">
        <w:rPr>
          <w:color w:val="auto"/>
          <w:lang w:val="lt-LT"/>
        </w:rPr>
        <w:t xml:space="preserve">, prijungiant prie Prienų švietimo centro“ </w:t>
      </w:r>
      <w:r w:rsidR="005210D8" w:rsidRPr="005210D8">
        <w:rPr>
          <w:color w:val="auto"/>
          <w:lang w:val="lt-LT"/>
        </w:rPr>
        <w:t>apibrėžia</w:t>
      </w:r>
      <w:r w:rsidR="001C269A" w:rsidRPr="005210D8">
        <w:rPr>
          <w:color w:val="auto"/>
          <w:lang w:val="lt-LT"/>
        </w:rPr>
        <w:t xml:space="preserve"> įstaigos </w:t>
      </w:r>
      <w:r w:rsidR="001C269A" w:rsidRPr="00591EED">
        <w:rPr>
          <w:color w:val="auto"/>
          <w:lang w:val="lt-LT"/>
        </w:rPr>
        <w:t xml:space="preserve">pokyčius ateinantiems metams. </w:t>
      </w:r>
      <w:r w:rsidR="007D55B1" w:rsidRPr="00591EED">
        <w:rPr>
          <w:color w:val="auto"/>
          <w:lang w:val="lt-LT"/>
        </w:rPr>
        <w:t>Prienų rajono savivaldybės tarybos  2016 m. spalio 27 d.</w:t>
      </w:r>
      <w:r w:rsidR="00416174" w:rsidRPr="00591EED">
        <w:rPr>
          <w:color w:val="auto"/>
          <w:lang w:val="lt-LT"/>
        </w:rPr>
        <w:t xml:space="preserve"> sprendimu Nr.T3-223</w:t>
      </w:r>
      <w:r w:rsidR="0061598C" w:rsidRPr="00591EED">
        <w:rPr>
          <w:color w:val="auto"/>
          <w:lang w:val="lt-LT"/>
        </w:rPr>
        <w:t xml:space="preserve"> patvirtinti Prienų šviet</w:t>
      </w:r>
      <w:r w:rsidR="00992573" w:rsidRPr="00591EED">
        <w:rPr>
          <w:color w:val="auto"/>
          <w:lang w:val="lt-LT"/>
        </w:rPr>
        <w:t xml:space="preserve">imo pagalbos tarnybos nuostatai bei </w:t>
      </w:r>
      <w:r w:rsidR="008B13B6" w:rsidRPr="00591EED">
        <w:rPr>
          <w:color w:val="auto"/>
          <w:lang w:val="lt-LT"/>
        </w:rPr>
        <w:t xml:space="preserve">tos pačios dienos </w:t>
      </w:r>
      <w:r w:rsidR="00992573" w:rsidRPr="00591EED">
        <w:rPr>
          <w:color w:val="auto"/>
          <w:lang w:val="lt-LT"/>
        </w:rPr>
        <w:t xml:space="preserve">sprendimu </w:t>
      </w:r>
      <w:r w:rsidR="008B13B6" w:rsidRPr="00591EED">
        <w:rPr>
          <w:color w:val="auto"/>
          <w:lang w:val="lt-LT"/>
        </w:rPr>
        <w:t>Nr.T3-224</w:t>
      </w:r>
      <w:r w:rsidR="000E26B1" w:rsidRPr="00591EED">
        <w:rPr>
          <w:color w:val="auto"/>
          <w:lang w:val="lt-LT"/>
        </w:rPr>
        <w:t xml:space="preserve"> patvirtintas didžiausias leistinas pareigybių skaičius. Prienų švietimo pagalbos tarnyba pradeda veiklą 2017 m. birželio 1 d. </w:t>
      </w:r>
    </w:p>
    <w:p w:rsidR="00A37D84" w:rsidRPr="00591EED" w:rsidRDefault="00A37D84" w:rsidP="00CD636B">
      <w:pPr>
        <w:pStyle w:val="Default"/>
        <w:spacing w:line="360" w:lineRule="auto"/>
        <w:ind w:firstLine="1080"/>
        <w:jc w:val="both"/>
        <w:rPr>
          <w:b/>
          <w:color w:val="auto"/>
          <w:lang w:val="lt-LT"/>
        </w:rPr>
      </w:pPr>
    </w:p>
    <w:p w:rsidR="005B00BF" w:rsidRPr="00591EED" w:rsidRDefault="00E830EE" w:rsidP="00CD636B">
      <w:pPr>
        <w:pStyle w:val="Default"/>
        <w:spacing w:line="360" w:lineRule="auto"/>
        <w:ind w:firstLine="1080"/>
        <w:jc w:val="both"/>
        <w:rPr>
          <w:b/>
          <w:color w:val="auto"/>
          <w:lang w:val="lt-LT"/>
        </w:rPr>
      </w:pPr>
      <w:r w:rsidRPr="00591EED">
        <w:rPr>
          <w:b/>
          <w:color w:val="auto"/>
          <w:lang w:val="lt-LT"/>
        </w:rPr>
        <w:t xml:space="preserve">2. </w:t>
      </w:r>
      <w:r w:rsidR="00A37D84" w:rsidRPr="008E1B0C">
        <w:rPr>
          <w:b/>
          <w:color w:val="auto"/>
          <w:lang w:val="lt-LT"/>
        </w:rPr>
        <w:t>Centro</w:t>
      </w:r>
      <w:r w:rsidR="00A37D84" w:rsidRPr="00591EED">
        <w:rPr>
          <w:b/>
          <w:color w:val="00B050"/>
          <w:lang w:val="lt-LT"/>
        </w:rPr>
        <w:t xml:space="preserve"> </w:t>
      </w:r>
      <w:r w:rsidRPr="00591EED">
        <w:rPr>
          <w:b/>
          <w:color w:val="auto"/>
          <w:lang w:val="lt-LT"/>
        </w:rPr>
        <w:t>veiklos rezultatai</w:t>
      </w:r>
    </w:p>
    <w:p w:rsidR="00A37D84" w:rsidRPr="00591EED" w:rsidRDefault="00A37D84" w:rsidP="00CD636B">
      <w:pPr>
        <w:pStyle w:val="Default"/>
        <w:spacing w:line="360" w:lineRule="auto"/>
        <w:ind w:firstLine="1080"/>
        <w:jc w:val="both"/>
        <w:rPr>
          <w:b/>
          <w:color w:val="auto"/>
          <w:lang w:val="lt-LT"/>
        </w:rPr>
      </w:pPr>
    </w:p>
    <w:p w:rsidR="00390544" w:rsidRPr="00591EED" w:rsidRDefault="00390544" w:rsidP="00CD636B">
      <w:pPr>
        <w:pStyle w:val="Default"/>
        <w:spacing w:line="360" w:lineRule="auto"/>
        <w:ind w:firstLine="1080"/>
        <w:jc w:val="both"/>
        <w:rPr>
          <w:b/>
          <w:color w:val="auto"/>
          <w:lang w:val="lt-LT"/>
        </w:rPr>
      </w:pPr>
      <w:r w:rsidRPr="00591EED">
        <w:rPr>
          <w:b/>
          <w:color w:val="auto"/>
          <w:lang w:val="lt-LT"/>
        </w:rPr>
        <w:t>2.1. Centro metinio veiklos plano įgyvendinimo sėkmingumas;</w:t>
      </w:r>
    </w:p>
    <w:p w:rsidR="004E594C" w:rsidRPr="00E1292D" w:rsidRDefault="003E4D5C" w:rsidP="00CD636B">
      <w:pPr>
        <w:pStyle w:val="Default"/>
        <w:spacing w:line="360" w:lineRule="auto"/>
        <w:ind w:firstLine="1134"/>
        <w:jc w:val="both"/>
        <w:rPr>
          <w:color w:val="auto"/>
          <w:lang w:val="lt-LT" w:eastAsia="lt-LT"/>
        </w:rPr>
      </w:pPr>
      <w:r w:rsidRPr="00591EED">
        <w:rPr>
          <w:bCs/>
          <w:color w:val="auto"/>
          <w:lang w:val="lt-LT"/>
        </w:rPr>
        <w:t xml:space="preserve">Centro strateginis tikslas – sudaryti galimybes švietimo ir kitų sričių darbuotojams plėtoti bendrąsias ir profesines kompetencijas, įgalinančias prisitaikyti prie kintančių aplinkybių </w:t>
      </w:r>
      <w:r w:rsidR="00A37D84" w:rsidRPr="00591EED">
        <w:rPr>
          <w:bCs/>
          <w:color w:val="auto"/>
          <w:lang w:val="lt-LT"/>
        </w:rPr>
        <w:t xml:space="preserve">– </w:t>
      </w:r>
      <w:r w:rsidRPr="00591EED">
        <w:rPr>
          <w:bCs/>
          <w:color w:val="auto"/>
          <w:lang w:val="lt-LT"/>
        </w:rPr>
        <w:t>sėkmingai įgyvendintas.</w:t>
      </w:r>
      <w:r w:rsidR="008A34EC">
        <w:rPr>
          <w:bCs/>
          <w:color w:val="auto"/>
          <w:lang w:val="lt-LT"/>
        </w:rPr>
        <w:t xml:space="preserve"> Per atas</w:t>
      </w:r>
      <w:r w:rsidR="007400B2" w:rsidRPr="00591EED">
        <w:rPr>
          <w:bCs/>
          <w:color w:val="auto"/>
          <w:lang w:val="lt-LT"/>
        </w:rPr>
        <w:t>k</w:t>
      </w:r>
      <w:r w:rsidR="00A37D84" w:rsidRPr="00591EED">
        <w:rPr>
          <w:bCs/>
          <w:color w:val="auto"/>
          <w:lang w:val="lt-LT"/>
        </w:rPr>
        <w:t>a</w:t>
      </w:r>
      <w:r w:rsidR="007400B2" w:rsidRPr="00591EED">
        <w:rPr>
          <w:bCs/>
          <w:color w:val="auto"/>
          <w:lang w:val="lt-LT"/>
        </w:rPr>
        <w:t>itinį laikotarpį organ</w:t>
      </w:r>
      <w:r w:rsidR="00B13FBF" w:rsidRPr="00591EED">
        <w:rPr>
          <w:bCs/>
          <w:color w:val="auto"/>
          <w:lang w:val="lt-LT"/>
        </w:rPr>
        <w:t>i</w:t>
      </w:r>
      <w:r w:rsidR="007400B2" w:rsidRPr="00591EED">
        <w:rPr>
          <w:bCs/>
          <w:color w:val="auto"/>
          <w:lang w:val="lt-LT"/>
        </w:rPr>
        <w:t xml:space="preserve">zuoti kvalifikacijos tobulinimo renginiai ne tik pedagogams, </w:t>
      </w:r>
      <w:r w:rsidR="007400B2" w:rsidRPr="008A34EC">
        <w:rPr>
          <w:bCs/>
          <w:color w:val="auto"/>
          <w:lang w:val="lt-LT"/>
        </w:rPr>
        <w:t xml:space="preserve">bet </w:t>
      </w:r>
      <w:r w:rsidR="008A34EC" w:rsidRPr="008A34EC">
        <w:rPr>
          <w:bCs/>
          <w:color w:val="auto"/>
          <w:lang w:val="lt-LT"/>
        </w:rPr>
        <w:t xml:space="preserve">ir </w:t>
      </w:r>
      <w:r w:rsidR="00A37D84" w:rsidRPr="008A34EC">
        <w:rPr>
          <w:bCs/>
          <w:color w:val="auto"/>
          <w:lang w:val="lt-LT"/>
        </w:rPr>
        <w:t xml:space="preserve">mokyklų bendruomenėms, </w:t>
      </w:r>
      <w:r w:rsidR="008A34EC" w:rsidRPr="008A34EC">
        <w:rPr>
          <w:bCs/>
          <w:color w:val="auto"/>
          <w:lang w:val="lt-LT"/>
        </w:rPr>
        <w:t xml:space="preserve">kitų </w:t>
      </w:r>
      <w:r w:rsidR="00AB680F" w:rsidRPr="008A34EC">
        <w:rPr>
          <w:bCs/>
          <w:color w:val="auto"/>
          <w:lang w:val="lt-LT"/>
        </w:rPr>
        <w:t xml:space="preserve">biudžetinių </w:t>
      </w:r>
      <w:r w:rsidR="00AB680F" w:rsidRPr="00591EED">
        <w:rPr>
          <w:bCs/>
          <w:color w:val="auto"/>
          <w:lang w:val="lt-LT"/>
        </w:rPr>
        <w:t>įstaigų darbuotojams</w:t>
      </w:r>
      <w:r w:rsidR="00AB680F" w:rsidRPr="00E1292D">
        <w:rPr>
          <w:bCs/>
          <w:color w:val="auto"/>
          <w:lang w:val="lt-LT"/>
        </w:rPr>
        <w:t>.</w:t>
      </w:r>
      <w:r w:rsidR="008A34EC" w:rsidRPr="00E1292D">
        <w:rPr>
          <w:bCs/>
          <w:color w:val="auto"/>
          <w:lang w:val="lt-LT"/>
        </w:rPr>
        <w:t xml:space="preserve"> </w:t>
      </w:r>
      <w:r w:rsidR="00D46527" w:rsidRPr="00E1292D">
        <w:rPr>
          <w:bCs/>
          <w:color w:val="auto"/>
          <w:lang w:val="lt-LT"/>
        </w:rPr>
        <w:t>Or</w:t>
      </w:r>
      <w:r w:rsidR="004E594C" w:rsidRPr="00E1292D">
        <w:rPr>
          <w:bCs/>
          <w:color w:val="auto"/>
          <w:lang w:val="lt-LT"/>
        </w:rPr>
        <w:t>g</w:t>
      </w:r>
      <w:r w:rsidR="00D46527" w:rsidRPr="00E1292D">
        <w:rPr>
          <w:bCs/>
          <w:color w:val="auto"/>
          <w:lang w:val="lt-LT"/>
        </w:rPr>
        <w:t xml:space="preserve">anizuoti 62 </w:t>
      </w:r>
      <w:r w:rsidR="0092392A" w:rsidRPr="00E1292D">
        <w:rPr>
          <w:bCs/>
          <w:color w:val="auto"/>
          <w:lang w:val="lt-LT"/>
        </w:rPr>
        <w:t>kvalifikacijos tobulinimo renginiai</w:t>
      </w:r>
      <w:r w:rsidR="004E594C" w:rsidRPr="00E1292D">
        <w:rPr>
          <w:bCs/>
          <w:color w:val="auto"/>
          <w:lang w:val="lt-LT"/>
        </w:rPr>
        <w:t>, kuriuose dalyvavo 1914suaugusiųjų asmenų,</w:t>
      </w:r>
      <w:r w:rsidR="00AB680F" w:rsidRPr="00E1292D">
        <w:rPr>
          <w:bCs/>
          <w:color w:val="auto"/>
          <w:lang w:val="lt-LT"/>
        </w:rPr>
        <w:t xml:space="preserve"> </w:t>
      </w:r>
      <w:r w:rsidR="004E594C" w:rsidRPr="00E1292D">
        <w:rPr>
          <w:color w:val="auto"/>
          <w:lang w:val="lt-LT" w:eastAsia="lt-LT"/>
        </w:rPr>
        <w:t xml:space="preserve"> organizuota </w:t>
      </w:r>
      <w:r w:rsidR="004E594C" w:rsidRPr="00E1292D">
        <w:rPr>
          <w:color w:val="auto"/>
          <w:lang w:val="lt-LT"/>
        </w:rPr>
        <w:t xml:space="preserve">14 olimpiadų, jose dalyvavo 381 mokiniai, komisijų darbe dalyvavo 137 mokytojai. </w:t>
      </w:r>
      <w:r w:rsidR="004E594C" w:rsidRPr="00E1292D">
        <w:rPr>
          <w:color w:val="auto"/>
          <w:lang w:val="lt-LT"/>
        </w:rPr>
        <w:lastRenderedPageBreak/>
        <w:t xml:space="preserve">Įvykdyta 44 konkursai, šventės, parodos, varžybos, kuriose dalyvavo apie 1709 </w:t>
      </w:r>
      <w:r w:rsidR="00E1292D" w:rsidRPr="00E1292D">
        <w:rPr>
          <w:color w:val="auto"/>
          <w:lang w:val="lt-LT"/>
        </w:rPr>
        <w:t>mokiniai</w:t>
      </w:r>
      <w:r w:rsidR="004E594C" w:rsidRPr="00E1292D">
        <w:rPr>
          <w:color w:val="auto"/>
          <w:lang w:val="lt-LT"/>
        </w:rPr>
        <w:t xml:space="preserve"> ir 172 juos ruošę mokytojai</w:t>
      </w:r>
      <w:r w:rsidR="004E594C" w:rsidRPr="00E1292D">
        <w:rPr>
          <w:color w:val="auto"/>
          <w:lang w:val="lt-LT" w:eastAsia="lt-LT"/>
        </w:rPr>
        <w:t>.</w:t>
      </w:r>
    </w:p>
    <w:p w:rsidR="003A3C33" w:rsidRDefault="003A3C33" w:rsidP="00CD636B">
      <w:pPr>
        <w:pStyle w:val="Default"/>
        <w:spacing w:line="360" w:lineRule="auto"/>
        <w:ind w:firstLine="1080"/>
        <w:jc w:val="both"/>
        <w:rPr>
          <w:b/>
          <w:bCs/>
          <w:color w:val="auto"/>
          <w:lang w:val="lt-LT"/>
        </w:rPr>
      </w:pPr>
    </w:p>
    <w:p w:rsidR="00B13FBF" w:rsidRPr="00591EED" w:rsidRDefault="00B13FBF" w:rsidP="00CD636B">
      <w:pPr>
        <w:pStyle w:val="Default"/>
        <w:spacing w:line="360" w:lineRule="auto"/>
        <w:ind w:firstLine="1080"/>
        <w:jc w:val="both"/>
        <w:rPr>
          <w:b/>
          <w:bCs/>
          <w:color w:val="auto"/>
          <w:lang w:val="lt-LT"/>
        </w:rPr>
      </w:pPr>
      <w:r w:rsidRPr="00591EED">
        <w:rPr>
          <w:b/>
          <w:bCs/>
          <w:color w:val="auto"/>
          <w:lang w:val="lt-LT"/>
        </w:rPr>
        <w:t>2.2. Turto ir lėšų administravimas, papildomų fina</w:t>
      </w:r>
      <w:r w:rsidR="00243972">
        <w:rPr>
          <w:b/>
          <w:bCs/>
          <w:color w:val="auto"/>
          <w:lang w:val="lt-LT"/>
        </w:rPr>
        <w:t>n</w:t>
      </w:r>
      <w:r w:rsidRPr="00591EED">
        <w:rPr>
          <w:b/>
          <w:bCs/>
          <w:color w:val="auto"/>
          <w:lang w:val="lt-LT"/>
        </w:rPr>
        <w:t>sinių išteklių pritraukimas:</w:t>
      </w:r>
    </w:p>
    <w:tbl>
      <w:tblPr>
        <w:tblStyle w:val="TableGrid"/>
        <w:tblW w:w="0" w:type="auto"/>
        <w:tblLook w:val="04A0"/>
      </w:tblPr>
      <w:tblGrid>
        <w:gridCol w:w="6941"/>
        <w:gridCol w:w="2687"/>
      </w:tblGrid>
      <w:tr w:rsidR="00B13FBF" w:rsidRPr="00591EED" w:rsidTr="00173A10">
        <w:tc>
          <w:tcPr>
            <w:tcW w:w="6941" w:type="dxa"/>
          </w:tcPr>
          <w:p w:rsidR="00B13FBF" w:rsidRPr="00591EED" w:rsidRDefault="00173A10" w:rsidP="00CD636B">
            <w:pPr>
              <w:pStyle w:val="Default"/>
              <w:spacing w:line="360" w:lineRule="auto"/>
              <w:jc w:val="both"/>
              <w:rPr>
                <w:bCs/>
                <w:color w:val="C00000"/>
                <w:lang w:val="lt-LT"/>
              </w:rPr>
            </w:pPr>
            <w:r w:rsidRPr="00591EED">
              <w:rPr>
                <w:bCs/>
                <w:color w:val="auto"/>
                <w:lang w:val="lt-LT"/>
              </w:rPr>
              <w:t>Finansavimo šaltiniai</w:t>
            </w:r>
          </w:p>
        </w:tc>
        <w:tc>
          <w:tcPr>
            <w:tcW w:w="2687" w:type="dxa"/>
          </w:tcPr>
          <w:p w:rsidR="00B13FBF" w:rsidRPr="00591EED" w:rsidRDefault="00173A10" w:rsidP="00CD636B">
            <w:pPr>
              <w:pStyle w:val="Default"/>
              <w:spacing w:line="360" w:lineRule="auto"/>
              <w:jc w:val="both"/>
              <w:rPr>
                <w:bCs/>
                <w:color w:val="C00000"/>
                <w:lang w:val="lt-LT"/>
              </w:rPr>
            </w:pPr>
            <w:r w:rsidRPr="00591EED">
              <w:rPr>
                <w:bCs/>
                <w:color w:val="auto"/>
                <w:lang w:val="lt-LT"/>
              </w:rPr>
              <w:t>Lėšos (</w:t>
            </w:r>
            <w:proofErr w:type="spellStart"/>
            <w:r w:rsidRPr="00591EED">
              <w:rPr>
                <w:bCs/>
                <w:color w:val="auto"/>
                <w:lang w:val="lt-LT"/>
              </w:rPr>
              <w:t>Eur</w:t>
            </w:r>
            <w:proofErr w:type="spellEnd"/>
            <w:r w:rsidRPr="00591EED">
              <w:rPr>
                <w:bCs/>
                <w:color w:val="auto"/>
                <w:lang w:val="lt-LT"/>
              </w:rPr>
              <w:t>.) 2016 m.</w:t>
            </w:r>
          </w:p>
        </w:tc>
      </w:tr>
      <w:tr w:rsidR="00B13FBF" w:rsidRPr="00591EED" w:rsidTr="00173A10">
        <w:tc>
          <w:tcPr>
            <w:tcW w:w="6941" w:type="dxa"/>
          </w:tcPr>
          <w:p w:rsidR="00B13FBF" w:rsidRPr="00591EED" w:rsidRDefault="00173A10" w:rsidP="00CD636B">
            <w:pPr>
              <w:pStyle w:val="Default"/>
              <w:spacing w:line="360" w:lineRule="auto"/>
              <w:jc w:val="both"/>
              <w:rPr>
                <w:bCs/>
                <w:color w:val="auto"/>
                <w:lang w:val="lt-LT"/>
              </w:rPr>
            </w:pPr>
            <w:r w:rsidRPr="00591EED">
              <w:rPr>
                <w:bCs/>
                <w:color w:val="auto"/>
                <w:lang w:val="lt-LT"/>
              </w:rPr>
              <w:t xml:space="preserve">Savivaldybės biudžeto lėšos </w:t>
            </w:r>
          </w:p>
        </w:tc>
        <w:tc>
          <w:tcPr>
            <w:tcW w:w="2687" w:type="dxa"/>
          </w:tcPr>
          <w:p w:rsidR="00B13FBF" w:rsidRPr="00591EED" w:rsidRDefault="00FB51DF" w:rsidP="00CD636B">
            <w:pPr>
              <w:pStyle w:val="Default"/>
              <w:spacing w:line="360" w:lineRule="auto"/>
              <w:jc w:val="both"/>
              <w:rPr>
                <w:bCs/>
                <w:color w:val="auto"/>
                <w:lang w:val="lt-LT"/>
              </w:rPr>
            </w:pPr>
            <w:r w:rsidRPr="00591EED">
              <w:rPr>
                <w:bCs/>
                <w:color w:val="auto"/>
                <w:lang w:val="lt-LT"/>
              </w:rPr>
              <w:t>71799,00</w:t>
            </w:r>
          </w:p>
        </w:tc>
      </w:tr>
      <w:tr w:rsidR="00B13FBF" w:rsidRPr="00591EED" w:rsidTr="00173A10">
        <w:tc>
          <w:tcPr>
            <w:tcW w:w="6941" w:type="dxa"/>
          </w:tcPr>
          <w:p w:rsidR="00B13FBF" w:rsidRPr="00591EED" w:rsidRDefault="00FB51DF" w:rsidP="00CD636B">
            <w:pPr>
              <w:pStyle w:val="Default"/>
              <w:spacing w:line="360" w:lineRule="auto"/>
              <w:jc w:val="both"/>
              <w:rPr>
                <w:bCs/>
                <w:color w:val="auto"/>
                <w:lang w:val="lt-LT"/>
              </w:rPr>
            </w:pPr>
            <w:r w:rsidRPr="00591EED">
              <w:rPr>
                <w:bCs/>
                <w:color w:val="auto"/>
                <w:lang w:val="lt-LT"/>
              </w:rPr>
              <w:t>Valstybės biudžeto lėšos</w:t>
            </w:r>
          </w:p>
        </w:tc>
        <w:tc>
          <w:tcPr>
            <w:tcW w:w="2687" w:type="dxa"/>
          </w:tcPr>
          <w:p w:rsidR="00B13FBF" w:rsidRPr="00591EED" w:rsidRDefault="00FB51DF" w:rsidP="00CD636B">
            <w:pPr>
              <w:pStyle w:val="Default"/>
              <w:spacing w:line="360" w:lineRule="auto"/>
              <w:jc w:val="both"/>
              <w:rPr>
                <w:bCs/>
                <w:color w:val="auto"/>
                <w:lang w:val="lt-LT"/>
              </w:rPr>
            </w:pPr>
            <w:r w:rsidRPr="00591EED">
              <w:rPr>
                <w:bCs/>
                <w:color w:val="auto"/>
                <w:lang w:val="lt-LT"/>
              </w:rPr>
              <w:t>415,99</w:t>
            </w:r>
          </w:p>
        </w:tc>
      </w:tr>
      <w:tr w:rsidR="00B13FBF" w:rsidRPr="00591EED" w:rsidTr="00173A10">
        <w:tc>
          <w:tcPr>
            <w:tcW w:w="6941" w:type="dxa"/>
          </w:tcPr>
          <w:p w:rsidR="00B13FBF" w:rsidRPr="00591EED" w:rsidRDefault="00FB51DF" w:rsidP="00CD636B">
            <w:pPr>
              <w:pStyle w:val="Default"/>
              <w:spacing w:line="360" w:lineRule="auto"/>
              <w:jc w:val="both"/>
              <w:rPr>
                <w:bCs/>
                <w:color w:val="auto"/>
                <w:lang w:val="lt-LT"/>
              </w:rPr>
            </w:pPr>
            <w:r w:rsidRPr="00591EED">
              <w:rPr>
                <w:bCs/>
                <w:color w:val="auto"/>
                <w:lang w:val="lt-LT"/>
              </w:rPr>
              <w:t>Biudžetinės įstaigos pajamos</w:t>
            </w:r>
          </w:p>
        </w:tc>
        <w:tc>
          <w:tcPr>
            <w:tcW w:w="2687" w:type="dxa"/>
          </w:tcPr>
          <w:p w:rsidR="00B13FBF" w:rsidRPr="00591EED" w:rsidRDefault="00FB51DF" w:rsidP="00CD636B">
            <w:pPr>
              <w:pStyle w:val="Default"/>
              <w:spacing w:line="360" w:lineRule="auto"/>
              <w:jc w:val="both"/>
              <w:rPr>
                <w:bCs/>
                <w:color w:val="auto"/>
                <w:lang w:val="lt-LT"/>
              </w:rPr>
            </w:pPr>
            <w:r w:rsidRPr="00591EED">
              <w:rPr>
                <w:bCs/>
                <w:color w:val="auto"/>
                <w:lang w:val="lt-LT"/>
              </w:rPr>
              <w:t>6237,64</w:t>
            </w:r>
          </w:p>
        </w:tc>
      </w:tr>
      <w:tr w:rsidR="00B13FBF" w:rsidRPr="00591EED" w:rsidTr="00173A10">
        <w:tc>
          <w:tcPr>
            <w:tcW w:w="6941" w:type="dxa"/>
          </w:tcPr>
          <w:p w:rsidR="00B13FBF" w:rsidRPr="00591EED" w:rsidRDefault="00823005" w:rsidP="00CD636B">
            <w:pPr>
              <w:pStyle w:val="Default"/>
              <w:spacing w:line="360" w:lineRule="auto"/>
              <w:jc w:val="both"/>
              <w:rPr>
                <w:bCs/>
                <w:color w:val="auto"/>
                <w:lang w:val="lt-LT"/>
              </w:rPr>
            </w:pPr>
            <w:r w:rsidRPr="00591EED">
              <w:rPr>
                <w:bCs/>
                <w:color w:val="auto"/>
                <w:lang w:val="lt-LT"/>
              </w:rPr>
              <w:t>Projektų ir kitos lėšos (Europos sąjungos, valstybės biudžeto, 2%)</w:t>
            </w:r>
          </w:p>
        </w:tc>
        <w:tc>
          <w:tcPr>
            <w:tcW w:w="2687" w:type="dxa"/>
          </w:tcPr>
          <w:p w:rsidR="00B13FBF" w:rsidRPr="00591EED" w:rsidRDefault="00823005" w:rsidP="00CD636B">
            <w:pPr>
              <w:pStyle w:val="Default"/>
              <w:spacing w:line="360" w:lineRule="auto"/>
              <w:jc w:val="both"/>
              <w:rPr>
                <w:bCs/>
                <w:color w:val="auto"/>
                <w:lang w:val="lt-LT"/>
              </w:rPr>
            </w:pPr>
            <w:r w:rsidRPr="00591EED">
              <w:rPr>
                <w:bCs/>
                <w:color w:val="auto"/>
                <w:lang w:val="lt-LT"/>
              </w:rPr>
              <w:t>16846,34</w:t>
            </w:r>
          </w:p>
        </w:tc>
      </w:tr>
    </w:tbl>
    <w:p w:rsidR="006A1AB2" w:rsidRPr="00591EED" w:rsidRDefault="006A1AB2" w:rsidP="00CD636B">
      <w:pPr>
        <w:pStyle w:val="Default"/>
        <w:spacing w:line="360" w:lineRule="auto"/>
        <w:jc w:val="both"/>
        <w:rPr>
          <w:bCs/>
          <w:color w:val="C00000"/>
          <w:lang w:val="lt-LT"/>
        </w:rPr>
      </w:pPr>
    </w:p>
    <w:p w:rsidR="00112D1B" w:rsidRDefault="00F6588B" w:rsidP="00CD636B">
      <w:pPr>
        <w:pStyle w:val="Default"/>
        <w:spacing w:line="360" w:lineRule="auto"/>
        <w:ind w:firstLine="1134"/>
        <w:jc w:val="both"/>
        <w:rPr>
          <w:bCs/>
          <w:color w:val="auto"/>
          <w:lang w:val="lt-LT"/>
        </w:rPr>
      </w:pPr>
      <w:r w:rsidRPr="00591EED">
        <w:rPr>
          <w:bCs/>
          <w:color w:val="auto"/>
          <w:lang w:val="lt-LT"/>
        </w:rPr>
        <w:t>U</w:t>
      </w:r>
      <w:r w:rsidR="00740279" w:rsidRPr="00591EED">
        <w:rPr>
          <w:bCs/>
          <w:color w:val="auto"/>
          <w:lang w:val="lt-LT"/>
        </w:rPr>
        <w:t>žtikrinant kokybišką įstai</w:t>
      </w:r>
      <w:r w:rsidRPr="00591EED">
        <w:rPr>
          <w:bCs/>
          <w:color w:val="auto"/>
          <w:lang w:val="lt-LT"/>
        </w:rPr>
        <w:t>gos veiklą</w:t>
      </w:r>
      <w:r w:rsidR="00A37D84" w:rsidRPr="00591EED">
        <w:rPr>
          <w:bCs/>
          <w:color w:val="auto"/>
          <w:lang w:val="lt-LT"/>
        </w:rPr>
        <w:t>,</w:t>
      </w:r>
      <w:r w:rsidR="00740279" w:rsidRPr="00591EED">
        <w:rPr>
          <w:bCs/>
          <w:color w:val="auto"/>
          <w:lang w:val="lt-LT"/>
        </w:rPr>
        <w:t xml:space="preserve"> </w:t>
      </w:r>
      <w:r w:rsidR="008A28DD" w:rsidRPr="00591EED">
        <w:rPr>
          <w:bCs/>
          <w:color w:val="auto"/>
          <w:lang w:val="lt-LT"/>
        </w:rPr>
        <w:t xml:space="preserve">derinant su steigėju, </w:t>
      </w:r>
      <w:r w:rsidRPr="00591EED">
        <w:rPr>
          <w:bCs/>
          <w:color w:val="auto"/>
          <w:lang w:val="lt-LT"/>
        </w:rPr>
        <w:t>keliamas s</w:t>
      </w:r>
      <w:r w:rsidR="00E50FBB" w:rsidRPr="00591EED">
        <w:rPr>
          <w:bCs/>
          <w:color w:val="auto"/>
          <w:lang w:val="lt-LT"/>
        </w:rPr>
        <w:t xml:space="preserve">trateginis tikslas per keletą artimiausių metų </w:t>
      </w:r>
      <w:r w:rsidR="005E51AF" w:rsidRPr="00591EED">
        <w:rPr>
          <w:bCs/>
          <w:color w:val="auto"/>
          <w:lang w:val="lt-LT"/>
        </w:rPr>
        <w:t>Prienų švietimo pagalbos tarnybos funkcionavimą užt</w:t>
      </w:r>
      <w:r w:rsidR="00243972">
        <w:rPr>
          <w:bCs/>
          <w:color w:val="auto"/>
          <w:lang w:val="lt-LT"/>
        </w:rPr>
        <w:t>ikrinti vienose patalpose.</w:t>
      </w:r>
    </w:p>
    <w:p w:rsidR="00CD636B" w:rsidRDefault="00CD636B" w:rsidP="004F7E0F">
      <w:pPr>
        <w:pStyle w:val="Default"/>
        <w:ind w:firstLine="1134"/>
        <w:jc w:val="both"/>
        <w:rPr>
          <w:bCs/>
          <w:color w:val="auto"/>
          <w:lang w:val="lt-LT"/>
        </w:rPr>
      </w:pPr>
    </w:p>
    <w:p w:rsidR="00AD047B" w:rsidRDefault="00AD047B" w:rsidP="00AD047B">
      <w:pPr>
        <w:spacing w:line="360" w:lineRule="auto"/>
        <w:ind w:firstLine="709"/>
        <w:jc w:val="center"/>
      </w:pPr>
      <w:r>
        <w:t>________________________</w:t>
      </w:r>
    </w:p>
    <w:p w:rsidR="00CD636B" w:rsidRDefault="00CD636B" w:rsidP="00AD047B">
      <w:pPr>
        <w:pStyle w:val="Default"/>
        <w:spacing w:line="360" w:lineRule="auto"/>
        <w:ind w:firstLine="1134"/>
        <w:jc w:val="center"/>
        <w:rPr>
          <w:bCs/>
          <w:color w:val="FF0000"/>
          <w:lang w:val="lt-LT"/>
        </w:rPr>
      </w:pPr>
    </w:p>
    <w:sectPr w:rsidR="00CD636B" w:rsidSect="00A2087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1ED1"/>
    <w:multiLevelType w:val="multilevel"/>
    <w:tmpl w:val="FFACFB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20" w:hanging="1800"/>
      </w:pPr>
      <w:rPr>
        <w:rFonts w:hint="default"/>
      </w:rPr>
    </w:lvl>
  </w:abstractNum>
  <w:abstractNum w:abstractNumId="1">
    <w:nsid w:val="3A8247D7"/>
    <w:multiLevelType w:val="multilevel"/>
    <w:tmpl w:val="CCB0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090"/>
        </w:tabs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310"/>
        </w:tabs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600"/>
        </w:tabs>
        <w:ind w:left="96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8"/>
  <w:hyphenationZone w:val="396"/>
  <w:characterSpacingControl w:val="doNotCompress"/>
  <w:compat/>
  <w:rsids>
    <w:rsidRoot w:val="00B81EFA"/>
    <w:rsid w:val="000132B6"/>
    <w:rsid w:val="00013679"/>
    <w:rsid w:val="00016C8A"/>
    <w:rsid w:val="0002123D"/>
    <w:rsid w:val="00025535"/>
    <w:rsid w:val="00027637"/>
    <w:rsid w:val="0004068B"/>
    <w:rsid w:val="00041C3D"/>
    <w:rsid w:val="000465B1"/>
    <w:rsid w:val="00047F5A"/>
    <w:rsid w:val="00053FA5"/>
    <w:rsid w:val="0006430D"/>
    <w:rsid w:val="000706BC"/>
    <w:rsid w:val="000758C9"/>
    <w:rsid w:val="00082920"/>
    <w:rsid w:val="00094300"/>
    <w:rsid w:val="000A685D"/>
    <w:rsid w:val="000B6B93"/>
    <w:rsid w:val="000D1518"/>
    <w:rsid w:val="000D2A9D"/>
    <w:rsid w:val="000E1472"/>
    <w:rsid w:val="000E26B1"/>
    <w:rsid w:val="000E27FD"/>
    <w:rsid w:val="000F17F9"/>
    <w:rsid w:val="000F3D5F"/>
    <w:rsid w:val="000F5E35"/>
    <w:rsid w:val="00112D1B"/>
    <w:rsid w:val="00113CA8"/>
    <w:rsid w:val="00121E45"/>
    <w:rsid w:val="0014153B"/>
    <w:rsid w:val="00141874"/>
    <w:rsid w:val="001420B4"/>
    <w:rsid w:val="0014385E"/>
    <w:rsid w:val="0014580C"/>
    <w:rsid w:val="00162110"/>
    <w:rsid w:val="00167791"/>
    <w:rsid w:val="00173A10"/>
    <w:rsid w:val="001817F7"/>
    <w:rsid w:val="00190E0B"/>
    <w:rsid w:val="0019513C"/>
    <w:rsid w:val="0019525D"/>
    <w:rsid w:val="00195DE2"/>
    <w:rsid w:val="001A122F"/>
    <w:rsid w:val="001A252C"/>
    <w:rsid w:val="001B0065"/>
    <w:rsid w:val="001C269A"/>
    <w:rsid w:val="001C4CB8"/>
    <w:rsid w:val="001C58BD"/>
    <w:rsid w:val="001D2CD7"/>
    <w:rsid w:val="001D6896"/>
    <w:rsid w:val="001E671C"/>
    <w:rsid w:val="00210208"/>
    <w:rsid w:val="00220CAC"/>
    <w:rsid w:val="00235FD9"/>
    <w:rsid w:val="00240F9D"/>
    <w:rsid w:val="00243972"/>
    <w:rsid w:val="00245816"/>
    <w:rsid w:val="002517CF"/>
    <w:rsid w:val="002536D6"/>
    <w:rsid w:val="00253CE1"/>
    <w:rsid w:val="0026612A"/>
    <w:rsid w:val="00274AD6"/>
    <w:rsid w:val="0027722D"/>
    <w:rsid w:val="002905F7"/>
    <w:rsid w:val="002A2E46"/>
    <w:rsid w:val="002A63F4"/>
    <w:rsid w:val="002A7D1A"/>
    <w:rsid w:val="002B10C9"/>
    <w:rsid w:val="002B298B"/>
    <w:rsid w:val="002C4C73"/>
    <w:rsid w:val="002C72BA"/>
    <w:rsid w:val="002C795C"/>
    <w:rsid w:val="002D498D"/>
    <w:rsid w:val="002E0EB6"/>
    <w:rsid w:val="002E7C82"/>
    <w:rsid w:val="002F1548"/>
    <w:rsid w:val="002F3D7B"/>
    <w:rsid w:val="002F686F"/>
    <w:rsid w:val="0030630B"/>
    <w:rsid w:val="00311F9A"/>
    <w:rsid w:val="0032512D"/>
    <w:rsid w:val="00330627"/>
    <w:rsid w:val="00354263"/>
    <w:rsid w:val="00360422"/>
    <w:rsid w:val="00366728"/>
    <w:rsid w:val="0036783E"/>
    <w:rsid w:val="00372A2E"/>
    <w:rsid w:val="003825AA"/>
    <w:rsid w:val="003848AF"/>
    <w:rsid w:val="00390544"/>
    <w:rsid w:val="003971E5"/>
    <w:rsid w:val="003A3C33"/>
    <w:rsid w:val="003A57D6"/>
    <w:rsid w:val="003D2D52"/>
    <w:rsid w:val="003D6C40"/>
    <w:rsid w:val="003E4D5C"/>
    <w:rsid w:val="003E5D37"/>
    <w:rsid w:val="003E66FB"/>
    <w:rsid w:val="003F6439"/>
    <w:rsid w:val="004017BB"/>
    <w:rsid w:val="0040359B"/>
    <w:rsid w:val="004055D5"/>
    <w:rsid w:val="004107DA"/>
    <w:rsid w:val="00416174"/>
    <w:rsid w:val="00423985"/>
    <w:rsid w:val="004239F5"/>
    <w:rsid w:val="004641AF"/>
    <w:rsid w:val="0047000D"/>
    <w:rsid w:val="00473B20"/>
    <w:rsid w:val="00485B6D"/>
    <w:rsid w:val="00493619"/>
    <w:rsid w:val="004942F7"/>
    <w:rsid w:val="00495044"/>
    <w:rsid w:val="004A1E1B"/>
    <w:rsid w:val="004B3F60"/>
    <w:rsid w:val="004C129D"/>
    <w:rsid w:val="004C4DDE"/>
    <w:rsid w:val="004C4EEE"/>
    <w:rsid w:val="004C535A"/>
    <w:rsid w:val="004E594C"/>
    <w:rsid w:val="004E7F5B"/>
    <w:rsid w:val="004F7E0F"/>
    <w:rsid w:val="00500C62"/>
    <w:rsid w:val="00501CDC"/>
    <w:rsid w:val="0051194E"/>
    <w:rsid w:val="005210D8"/>
    <w:rsid w:val="00541418"/>
    <w:rsid w:val="00546DDA"/>
    <w:rsid w:val="005504F5"/>
    <w:rsid w:val="00550EEA"/>
    <w:rsid w:val="00551C09"/>
    <w:rsid w:val="005615C7"/>
    <w:rsid w:val="00573E88"/>
    <w:rsid w:val="00574759"/>
    <w:rsid w:val="00574C75"/>
    <w:rsid w:val="005776B5"/>
    <w:rsid w:val="00591EED"/>
    <w:rsid w:val="005B00BF"/>
    <w:rsid w:val="005B1389"/>
    <w:rsid w:val="005B7EBF"/>
    <w:rsid w:val="005C165F"/>
    <w:rsid w:val="005C605D"/>
    <w:rsid w:val="005C6FB6"/>
    <w:rsid w:val="005D0189"/>
    <w:rsid w:val="005E51AF"/>
    <w:rsid w:val="00602BA2"/>
    <w:rsid w:val="0061150F"/>
    <w:rsid w:val="0061598C"/>
    <w:rsid w:val="00622F4B"/>
    <w:rsid w:val="00626362"/>
    <w:rsid w:val="00627B24"/>
    <w:rsid w:val="006313F3"/>
    <w:rsid w:val="00637312"/>
    <w:rsid w:val="0064091C"/>
    <w:rsid w:val="006418A2"/>
    <w:rsid w:val="006517C2"/>
    <w:rsid w:val="0066795A"/>
    <w:rsid w:val="00671F51"/>
    <w:rsid w:val="0068374A"/>
    <w:rsid w:val="00685AD6"/>
    <w:rsid w:val="006A1AB2"/>
    <w:rsid w:val="006A7342"/>
    <w:rsid w:val="006A7451"/>
    <w:rsid w:val="006E5928"/>
    <w:rsid w:val="006F35E6"/>
    <w:rsid w:val="006F3CA3"/>
    <w:rsid w:val="00700487"/>
    <w:rsid w:val="00701AF7"/>
    <w:rsid w:val="00705BBB"/>
    <w:rsid w:val="00711ECE"/>
    <w:rsid w:val="0071575F"/>
    <w:rsid w:val="00721DBD"/>
    <w:rsid w:val="007340EB"/>
    <w:rsid w:val="007400B2"/>
    <w:rsid w:val="00740279"/>
    <w:rsid w:val="00743E54"/>
    <w:rsid w:val="00751DFB"/>
    <w:rsid w:val="00755CF6"/>
    <w:rsid w:val="0076152F"/>
    <w:rsid w:val="00761CA7"/>
    <w:rsid w:val="007669AA"/>
    <w:rsid w:val="0077049A"/>
    <w:rsid w:val="00771DD6"/>
    <w:rsid w:val="00772C0D"/>
    <w:rsid w:val="00777D1E"/>
    <w:rsid w:val="00792D1D"/>
    <w:rsid w:val="007939CF"/>
    <w:rsid w:val="007A25D7"/>
    <w:rsid w:val="007A7938"/>
    <w:rsid w:val="007C24F5"/>
    <w:rsid w:val="007D2837"/>
    <w:rsid w:val="007D55B1"/>
    <w:rsid w:val="007F1DBA"/>
    <w:rsid w:val="007F5821"/>
    <w:rsid w:val="007F774F"/>
    <w:rsid w:val="00813058"/>
    <w:rsid w:val="00814456"/>
    <w:rsid w:val="00823005"/>
    <w:rsid w:val="00845F23"/>
    <w:rsid w:val="00846E4A"/>
    <w:rsid w:val="00871F5B"/>
    <w:rsid w:val="00877E8E"/>
    <w:rsid w:val="00890947"/>
    <w:rsid w:val="00896072"/>
    <w:rsid w:val="008A28DD"/>
    <w:rsid w:val="008A34EC"/>
    <w:rsid w:val="008B08E5"/>
    <w:rsid w:val="008B13B6"/>
    <w:rsid w:val="008B153E"/>
    <w:rsid w:val="008B16C6"/>
    <w:rsid w:val="008C058A"/>
    <w:rsid w:val="008E1664"/>
    <w:rsid w:val="008E1B0C"/>
    <w:rsid w:val="008F2275"/>
    <w:rsid w:val="00912C1C"/>
    <w:rsid w:val="009201D6"/>
    <w:rsid w:val="00923576"/>
    <w:rsid w:val="0092392A"/>
    <w:rsid w:val="0092567E"/>
    <w:rsid w:val="00933C95"/>
    <w:rsid w:val="00936558"/>
    <w:rsid w:val="00937D71"/>
    <w:rsid w:val="00943741"/>
    <w:rsid w:val="00947657"/>
    <w:rsid w:val="009539FF"/>
    <w:rsid w:val="00955E49"/>
    <w:rsid w:val="00956FF9"/>
    <w:rsid w:val="00977F3D"/>
    <w:rsid w:val="009806C4"/>
    <w:rsid w:val="00982F1E"/>
    <w:rsid w:val="009836D5"/>
    <w:rsid w:val="00987CF4"/>
    <w:rsid w:val="00992573"/>
    <w:rsid w:val="00996221"/>
    <w:rsid w:val="009D1EDD"/>
    <w:rsid w:val="009D47E3"/>
    <w:rsid w:val="009E2BDC"/>
    <w:rsid w:val="009F0BA5"/>
    <w:rsid w:val="009F4FCB"/>
    <w:rsid w:val="00A053AC"/>
    <w:rsid w:val="00A160C3"/>
    <w:rsid w:val="00A20879"/>
    <w:rsid w:val="00A3373A"/>
    <w:rsid w:val="00A37D84"/>
    <w:rsid w:val="00A42B2A"/>
    <w:rsid w:val="00A445BB"/>
    <w:rsid w:val="00A508F5"/>
    <w:rsid w:val="00A91C1B"/>
    <w:rsid w:val="00AA4D8B"/>
    <w:rsid w:val="00AA78E8"/>
    <w:rsid w:val="00AB680F"/>
    <w:rsid w:val="00AB7AEF"/>
    <w:rsid w:val="00AC657A"/>
    <w:rsid w:val="00AD047B"/>
    <w:rsid w:val="00AD2A93"/>
    <w:rsid w:val="00AD4EFA"/>
    <w:rsid w:val="00B02130"/>
    <w:rsid w:val="00B07C6C"/>
    <w:rsid w:val="00B07CF6"/>
    <w:rsid w:val="00B1044D"/>
    <w:rsid w:val="00B13FBF"/>
    <w:rsid w:val="00B14F28"/>
    <w:rsid w:val="00B17803"/>
    <w:rsid w:val="00B236C8"/>
    <w:rsid w:val="00B3491F"/>
    <w:rsid w:val="00B46F75"/>
    <w:rsid w:val="00B51885"/>
    <w:rsid w:val="00B53B29"/>
    <w:rsid w:val="00B63B0F"/>
    <w:rsid w:val="00B6539A"/>
    <w:rsid w:val="00B71379"/>
    <w:rsid w:val="00B81EFA"/>
    <w:rsid w:val="00B8364E"/>
    <w:rsid w:val="00B861A7"/>
    <w:rsid w:val="00B91949"/>
    <w:rsid w:val="00B97974"/>
    <w:rsid w:val="00BB66D5"/>
    <w:rsid w:val="00BC0F40"/>
    <w:rsid w:val="00BC4121"/>
    <w:rsid w:val="00BC414A"/>
    <w:rsid w:val="00BC5057"/>
    <w:rsid w:val="00BC6A3F"/>
    <w:rsid w:val="00BE335D"/>
    <w:rsid w:val="00C00403"/>
    <w:rsid w:val="00C015C8"/>
    <w:rsid w:val="00C0196B"/>
    <w:rsid w:val="00C06855"/>
    <w:rsid w:val="00C1166D"/>
    <w:rsid w:val="00C130D1"/>
    <w:rsid w:val="00C14F67"/>
    <w:rsid w:val="00C40A71"/>
    <w:rsid w:val="00C5077C"/>
    <w:rsid w:val="00C51CB9"/>
    <w:rsid w:val="00C54C2A"/>
    <w:rsid w:val="00C571D3"/>
    <w:rsid w:val="00C630AD"/>
    <w:rsid w:val="00C64CB7"/>
    <w:rsid w:val="00C74C47"/>
    <w:rsid w:val="00C80D51"/>
    <w:rsid w:val="00C81C50"/>
    <w:rsid w:val="00C81EBD"/>
    <w:rsid w:val="00C85838"/>
    <w:rsid w:val="00C86E5B"/>
    <w:rsid w:val="00C93D7D"/>
    <w:rsid w:val="00CA0134"/>
    <w:rsid w:val="00CA4E7B"/>
    <w:rsid w:val="00CA6D4E"/>
    <w:rsid w:val="00CC14EB"/>
    <w:rsid w:val="00CC448E"/>
    <w:rsid w:val="00CD636B"/>
    <w:rsid w:val="00CF1DF8"/>
    <w:rsid w:val="00D02CAA"/>
    <w:rsid w:val="00D13643"/>
    <w:rsid w:val="00D17411"/>
    <w:rsid w:val="00D20FF1"/>
    <w:rsid w:val="00D319B5"/>
    <w:rsid w:val="00D33B02"/>
    <w:rsid w:val="00D40C98"/>
    <w:rsid w:val="00D46527"/>
    <w:rsid w:val="00D74C59"/>
    <w:rsid w:val="00D80FD3"/>
    <w:rsid w:val="00D86039"/>
    <w:rsid w:val="00D90850"/>
    <w:rsid w:val="00DA365B"/>
    <w:rsid w:val="00DB5076"/>
    <w:rsid w:val="00DC000B"/>
    <w:rsid w:val="00DC2A16"/>
    <w:rsid w:val="00DC4908"/>
    <w:rsid w:val="00DC491B"/>
    <w:rsid w:val="00DC72FC"/>
    <w:rsid w:val="00DD2B41"/>
    <w:rsid w:val="00DD4D19"/>
    <w:rsid w:val="00DE0C83"/>
    <w:rsid w:val="00DE1C82"/>
    <w:rsid w:val="00DF1CA3"/>
    <w:rsid w:val="00E00A43"/>
    <w:rsid w:val="00E1292D"/>
    <w:rsid w:val="00E143F3"/>
    <w:rsid w:val="00E2078B"/>
    <w:rsid w:val="00E50FBB"/>
    <w:rsid w:val="00E56E81"/>
    <w:rsid w:val="00E7592F"/>
    <w:rsid w:val="00E76475"/>
    <w:rsid w:val="00E830EE"/>
    <w:rsid w:val="00E83335"/>
    <w:rsid w:val="00EA34E0"/>
    <w:rsid w:val="00EB062F"/>
    <w:rsid w:val="00EB6D24"/>
    <w:rsid w:val="00EB7B43"/>
    <w:rsid w:val="00EC181F"/>
    <w:rsid w:val="00EC3A28"/>
    <w:rsid w:val="00ED0862"/>
    <w:rsid w:val="00ED68F6"/>
    <w:rsid w:val="00ED7EA6"/>
    <w:rsid w:val="00EE32A2"/>
    <w:rsid w:val="00EE6723"/>
    <w:rsid w:val="00EE7D78"/>
    <w:rsid w:val="00EF32BC"/>
    <w:rsid w:val="00EF481C"/>
    <w:rsid w:val="00EF6930"/>
    <w:rsid w:val="00F16D4F"/>
    <w:rsid w:val="00F461E1"/>
    <w:rsid w:val="00F61253"/>
    <w:rsid w:val="00F64146"/>
    <w:rsid w:val="00F6588B"/>
    <w:rsid w:val="00F70DB5"/>
    <w:rsid w:val="00F750E5"/>
    <w:rsid w:val="00FA2F59"/>
    <w:rsid w:val="00FB51DF"/>
    <w:rsid w:val="00FC158F"/>
    <w:rsid w:val="00FC2091"/>
    <w:rsid w:val="00FC2639"/>
    <w:rsid w:val="00FD1CB4"/>
    <w:rsid w:val="00FE4514"/>
    <w:rsid w:val="00FE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385E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143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2">
    <w:name w:val="style2"/>
    <w:basedOn w:val="Normal"/>
    <w:uiPriority w:val="99"/>
    <w:rsid w:val="0014385E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59"/>
    <w:rsid w:val="0014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DE2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rsid w:val="00A2087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87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ietimocentras.prienai.l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Stankevičienė</dc:creator>
  <cp:lastModifiedBy>User</cp:lastModifiedBy>
  <cp:revision>5</cp:revision>
  <cp:lastPrinted>2017-03-15T07:02:00Z</cp:lastPrinted>
  <dcterms:created xsi:type="dcterms:W3CDTF">2017-03-10T09:43:00Z</dcterms:created>
  <dcterms:modified xsi:type="dcterms:W3CDTF">2017-03-15T07:03:00Z</dcterms:modified>
</cp:coreProperties>
</file>