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CF62BA" w:rsidRPr="00CF62BA" w:rsidRDefault="00CF62BA" w:rsidP="00CF62BA">
      <w:pPr>
        <w:spacing w:line="360" w:lineRule="auto"/>
        <w:jc w:val="center"/>
        <w:rPr>
          <w:b/>
          <w:lang w:val="lt-LT"/>
        </w:rPr>
      </w:pPr>
      <w:r w:rsidRPr="00CF62BA">
        <w:rPr>
          <w:b/>
          <w:lang w:val="lt-LT"/>
        </w:rPr>
        <w:t>SPRENDIMAS</w:t>
      </w:r>
    </w:p>
    <w:p w:rsidR="001E6B4F" w:rsidRPr="009C3003" w:rsidRDefault="00CF62BA" w:rsidP="00CF62BA">
      <w:pPr>
        <w:spacing w:line="360" w:lineRule="auto"/>
        <w:jc w:val="center"/>
        <w:rPr>
          <w:b/>
          <w:bCs/>
          <w:lang w:val="lt-LT"/>
        </w:rPr>
      </w:pPr>
      <w:r w:rsidRPr="00CF62BA">
        <w:rPr>
          <w:b/>
          <w:lang w:val="lt-LT"/>
        </w:rPr>
        <w:t>DĖL PRIENŲ RAJONO SAVIVALDYBĖS TARYBOS 2016 M. SAUSIO 28 D. SPRENDIMO NR. T3-2 „DĖL PRIENŲ RAJONO SAVIVALDYBĖS NEFORMALIOJO VAIKŲ ŠVIETIMO LĖŠŲ SKYRIMO IR PANAUDOJIMO TVARKOS APRAŠO PATVIRTINIMO“ PAKEITIMO</w:t>
      </w:r>
      <w:bookmarkStart w:id="0" w:name="_GoBack"/>
      <w:bookmarkEnd w:id="0"/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4006B4">
        <w:rPr>
          <w:lang w:val="lt-LT"/>
        </w:rPr>
        <w:t>vasario 8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1E3F48">
        <w:rPr>
          <w:lang w:val="lt-LT"/>
        </w:rPr>
        <w:t>2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Vadovaudamasi Lietuvos Respublikos švietimo ir mokslo ministro 2016 m. sausio 5 d. įsakymu Nr. V-1 „Dėl Neformaliojo vaikų švietimo lėšų skyrimo ir panaudojimo tvarkos aprašo patvirtinimo“ patvirtintu Neformaliojo vaikų švietimo lėšų skyrimo ir panaudojimo tvarkos aprašu, Prienų rajono savivaldybės taryba n u s p r e n d ž i a: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Pakeisti Prienų rajono savivaldybės tarybos 2016 m. sausio 28 d. sprendimu Nr. T3-2 „Dėl Prienų rajono savivaldybės neformaliojo vaikų švietimo lėšų skyrimo ir panaudojimo tvarkos aprašo patvirtinimo“ patvirtintą Prienų rajono savivaldybės neformaliojo vaikų švietimo lėšų skyrimo ir panaudojimo tvarkos aprašą: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1. Pakeisti 1 punktą ir jį išdėstyti taip: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,,1. Prienų rajono savivaldybės neformaliojo vaikų švietimo lėšų skyrimo ir panaudojimo tvarkos aprašo (toliau – Aprašas) paskirtis – apibrėžti valstybės biudžeto ir / arba Europos Sąjungos finansinės paramos ir bendrojo finansavimo lėšų, skiriamų Prienų rajono savivaldybei mokinių ugdymui pagal neformaliojo vaikų švietimo (išskyrus ikimokyklinio, priešmokyklinio ir formalųjį švietimą papildančio ugdymo) (toliau – NVŠ) programas, skyrimo principus, lėšų naudojimą, reikalavimus švietimo teikėjui ir NVŠ programoms, NVŠ tikslinėmis lėšomis finansuojamų mokinių apskaitą, NVŠ programų vertinimo, kokybės užtikrinimo ir atsiskaitymo už NVŠ lėšas tvarką.“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2. Pakeisti 4 punktą ir jį išdėstyti taip: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,,4. Rekomenduojama NVŠ lėšų suma vienam NVŠ programoje dalyvaujančiam mokiniui, nustatyta Mokinio krepšelio lėšų apskaičiavimo ir paskirstymo metodikoje, yra 15 eurų per mėnesį. Savivaldybė, atsižvelgdama į prioritetus, gali nustatyti kitokią NVŠ lėšų sumą vienam NVŠ programoje dalyvaujančiam vaikui per mėnesį, bet ji negali būti mažesnė nei 10 eurų ir didesnė nei 20 eurų.“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lastRenderedPageBreak/>
        <w:t>3. Pakeisti 11 punktą ir jį išdėstyti taip: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„11. NVŠ lėšos skiriamos vaiko, dalyvaujančio NVŠ programoje, ugdymo procesui ir tiesiogiai su juo susijusioms išlaidoms finansuoti.“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4. Pripažinti netekusiu galios 12 punktą.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5. Pakeisti 13 punktą ir jį išdėstyti taip: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„13. NVŠ lėšų negalima naudoti: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13.1. pramoginių ir poilsio renginių išlaidoms apmokėti;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13.2. NVŠ programoms, kai NVŠ teikėjas yra mokykla, teikianti bendrąjį ugdymą, finansuoti;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13.3. rekonstrukcijos, remonto, statybos išlaidoms padengti ir ilgalaikiam turtui įsigyti;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13.4. NVŠ programos vykdytojo įsiskolinimams padengti.“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6. Pakeisti 30 pu</w:t>
      </w:r>
      <w:r>
        <w:rPr>
          <w:lang w:val="lt-LT"/>
        </w:rPr>
        <w:t>n</w:t>
      </w:r>
      <w:r w:rsidRPr="00EF529B">
        <w:rPr>
          <w:lang w:val="lt-LT"/>
        </w:rPr>
        <w:t>ktą ir jį išdėstyti taip:</w:t>
      </w:r>
    </w:p>
    <w:p w:rsidR="00EF529B" w:rsidRPr="00EF529B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„30. Savivaldybė už Europos Sąjungos finansinės paramos ir bendrojo finansavimo lėšas atsiskaito teisės aktų nustatyta tvarka.“</w:t>
      </w:r>
    </w:p>
    <w:p w:rsidR="00D93407" w:rsidRPr="009C3003" w:rsidRDefault="00EF529B" w:rsidP="00EF529B">
      <w:pPr>
        <w:spacing w:line="360" w:lineRule="auto"/>
        <w:ind w:firstLine="1080"/>
        <w:jc w:val="both"/>
        <w:rPr>
          <w:lang w:val="lt-LT"/>
        </w:rPr>
      </w:pPr>
      <w:r w:rsidRPr="00EF529B">
        <w:rPr>
          <w:lang w:val="lt-LT"/>
        </w:rPr>
        <w:t>7. Pripažinti netekusiu galios nurodyto aprašo 3 priedą.</w:t>
      </w:r>
    </w:p>
    <w:p w:rsidR="00D93407" w:rsidRDefault="00D93407" w:rsidP="006C6C1D">
      <w:pPr>
        <w:spacing w:line="360" w:lineRule="auto"/>
        <w:ind w:firstLine="1080"/>
        <w:jc w:val="both"/>
        <w:rPr>
          <w:lang w:val="lt-LT"/>
        </w:rPr>
      </w:pPr>
    </w:p>
    <w:p w:rsidR="00070F48" w:rsidRPr="009C3003" w:rsidRDefault="00070F48" w:rsidP="006C6C1D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6C6C1D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25" w:rsidRDefault="00927725">
      <w:r>
        <w:separator/>
      </w:r>
    </w:p>
  </w:endnote>
  <w:endnote w:type="continuationSeparator" w:id="0">
    <w:p w:rsidR="00927725" w:rsidRDefault="00927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25" w:rsidRDefault="00927725">
      <w:r>
        <w:separator/>
      </w:r>
    </w:p>
  </w:footnote>
  <w:footnote w:type="continuationSeparator" w:id="0">
    <w:p w:rsidR="00927725" w:rsidRDefault="00927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F389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F389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29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389B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3F48"/>
    <w:rsid w:val="001E6847"/>
    <w:rsid w:val="001E6B4F"/>
    <w:rsid w:val="001F4982"/>
    <w:rsid w:val="001F6953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482F"/>
    <w:rsid w:val="004B7A6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4B3E"/>
    <w:rsid w:val="006A5542"/>
    <w:rsid w:val="006A56C6"/>
    <w:rsid w:val="006B33C2"/>
    <w:rsid w:val="006B3870"/>
    <w:rsid w:val="006B4904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8301B"/>
    <w:rsid w:val="00785676"/>
    <w:rsid w:val="0078702D"/>
    <w:rsid w:val="00791295"/>
    <w:rsid w:val="00794EC9"/>
    <w:rsid w:val="007B0C85"/>
    <w:rsid w:val="007E5CEA"/>
    <w:rsid w:val="007E77B1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27725"/>
    <w:rsid w:val="00931217"/>
    <w:rsid w:val="00936219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E763D"/>
    <w:rsid w:val="00AF031F"/>
    <w:rsid w:val="00AF30AE"/>
    <w:rsid w:val="00AF6858"/>
    <w:rsid w:val="00B0011B"/>
    <w:rsid w:val="00B05D7B"/>
    <w:rsid w:val="00B06472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4C7A"/>
    <w:rsid w:val="00C87A79"/>
    <w:rsid w:val="00C95332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2BA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8C5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73AE"/>
    <w:rsid w:val="00EE7876"/>
    <w:rsid w:val="00EF041D"/>
    <w:rsid w:val="00EF3BEE"/>
    <w:rsid w:val="00EF529B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2017-10-26T11:49:00Z</cp:lastPrinted>
  <dcterms:created xsi:type="dcterms:W3CDTF">2018-02-09T11:59:00Z</dcterms:created>
  <dcterms:modified xsi:type="dcterms:W3CDTF">2018-02-12T09:28:00Z</dcterms:modified>
</cp:coreProperties>
</file>