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F3" w:rsidRDefault="00D764F3" w:rsidP="00D764F3">
      <w:pPr>
        <w:ind w:firstLine="113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PATVIRTINTA</w:t>
      </w:r>
    </w:p>
    <w:p w:rsidR="00D764F3" w:rsidRDefault="00D764F3" w:rsidP="00D764F3">
      <w:pPr>
        <w:ind w:right="-1165" w:firstLine="1063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Prienų rajono savivaldybės tarybos</w:t>
      </w:r>
    </w:p>
    <w:p w:rsidR="00D764F3" w:rsidRDefault="00D764F3" w:rsidP="00D764F3">
      <w:pPr>
        <w:ind w:firstLine="113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</w:t>
      </w:r>
      <w:r w:rsidR="006B2155">
        <w:rPr>
          <w:sz w:val="22"/>
          <w:szCs w:val="22"/>
          <w:lang w:val="lt-LT"/>
        </w:rPr>
        <w:t>8</w:t>
      </w:r>
      <w:r>
        <w:rPr>
          <w:sz w:val="22"/>
          <w:szCs w:val="22"/>
          <w:lang w:val="lt-LT"/>
        </w:rPr>
        <w:t xml:space="preserve"> m. balandžio </w:t>
      </w:r>
      <w:r w:rsidR="00604C0F">
        <w:rPr>
          <w:sz w:val="22"/>
          <w:szCs w:val="22"/>
          <w:lang w:val="lt-LT"/>
        </w:rPr>
        <w:t>26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lt-LT"/>
        </w:rPr>
        <w:t xml:space="preserve">d. </w:t>
      </w:r>
    </w:p>
    <w:p w:rsidR="00D764F3" w:rsidRDefault="00D764F3" w:rsidP="00D764F3">
      <w:pPr>
        <w:ind w:firstLine="113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sprendimu Nr. </w:t>
      </w:r>
      <w:r w:rsidR="00604C0F">
        <w:rPr>
          <w:sz w:val="22"/>
          <w:szCs w:val="22"/>
          <w:lang w:val="lt-LT"/>
        </w:rPr>
        <w:t>T3-128</w:t>
      </w:r>
    </w:p>
    <w:p w:rsidR="00D764F3" w:rsidRDefault="00D764F3" w:rsidP="00D764F3">
      <w:pPr>
        <w:rPr>
          <w:b/>
          <w:sz w:val="24"/>
          <w:szCs w:val="24"/>
          <w:lang w:val="lt-LT"/>
        </w:rPr>
      </w:pPr>
    </w:p>
    <w:p w:rsidR="00560C63" w:rsidRDefault="00560C63" w:rsidP="00D764F3">
      <w:pPr>
        <w:jc w:val="center"/>
        <w:rPr>
          <w:b/>
          <w:sz w:val="22"/>
          <w:lang w:val="lt-LT"/>
        </w:rPr>
      </w:pPr>
      <w:r>
        <w:rPr>
          <w:b/>
          <w:sz w:val="24"/>
          <w:szCs w:val="24"/>
          <w:lang w:val="lt-LT"/>
        </w:rPr>
        <w:t>VŠĮ PRIENŲ RAJONO PIRMINĖS SVEIKATOS PRIEŽIŪROS CENTRO 201</w:t>
      </w:r>
      <w:r w:rsidR="006B2155">
        <w:rPr>
          <w:b/>
          <w:sz w:val="24"/>
          <w:szCs w:val="24"/>
          <w:lang w:val="lt-LT"/>
        </w:rPr>
        <w:t>8</w:t>
      </w:r>
      <w:r>
        <w:rPr>
          <w:b/>
          <w:sz w:val="24"/>
          <w:szCs w:val="24"/>
          <w:lang w:val="lt-LT"/>
        </w:rPr>
        <w:t xml:space="preserve"> METŲ VEIKLOS UŽDUOTYS</w:t>
      </w:r>
    </w:p>
    <w:p w:rsidR="00560C63" w:rsidRDefault="00560C63" w:rsidP="00560C63">
      <w:pPr>
        <w:tabs>
          <w:tab w:val="left" w:pos="8145"/>
        </w:tabs>
        <w:rPr>
          <w:sz w:val="22"/>
          <w:lang w:val="lt-LT"/>
        </w:rPr>
      </w:pPr>
      <w:r>
        <w:rPr>
          <w:sz w:val="22"/>
          <w:lang w:val="lt-LT"/>
        </w:rPr>
        <w:tab/>
      </w:r>
    </w:p>
    <w:tbl>
      <w:tblPr>
        <w:tblW w:w="14952" w:type="dxa"/>
        <w:jc w:val="center"/>
        <w:tblInd w:w="-605" w:type="dxa"/>
        <w:tblCellMar>
          <w:left w:w="0" w:type="dxa"/>
          <w:right w:w="0" w:type="dxa"/>
        </w:tblCellMar>
        <w:tblLook w:val="04A0"/>
      </w:tblPr>
      <w:tblGrid>
        <w:gridCol w:w="512"/>
        <w:gridCol w:w="3210"/>
        <w:gridCol w:w="991"/>
        <w:gridCol w:w="1036"/>
        <w:gridCol w:w="921"/>
        <w:gridCol w:w="1130"/>
        <w:gridCol w:w="1121"/>
        <w:gridCol w:w="1144"/>
        <w:gridCol w:w="916"/>
        <w:gridCol w:w="1036"/>
        <w:gridCol w:w="916"/>
        <w:gridCol w:w="994"/>
        <w:gridCol w:w="1025"/>
      </w:tblGrid>
      <w:tr w:rsidR="002F734D" w:rsidTr="00D764F3">
        <w:trPr>
          <w:jc w:val="center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right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Balai</w:t>
            </w:r>
          </w:p>
          <w:p w:rsidR="00560C63" w:rsidRDefault="00560C63" w:rsidP="00C677BA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Užduotys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9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Finansinis veiklos rezultatas</w:t>
            </w:r>
          </w:p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(tūkstančiai eurų + ar -)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0-0,5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0,6-1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1,1-2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2,1-3,4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3,5-4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7-8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9-10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11-12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13-15 ir daugiau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Sąnaudų darbo užmokesčiui dalis (procentai)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</w:t>
            </w:r>
            <w:r w:rsidR="00560C63">
              <w:rPr>
                <w:lang w:val="lt-LT"/>
              </w:rPr>
              <w:t xml:space="preserve"> ir mažiau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Sąnaudų valdymo išlaidoms dalis (procentai)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5,0 ir mažiau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Papildomų finansavimo šaltinių pritraukimas (tūkstančiai eurų)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3,1-5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5,1-7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7,1-9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9,1-11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11,1-13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13,1-15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Pr="00335B58" w:rsidRDefault="00560C63" w:rsidP="00C677BA">
            <w:pPr>
              <w:jc w:val="center"/>
              <w:rPr>
                <w:sz w:val="18"/>
                <w:szCs w:val="18"/>
                <w:lang w:val="lt-LT"/>
              </w:rPr>
            </w:pPr>
            <w:r w:rsidRPr="00335B58">
              <w:rPr>
                <w:sz w:val="18"/>
                <w:szCs w:val="18"/>
                <w:lang w:val="lt-LT"/>
              </w:rPr>
              <w:t>15,1-17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17,1-19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19,1 ir daugiau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Pacientų pasitenkinimo teikiamomis paslaugomis lygis (pagrįstų skundų skaičius)*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404C4F" w:rsidP="00C677BA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 xml:space="preserve">Darbuotojų kaitos rodiklis </w:t>
            </w:r>
          </w:p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 xml:space="preserve">(procentais) </w:t>
            </w:r>
          </w:p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  <w:r w:rsidR="00560C63">
              <w:rPr>
                <w:lang w:val="lt-LT"/>
              </w:rPr>
              <w:t>ir daugiau</w:t>
            </w:r>
          </w:p>
          <w:p w:rsidR="00596B67" w:rsidRDefault="00596B67" w:rsidP="002F734D">
            <w:pPr>
              <w:jc w:val="center"/>
              <w:rPr>
                <w:lang w:val="lt-L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96B67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21-22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19-20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17-18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15-16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14-13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9-10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7-8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0-4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404C4F" w:rsidP="00C677BA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60C63"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Asmens sveikatos priežiūros paslaugų prieinamumas (dienos)**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ir daugiau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10-11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9-10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8-9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7-8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4-5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3-4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2-3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0-2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404C4F" w:rsidP="00C677B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560C63"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Informacinių technologijų diegimo ir vystymo lygis ***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Diegiama pirma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Diegiama antra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Diegiama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trečia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Diegiama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ketvirta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Diegiama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penkta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ir</w:t>
            </w:r>
          </w:p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daugiau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404C4F" w:rsidP="00404C4F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560C63"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rPr>
                <w:lang w:val="lt-LT"/>
              </w:rPr>
            </w:pPr>
            <w:r>
              <w:rPr>
                <w:lang w:val="lt-LT"/>
              </w:rPr>
              <w:t>Sveikatos priežiūros sp</w:t>
            </w:r>
            <w:r w:rsidR="00C677BA">
              <w:rPr>
                <w:lang w:val="lt-LT"/>
              </w:rPr>
              <w:t>ecialistų kvalifikacijos kėlimo</w:t>
            </w:r>
            <w:r>
              <w:rPr>
                <w:lang w:val="lt-LT"/>
              </w:rPr>
              <w:t xml:space="preserve"> (tobulinimas, seminarai, stažuotės) rodiklis  (kėlusių kvalifikaciją dalis per metus (%)</w:t>
            </w:r>
            <w:r w:rsidR="00C677BA">
              <w:rPr>
                <w:lang w:val="lt-LT"/>
              </w:rPr>
              <w:t>,</w:t>
            </w:r>
            <w:r>
              <w:rPr>
                <w:lang w:val="lt-LT"/>
              </w:rPr>
              <w:t xml:space="preserve"> palyginti su visų sveikatos priežiūros specialistų skaičiumi).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8C4199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nuo3 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nuo5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7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8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 </w:t>
            </w:r>
            <w:r w:rsidR="008C4199">
              <w:rPr>
                <w:lang w:val="lt-LT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9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nuo10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13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nuo15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8C4199">
              <w:rPr>
                <w:lang w:val="lt-L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 w:rsidR="008C4199">
              <w:rPr>
                <w:lang w:val="lt-LT"/>
              </w:rPr>
              <w:t>20</w:t>
            </w:r>
          </w:p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 </w:t>
            </w:r>
            <w:r w:rsidR="008C4199">
              <w:rPr>
                <w:lang w:val="lt-LT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63" w:rsidRDefault="00560C63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  <w:p w:rsidR="008C4199" w:rsidRDefault="008C4199" w:rsidP="00C677BA">
            <w:pPr>
              <w:jc w:val="center"/>
              <w:rPr>
                <w:lang w:val="lt-LT"/>
              </w:rPr>
            </w:pPr>
          </w:p>
          <w:p w:rsidR="008C4199" w:rsidRDefault="008C4199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ir daugiau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143EC8" w:rsidP="00404C4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404C4F">
              <w:rPr>
                <w:lang w:val="lt-LT"/>
              </w:rPr>
              <w:t>0</w:t>
            </w:r>
            <w:r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2F734D">
            <w:pPr>
              <w:rPr>
                <w:lang w:val="lt-LT"/>
              </w:rPr>
            </w:pPr>
            <w:r>
              <w:rPr>
                <w:lang w:val="lt-LT"/>
              </w:rPr>
              <w:t>Ankstyvoji piktybinių navikų diagnostika (0-I stadija)</w:t>
            </w:r>
            <w:r w:rsidR="00C677BA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 atvejų skaičius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199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ir daugiau</w:t>
            </w:r>
          </w:p>
        </w:tc>
      </w:tr>
      <w:tr w:rsidR="002F734D" w:rsidTr="00D764F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404C4F" w:rsidP="00C677BA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2F734D"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2F734D">
            <w:pPr>
              <w:rPr>
                <w:lang w:val="lt-LT"/>
              </w:rPr>
            </w:pPr>
            <w:r>
              <w:rPr>
                <w:lang w:val="lt-LT"/>
              </w:rPr>
              <w:t>GMP operatyvumo rodiklis (%)</w:t>
            </w:r>
            <w:r w:rsidR="00143EC8">
              <w:rPr>
                <w:lang w:val="lt-LT"/>
              </w:rPr>
              <w:t>:</w:t>
            </w:r>
          </w:p>
          <w:p w:rsidR="00143EC8" w:rsidRDefault="00C677BA" w:rsidP="002F734D">
            <w:pPr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143EC8">
              <w:rPr>
                <w:lang w:val="lt-LT"/>
              </w:rPr>
              <w:t>ieste kvietimai iki 15 min., kaime – iki 25 min.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50 </w:t>
            </w: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55 iki 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60 </w:t>
            </w: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65</w:t>
            </w: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70</w:t>
            </w: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75 iki 77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2F734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77</w:t>
            </w:r>
          </w:p>
          <w:p w:rsidR="002F734D" w:rsidRDefault="002F734D" w:rsidP="002F734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80</w:t>
            </w: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83</w:t>
            </w:r>
          </w:p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iki 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4D" w:rsidRDefault="002F734D" w:rsidP="00C677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85 ir daugiau</w:t>
            </w:r>
          </w:p>
        </w:tc>
      </w:tr>
      <w:tr w:rsidR="00D764F3" w:rsidRPr="008241C1" w:rsidTr="00D764F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404C4F" w:rsidP="00C677BA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8241C1" w:rsidRPr="008241C1"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250A24" w:rsidP="00C677BA">
            <w:pPr>
              <w:tabs>
                <w:tab w:val="left" w:pos="8145"/>
              </w:tabs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Dalyvavimo</w:t>
            </w:r>
            <w:r w:rsidR="00D764F3" w:rsidRPr="008241C1">
              <w:rPr>
                <w:bCs/>
                <w:szCs w:val="24"/>
                <w:lang w:val="lt-LT"/>
              </w:rPr>
              <w:t xml:space="preserve">  įgyvendinant PSDF lėšomis finansuojamas atitinkamų ligų (gimdos kaklelio vėžio, krūties vėžio, storosios žarnos vėžio, </w:t>
            </w:r>
            <w:r w:rsidR="00D764F3" w:rsidRPr="008241C1">
              <w:rPr>
                <w:bCs/>
                <w:szCs w:val="24"/>
                <w:lang w:val="lt-LT"/>
              </w:rPr>
              <w:lastRenderedPageBreak/>
              <w:t>priešinės liaukos vėžio, širdies kraujagyslių ligų ir vaikų krūminių dantų ėduonies) prevencijos priemonių, atrankinės patikros, ankstyvosios diagnostikos programas mastas.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D764F3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r w:rsidRPr="008241C1">
              <w:rPr>
                <w:bCs/>
                <w:szCs w:val="24"/>
              </w:rPr>
              <w:lastRenderedPageBreak/>
              <w:t>Ma</w:t>
            </w:r>
            <w:proofErr w:type="spellStart"/>
            <w:r w:rsidRPr="008241C1">
              <w:rPr>
                <w:bCs/>
                <w:szCs w:val="24"/>
                <w:lang w:val="lt-LT"/>
              </w:rPr>
              <w:t>žesnis</w:t>
            </w:r>
            <w:proofErr w:type="spellEnd"/>
            <w:r w:rsidRPr="008241C1">
              <w:rPr>
                <w:bCs/>
                <w:szCs w:val="24"/>
                <w:lang w:val="lt-LT"/>
              </w:rPr>
              <w:t xml:space="preserve"> </w:t>
            </w:r>
            <w:r w:rsidR="00C677BA">
              <w:rPr>
                <w:bCs/>
                <w:szCs w:val="24"/>
                <w:lang w:val="lt-LT"/>
              </w:rPr>
              <w:t xml:space="preserve">už </w:t>
            </w:r>
            <w:r w:rsidRPr="008241C1">
              <w:rPr>
                <w:bCs/>
                <w:szCs w:val="24"/>
                <w:lang w:val="lt-LT"/>
              </w:rPr>
              <w:t xml:space="preserve">praeitų metų  </w:t>
            </w:r>
            <w:proofErr w:type="spellStart"/>
            <w:r w:rsidRPr="008241C1">
              <w:rPr>
                <w:bCs/>
                <w:szCs w:val="24"/>
              </w:rPr>
              <w:lastRenderedPageBreak/>
              <w:t>šalies</w:t>
            </w:r>
            <w:proofErr w:type="spellEnd"/>
            <w:r w:rsidRPr="008241C1">
              <w:rPr>
                <w:bCs/>
                <w:szCs w:val="24"/>
              </w:rPr>
              <w:t xml:space="preserve"> </w:t>
            </w:r>
            <w:proofErr w:type="spellStart"/>
            <w:r w:rsidRPr="008241C1">
              <w:rPr>
                <w:bCs/>
                <w:szCs w:val="24"/>
              </w:rPr>
              <w:t>vidurkį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D764F3" w:rsidP="00C677BA">
            <w:pPr>
              <w:jc w:val="center"/>
              <w:rPr>
                <w:lang w:val="lt-LT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D764F3" w:rsidP="00C677BA">
            <w:pPr>
              <w:jc w:val="center"/>
              <w:rPr>
                <w:lang w:val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D764F3" w:rsidP="00C677BA">
            <w:pPr>
              <w:jc w:val="center"/>
              <w:rPr>
                <w:lang w:val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D764F3" w:rsidP="00C677BA">
            <w:pPr>
              <w:jc w:val="center"/>
              <w:rPr>
                <w:lang w:val="lt-L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D764F3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r w:rsidRPr="008241C1">
              <w:rPr>
                <w:lang w:val="lt-LT"/>
              </w:rPr>
              <w:t>Lygus praeitų metų</w:t>
            </w:r>
            <w:r w:rsidRPr="008241C1">
              <w:rPr>
                <w:sz w:val="22"/>
                <w:lang w:val="lt-LT"/>
              </w:rPr>
              <w:t xml:space="preserve"> </w:t>
            </w:r>
            <w:proofErr w:type="spellStart"/>
            <w:r w:rsidRPr="008241C1">
              <w:rPr>
                <w:bCs/>
                <w:szCs w:val="24"/>
              </w:rPr>
              <w:t>šalies</w:t>
            </w:r>
            <w:proofErr w:type="spellEnd"/>
            <w:r w:rsidRPr="008241C1">
              <w:rPr>
                <w:bCs/>
                <w:szCs w:val="24"/>
              </w:rPr>
              <w:t xml:space="preserve"> </w:t>
            </w:r>
            <w:proofErr w:type="spellStart"/>
            <w:r w:rsidRPr="008241C1">
              <w:rPr>
                <w:bCs/>
                <w:szCs w:val="24"/>
              </w:rPr>
              <w:t>vidurkiui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250A24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proofErr w:type="spellStart"/>
            <w:r>
              <w:rPr>
                <w:bCs/>
                <w:szCs w:val="24"/>
              </w:rPr>
              <w:t>V</w:t>
            </w:r>
            <w:r w:rsidR="00D764F3" w:rsidRPr="008241C1">
              <w:rPr>
                <w:bCs/>
                <w:szCs w:val="24"/>
              </w:rPr>
              <w:t>iršija</w:t>
            </w:r>
            <w:proofErr w:type="spellEnd"/>
            <w:r w:rsidR="00D764F3" w:rsidRPr="008241C1">
              <w:rPr>
                <w:lang w:val="lt-LT"/>
              </w:rPr>
              <w:t xml:space="preserve"> praeitų metų</w:t>
            </w:r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šalies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lastRenderedPageBreak/>
              <w:t>vidurkį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nuo</w:t>
            </w:r>
            <w:proofErr w:type="spellEnd"/>
            <w:r w:rsidR="00D764F3" w:rsidRPr="008241C1">
              <w:rPr>
                <w:bCs/>
                <w:szCs w:val="24"/>
              </w:rPr>
              <w:t xml:space="preserve"> 1 </w:t>
            </w:r>
            <w:proofErr w:type="spellStart"/>
            <w:r w:rsidR="00D764F3" w:rsidRPr="008241C1">
              <w:rPr>
                <w:bCs/>
                <w:szCs w:val="24"/>
              </w:rPr>
              <w:t>iki</w:t>
            </w:r>
            <w:proofErr w:type="spellEnd"/>
            <w:r w:rsidR="00D764F3" w:rsidRPr="008241C1">
              <w:rPr>
                <w:bCs/>
                <w:szCs w:val="24"/>
              </w:rPr>
              <w:t xml:space="preserve"> 10 </w:t>
            </w:r>
            <w:proofErr w:type="spellStart"/>
            <w:r w:rsidR="00D764F3" w:rsidRPr="008241C1">
              <w:rPr>
                <w:bCs/>
                <w:szCs w:val="24"/>
              </w:rPr>
              <w:t>procentų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250A24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lastRenderedPageBreak/>
              <w:t>V</w:t>
            </w:r>
            <w:r w:rsidR="00D764F3" w:rsidRPr="008241C1">
              <w:rPr>
                <w:bCs/>
                <w:szCs w:val="24"/>
              </w:rPr>
              <w:t>iršija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šalies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r w:rsidR="00D764F3" w:rsidRPr="008241C1">
              <w:rPr>
                <w:lang w:val="lt-LT"/>
              </w:rPr>
              <w:t>praeitų metų</w:t>
            </w:r>
            <w:r w:rsidR="00D764F3" w:rsidRPr="008241C1">
              <w:rPr>
                <w:sz w:val="22"/>
                <w:lang w:val="lt-LT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lastRenderedPageBreak/>
              <w:t>vidurkį</w:t>
            </w:r>
            <w:proofErr w:type="spellEnd"/>
          </w:p>
          <w:p w:rsidR="00D764F3" w:rsidRPr="008241C1" w:rsidRDefault="00D764F3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r w:rsidRPr="008241C1">
              <w:rPr>
                <w:bCs/>
                <w:szCs w:val="24"/>
              </w:rPr>
              <w:t xml:space="preserve">11 </w:t>
            </w:r>
            <w:proofErr w:type="spellStart"/>
            <w:r w:rsidRPr="008241C1">
              <w:rPr>
                <w:bCs/>
                <w:szCs w:val="24"/>
              </w:rPr>
              <w:t>iki</w:t>
            </w:r>
            <w:proofErr w:type="spellEnd"/>
            <w:r w:rsidRPr="008241C1">
              <w:rPr>
                <w:bCs/>
                <w:szCs w:val="24"/>
              </w:rPr>
              <w:t xml:space="preserve"> 20 </w:t>
            </w:r>
            <w:proofErr w:type="spellStart"/>
            <w:r w:rsidRPr="008241C1">
              <w:rPr>
                <w:bCs/>
                <w:szCs w:val="24"/>
              </w:rPr>
              <w:t>procentų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250A24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lastRenderedPageBreak/>
              <w:t>V</w:t>
            </w:r>
            <w:r w:rsidR="00D764F3" w:rsidRPr="008241C1">
              <w:rPr>
                <w:bCs/>
                <w:szCs w:val="24"/>
              </w:rPr>
              <w:t>iršija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šalies</w:t>
            </w:r>
            <w:proofErr w:type="spellEnd"/>
            <w:r w:rsidR="00D764F3" w:rsidRPr="008241C1">
              <w:rPr>
                <w:lang w:val="lt-LT"/>
              </w:rPr>
              <w:t xml:space="preserve"> praeitų metų</w:t>
            </w:r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lastRenderedPageBreak/>
              <w:t>vidurkį</w:t>
            </w:r>
            <w:proofErr w:type="spellEnd"/>
          </w:p>
          <w:p w:rsidR="00D764F3" w:rsidRPr="008241C1" w:rsidRDefault="00D764F3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proofErr w:type="spellStart"/>
            <w:r w:rsidRPr="008241C1">
              <w:rPr>
                <w:bCs/>
                <w:szCs w:val="24"/>
              </w:rPr>
              <w:t>nuo</w:t>
            </w:r>
            <w:proofErr w:type="spellEnd"/>
            <w:r w:rsidRPr="008241C1">
              <w:rPr>
                <w:bCs/>
                <w:szCs w:val="24"/>
              </w:rPr>
              <w:t xml:space="preserve"> 21 </w:t>
            </w:r>
            <w:proofErr w:type="spellStart"/>
            <w:r w:rsidRPr="008241C1">
              <w:rPr>
                <w:bCs/>
                <w:szCs w:val="24"/>
              </w:rPr>
              <w:t>iki</w:t>
            </w:r>
            <w:proofErr w:type="spellEnd"/>
            <w:r w:rsidRPr="008241C1">
              <w:rPr>
                <w:bCs/>
                <w:szCs w:val="24"/>
              </w:rPr>
              <w:t xml:space="preserve"> 35 </w:t>
            </w:r>
            <w:proofErr w:type="spellStart"/>
            <w:r w:rsidRPr="008241C1">
              <w:rPr>
                <w:bCs/>
                <w:szCs w:val="24"/>
              </w:rPr>
              <w:t>procentų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250A24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lastRenderedPageBreak/>
              <w:t>V</w:t>
            </w:r>
            <w:r w:rsidR="00D764F3" w:rsidRPr="008241C1">
              <w:rPr>
                <w:bCs/>
                <w:szCs w:val="24"/>
              </w:rPr>
              <w:t>iršija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šalies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r w:rsidR="00D764F3" w:rsidRPr="008241C1">
              <w:rPr>
                <w:lang w:val="lt-LT"/>
              </w:rPr>
              <w:t>praeitų metų</w:t>
            </w:r>
            <w:r w:rsidR="00D764F3" w:rsidRPr="008241C1">
              <w:rPr>
                <w:sz w:val="22"/>
                <w:lang w:val="lt-LT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lastRenderedPageBreak/>
              <w:t>vidurkį</w:t>
            </w:r>
            <w:proofErr w:type="spellEnd"/>
          </w:p>
          <w:p w:rsidR="00D764F3" w:rsidRPr="008241C1" w:rsidRDefault="00D764F3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proofErr w:type="spellStart"/>
            <w:r w:rsidRPr="008241C1">
              <w:rPr>
                <w:bCs/>
                <w:szCs w:val="24"/>
              </w:rPr>
              <w:t>jei</w:t>
            </w:r>
            <w:proofErr w:type="spellEnd"/>
            <w:r w:rsidRPr="008241C1">
              <w:rPr>
                <w:bCs/>
                <w:szCs w:val="24"/>
              </w:rPr>
              <w:t xml:space="preserve"> </w:t>
            </w:r>
            <w:proofErr w:type="spellStart"/>
            <w:r w:rsidRPr="008241C1">
              <w:rPr>
                <w:bCs/>
                <w:szCs w:val="24"/>
              </w:rPr>
              <w:t>nuo</w:t>
            </w:r>
            <w:proofErr w:type="spellEnd"/>
            <w:r w:rsidRPr="008241C1">
              <w:rPr>
                <w:bCs/>
                <w:szCs w:val="24"/>
              </w:rPr>
              <w:t xml:space="preserve"> 36 </w:t>
            </w:r>
            <w:proofErr w:type="spellStart"/>
            <w:r w:rsidRPr="008241C1">
              <w:rPr>
                <w:bCs/>
                <w:szCs w:val="24"/>
              </w:rPr>
              <w:t>iki</w:t>
            </w:r>
            <w:proofErr w:type="spellEnd"/>
            <w:r w:rsidRPr="008241C1">
              <w:rPr>
                <w:bCs/>
                <w:szCs w:val="24"/>
              </w:rPr>
              <w:t xml:space="preserve"> 49 </w:t>
            </w:r>
            <w:proofErr w:type="spellStart"/>
            <w:r w:rsidRPr="008241C1">
              <w:rPr>
                <w:bCs/>
                <w:szCs w:val="24"/>
              </w:rPr>
              <w:t>procentų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F3" w:rsidRPr="008241C1" w:rsidRDefault="00250A24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lastRenderedPageBreak/>
              <w:t>J</w:t>
            </w:r>
            <w:r w:rsidR="00D764F3" w:rsidRPr="008241C1">
              <w:rPr>
                <w:bCs/>
                <w:szCs w:val="24"/>
              </w:rPr>
              <w:t>ei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viršija</w:t>
            </w:r>
            <w:proofErr w:type="spellEnd"/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t>šalies</w:t>
            </w:r>
            <w:proofErr w:type="spellEnd"/>
            <w:r w:rsidR="00D764F3" w:rsidRPr="008241C1">
              <w:rPr>
                <w:lang w:val="lt-LT"/>
              </w:rPr>
              <w:t xml:space="preserve"> praeitų metų</w:t>
            </w:r>
            <w:r w:rsidR="00D764F3" w:rsidRPr="008241C1">
              <w:rPr>
                <w:bCs/>
                <w:szCs w:val="24"/>
              </w:rPr>
              <w:t xml:space="preserve"> </w:t>
            </w:r>
            <w:proofErr w:type="spellStart"/>
            <w:r w:rsidR="00D764F3" w:rsidRPr="008241C1">
              <w:rPr>
                <w:bCs/>
                <w:szCs w:val="24"/>
              </w:rPr>
              <w:lastRenderedPageBreak/>
              <w:t>vidurkį</w:t>
            </w:r>
            <w:proofErr w:type="spellEnd"/>
          </w:p>
          <w:p w:rsidR="00D764F3" w:rsidRPr="008241C1" w:rsidRDefault="00D764F3" w:rsidP="00C677BA">
            <w:pPr>
              <w:tabs>
                <w:tab w:val="left" w:pos="8145"/>
              </w:tabs>
              <w:jc w:val="center"/>
              <w:rPr>
                <w:sz w:val="22"/>
                <w:lang w:val="lt-LT"/>
              </w:rPr>
            </w:pPr>
            <w:r w:rsidRPr="008241C1">
              <w:rPr>
                <w:bCs/>
                <w:szCs w:val="24"/>
              </w:rPr>
              <w:t xml:space="preserve">50 </w:t>
            </w:r>
            <w:proofErr w:type="spellStart"/>
            <w:r w:rsidRPr="008241C1">
              <w:rPr>
                <w:bCs/>
                <w:szCs w:val="24"/>
              </w:rPr>
              <w:t>procentų</w:t>
            </w:r>
            <w:proofErr w:type="spellEnd"/>
            <w:r w:rsidRPr="008241C1">
              <w:rPr>
                <w:bCs/>
                <w:szCs w:val="24"/>
              </w:rPr>
              <w:t xml:space="preserve"> </w:t>
            </w:r>
            <w:proofErr w:type="spellStart"/>
            <w:r w:rsidRPr="008241C1">
              <w:rPr>
                <w:bCs/>
                <w:szCs w:val="24"/>
              </w:rPr>
              <w:t>ir</w:t>
            </w:r>
            <w:proofErr w:type="spellEnd"/>
            <w:r w:rsidRPr="008241C1">
              <w:rPr>
                <w:bCs/>
                <w:szCs w:val="24"/>
              </w:rPr>
              <w:t xml:space="preserve"> </w:t>
            </w:r>
            <w:proofErr w:type="spellStart"/>
            <w:r w:rsidRPr="008241C1">
              <w:rPr>
                <w:bCs/>
                <w:szCs w:val="24"/>
              </w:rPr>
              <w:t>daugiau</w:t>
            </w:r>
            <w:proofErr w:type="spellEnd"/>
          </w:p>
        </w:tc>
      </w:tr>
      <w:tr w:rsidR="008241C1" w:rsidRPr="008241C1" w:rsidTr="00D764F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404C4F" w:rsidP="00C677BA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13</w:t>
            </w:r>
            <w:r w:rsidR="008241C1" w:rsidRPr="008241C1">
              <w:rPr>
                <w:lang w:val="lt-LT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rPr>
                <w:bCs/>
                <w:szCs w:val="24"/>
                <w:lang w:val="lt-LT"/>
              </w:rPr>
            </w:pPr>
            <w:r w:rsidRPr="008241C1">
              <w:rPr>
                <w:bCs/>
                <w:szCs w:val="24"/>
                <w:lang w:val="lt-LT"/>
              </w:rPr>
              <w:t>Taikomų kovos su korupcija priemonių vykdymas</w:t>
            </w:r>
          </w:p>
          <w:p w:rsidR="008241C1" w:rsidRPr="008241C1" w:rsidRDefault="008241C1" w:rsidP="00C677BA">
            <w:pPr>
              <w:tabs>
                <w:tab w:val="left" w:pos="8145"/>
              </w:tabs>
              <w:rPr>
                <w:sz w:val="22"/>
                <w:lang w:val="lt-LT"/>
              </w:rPr>
            </w:pPr>
            <w:r w:rsidRPr="008241C1">
              <w:rPr>
                <w:bCs/>
                <w:szCs w:val="24"/>
                <w:lang w:val="lt-LT"/>
              </w:rPr>
              <w:t>(priemonių skaičius)</w:t>
            </w:r>
            <w:r w:rsidR="00BB7160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r w:rsidRPr="008241C1">
              <w:rPr>
                <w:bCs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jc w:val="center"/>
              <w:rPr>
                <w:lang w:val="lt-LT"/>
              </w:rPr>
            </w:pPr>
            <w:r w:rsidRPr="008241C1">
              <w:rPr>
                <w:lang w:val="lt-LT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jc w:val="center"/>
              <w:rPr>
                <w:lang w:val="lt-LT"/>
              </w:rPr>
            </w:pPr>
            <w:r w:rsidRPr="008241C1">
              <w:rPr>
                <w:lang w:val="lt-LT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jc w:val="center"/>
              <w:rPr>
                <w:lang w:val="lt-LT"/>
              </w:rPr>
            </w:pPr>
            <w:r w:rsidRPr="008241C1">
              <w:rPr>
                <w:lang w:val="lt-LT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jc w:val="center"/>
              <w:rPr>
                <w:lang w:val="lt-LT"/>
              </w:rPr>
            </w:pPr>
            <w:r w:rsidRPr="008241C1">
              <w:rPr>
                <w:lang w:val="lt-LT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lang w:val="lt-LT"/>
              </w:rPr>
            </w:pPr>
            <w:r w:rsidRPr="008241C1">
              <w:rPr>
                <w:lang w:val="lt-LT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r w:rsidRPr="008241C1">
              <w:rPr>
                <w:bCs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r w:rsidRPr="008241C1">
              <w:rPr>
                <w:bCs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r w:rsidRPr="008241C1">
              <w:rPr>
                <w:bCs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r w:rsidRPr="008241C1">
              <w:rPr>
                <w:bCs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1C1" w:rsidRPr="008241C1" w:rsidRDefault="008241C1" w:rsidP="00C677BA">
            <w:pPr>
              <w:tabs>
                <w:tab w:val="left" w:pos="8145"/>
              </w:tabs>
              <w:jc w:val="center"/>
              <w:rPr>
                <w:bCs/>
                <w:szCs w:val="24"/>
              </w:rPr>
            </w:pPr>
            <w:r w:rsidRPr="008241C1">
              <w:rPr>
                <w:bCs/>
                <w:szCs w:val="24"/>
              </w:rPr>
              <w:t>4</w:t>
            </w:r>
          </w:p>
        </w:tc>
      </w:tr>
    </w:tbl>
    <w:p w:rsidR="00560C63" w:rsidRDefault="00560C63" w:rsidP="00560C63"/>
    <w:p w:rsidR="00841DB1" w:rsidRDefault="008241C1" w:rsidP="008241C1">
      <w:pPr>
        <w:jc w:val="center"/>
      </w:pPr>
      <w:bookmarkStart w:id="0" w:name="_GoBack"/>
      <w:bookmarkEnd w:id="0"/>
      <w:r>
        <w:t>__________________________</w:t>
      </w:r>
    </w:p>
    <w:sectPr w:rsidR="00841DB1" w:rsidSect="00C677BA">
      <w:headerReference w:type="default" r:id="rId6"/>
      <w:pgSz w:w="16838" w:h="11906" w:orient="landscape"/>
      <w:pgMar w:top="851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17" w:rsidRDefault="00837317" w:rsidP="00D764F3">
      <w:r>
        <w:separator/>
      </w:r>
    </w:p>
  </w:endnote>
  <w:endnote w:type="continuationSeparator" w:id="0">
    <w:p w:rsidR="00837317" w:rsidRDefault="00837317" w:rsidP="00D7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17" w:rsidRDefault="00837317" w:rsidP="00D764F3">
      <w:r>
        <w:separator/>
      </w:r>
    </w:p>
  </w:footnote>
  <w:footnote w:type="continuationSeparator" w:id="0">
    <w:p w:rsidR="00837317" w:rsidRDefault="00837317" w:rsidP="00D76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01376"/>
      <w:docPartObj>
        <w:docPartGallery w:val="Page Numbers (Top of Page)"/>
        <w:docPartUnique/>
      </w:docPartObj>
    </w:sdtPr>
    <w:sdtContent>
      <w:p w:rsidR="00716949" w:rsidRDefault="00135328">
        <w:pPr>
          <w:pStyle w:val="Header"/>
          <w:jc w:val="center"/>
        </w:pPr>
        <w:fldSimple w:instr=" PAGE   \* MERGEFORMAT ">
          <w:r w:rsidR="00983448">
            <w:rPr>
              <w:noProof/>
            </w:rPr>
            <w:t>2</w:t>
          </w:r>
        </w:fldSimple>
      </w:p>
    </w:sdtContent>
  </w:sdt>
  <w:p w:rsidR="00716949" w:rsidRDefault="007169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C63"/>
    <w:rsid w:val="000B7144"/>
    <w:rsid w:val="00135328"/>
    <w:rsid w:val="00143EC8"/>
    <w:rsid w:val="00250A24"/>
    <w:rsid w:val="002D06F8"/>
    <w:rsid w:val="002D4A31"/>
    <w:rsid w:val="002F734D"/>
    <w:rsid w:val="00404C4F"/>
    <w:rsid w:val="004067BB"/>
    <w:rsid w:val="00560C63"/>
    <w:rsid w:val="00581B10"/>
    <w:rsid w:val="00596B67"/>
    <w:rsid w:val="00604C0F"/>
    <w:rsid w:val="0069456C"/>
    <w:rsid w:val="006B2155"/>
    <w:rsid w:val="006E768E"/>
    <w:rsid w:val="00716949"/>
    <w:rsid w:val="007C0167"/>
    <w:rsid w:val="008241C1"/>
    <w:rsid w:val="00837317"/>
    <w:rsid w:val="00841DB1"/>
    <w:rsid w:val="008B4D72"/>
    <w:rsid w:val="008C4199"/>
    <w:rsid w:val="00926C14"/>
    <w:rsid w:val="00983448"/>
    <w:rsid w:val="00A37F25"/>
    <w:rsid w:val="00AC47D8"/>
    <w:rsid w:val="00BB7160"/>
    <w:rsid w:val="00C21290"/>
    <w:rsid w:val="00C677BA"/>
    <w:rsid w:val="00C7341E"/>
    <w:rsid w:val="00D7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63"/>
    <w:pPr>
      <w:spacing w:after="0" w:line="240" w:lineRule="auto"/>
    </w:pPr>
    <w:rPr>
      <w:bCs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4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4F3"/>
    <w:rPr>
      <w:bCs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764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4F3"/>
    <w:rPr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0C63"/>
    <w:pPr>
      <w:spacing w:after="0" w:line="240" w:lineRule="auto"/>
    </w:pPr>
    <w:rPr>
      <w:bCs w:val="0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3</cp:revision>
  <dcterms:created xsi:type="dcterms:W3CDTF">2018-04-27T08:25:00Z</dcterms:created>
  <dcterms:modified xsi:type="dcterms:W3CDTF">2018-04-27T08:25:00Z</dcterms:modified>
</cp:coreProperties>
</file>