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7" w:rsidRPr="00144D77" w:rsidRDefault="00144D77" w:rsidP="00144D77">
      <w:pPr>
        <w:ind w:firstLine="11340"/>
        <w:rPr>
          <w:sz w:val="24"/>
          <w:szCs w:val="24"/>
        </w:rPr>
      </w:pPr>
      <w:r w:rsidRPr="00144D77">
        <w:rPr>
          <w:sz w:val="24"/>
          <w:szCs w:val="24"/>
        </w:rPr>
        <w:t>PATVIRTINTA</w:t>
      </w:r>
    </w:p>
    <w:p w:rsidR="00144D77" w:rsidRPr="00144D77" w:rsidRDefault="00144D77" w:rsidP="00144D77">
      <w:pPr>
        <w:ind w:right="-1165" w:firstLine="1063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44D77">
        <w:rPr>
          <w:sz w:val="24"/>
          <w:szCs w:val="24"/>
        </w:rPr>
        <w:t xml:space="preserve"> Prienų rajono savivaldybės tarybos</w:t>
      </w:r>
    </w:p>
    <w:p w:rsidR="00144D77" w:rsidRPr="00144D77" w:rsidRDefault="00144D77" w:rsidP="00144D77">
      <w:pPr>
        <w:ind w:firstLine="11340"/>
        <w:rPr>
          <w:sz w:val="24"/>
          <w:szCs w:val="24"/>
        </w:rPr>
      </w:pPr>
      <w:r w:rsidRPr="00144D77">
        <w:rPr>
          <w:sz w:val="24"/>
          <w:szCs w:val="24"/>
        </w:rPr>
        <w:t>201</w:t>
      </w:r>
      <w:r w:rsidR="00EE7717">
        <w:rPr>
          <w:sz w:val="24"/>
          <w:szCs w:val="24"/>
        </w:rPr>
        <w:t>8</w:t>
      </w:r>
      <w:r w:rsidR="00884CF3">
        <w:rPr>
          <w:sz w:val="24"/>
          <w:szCs w:val="24"/>
        </w:rPr>
        <w:t xml:space="preserve"> m. balandžio 26</w:t>
      </w:r>
      <w:r>
        <w:rPr>
          <w:sz w:val="24"/>
          <w:szCs w:val="24"/>
          <w:lang w:val="pt-BR"/>
        </w:rPr>
        <w:t xml:space="preserve"> </w:t>
      </w:r>
      <w:r w:rsidRPr="00144D77">
        <w:rPr>
          <w:sz w:val="24"/>
          <w:szCs w:val="24"/>
        </w:rPr>
        <w:t xml:space="preserve">d. </w:t>
      </w:r>
    </w:p>
    <w:p w:rsidR="00144D77" w:rsidRPr="00144D77" w:rsidRDefault="00144D77" w:rsidP="00144D77">
      <w:pPr>
        <w:ind w:firstLine="11340"/>
        <w:rPr>
          <w:sz w:val="24"/>
          <w:szCs w:val="24"/>
        </w:rPr>
      </w:pPr>
      <w:r w:rsidRPr="00144D77">
        <w:rPr>
          <w:sz w:val="24"/>
          <w:szCs w:val="24"/>
        </w:rPr>
        <w:t>sprendimu Nr.</w:t>
      </w:r>
      <w:r w:rsidR="00884CF3">
        <w:rPr>
          <w:sz w:val="24"/>
          <w:szCs w:val="24"/>
        </w:rPr>
        <w:t xml:space="preserve"> T3-128</w:t>
      </w:r>
      <w:r w:rsidRPr="00144D77">
        <w:rPr>
          <w:sz w:val="24"/>
          <w:szCs w:val="24"/>
        </w:rPr>
        <w:t xml:space="preserve"> </w:t>
      </w:r>
    </w:p>
    <w:p w:rsidR="00762792" w:rsidRPr="00144D77" w:rsidRDefault="00762792">
      <w:pPr>
        <w:pStyle w:val="Standard"/>
        <w:rPr>
          <w:sz w:val="24"/>
          <w:szCs w:val="24"/>
          <w:lang w:val="lt-LT"/>
        </w:rPr>
      </w:pPr>
    </w:p>
    <w:p w:rsidR="00144D77" w:rsidRDefault="00144D77">
      <w:pPr>
        <w:pStyle w:val="Standard"/>
        <w:jc w:val="center"/>
        <w:rPr>
          <w:b/>
          <w:lang w:val="lt-LT"/>
        </w:rPr>
      </w:pPr>
    </w:p>
    <w:p w:rsidR="00762792" w:rsidRPr="00144D77" w:rsidRDefault="00762792">
      <w:pPr>
        <w:pStyle w:val="Standard"/>
        <w:jc w:val="center"/>
        <w:rPr>
          <w:sz w:val="24"/>
          <w:szCs w:val="24"/>
          <w:lang w:val="lt-LT"/>
        </w:rPr>
      </w:pPr>
      <w:r w:rsidRPr="00144D77">
        <w:rPr>
          <w:b/>
          <w:sz w:val="24"/>
          <w:szCs w:val="24"/>
          <w:lang w:val="lt-LT"/>
        </w:rPr>
        <w:t>VŠĮ JIEZNO PIRMINĖS SVEIKATOS PRIEŽIŪROS CENTRO 201</w:t>
      </w:r>
      <w:r w:rsidR="00EE7717">
        <w:rPr>
          <w:b/>
          <w:sz w:val="24"/>
          <w:szCs w:val="24"/>
          <w:lang w:val="lt-LT"/>
        </w:rPr>
        <w:t>8</w:t>
      </w:r>
      <w:r w:rsidRPr="00144D77">
        <w:rPr>
          <w:b/>
          <w:sz w:val="24"/>
          <w:szCs w:val="24"/>
          <w:lang w:val="lt-LT"/>
        </w:rPr>
        <w:t xml:space="preserve"> METŲ VEIKLOS UŽDUOTYS</w:t>
      </w:r>
    </w:p>
    <w:p w:rsidR="00762792" w:rsidRPr="00144D77" w:rsidRDefault="00762792">
      <w:pPr>
        <w:pStyle w:val="Standard"/>
        <w:tabs>
          <w:tab w:val="left" w:pos="8145"/>
        </w:tabs>
        <w:rPr>
          <w:sz w:val="24"/>
          <w:szCs w:val="24"/>
          <w:lang w:val="lt-LT"/>
        </w:rPr>
      </w:pPr>
    </w:p>
    <w:tbl>
      <w:tblPr>
        <w:tblW w:w="14775" w:type="dxa"/>
        <w:tblInd w:w="3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3147"/>
        <w:gridCol w:w="783"/>
        <w:gridCol w:w="867"/>
        <w:gridCol w:w="992"/>
        <w:gridCol w:w="1261"/>
        <w:gridCol w:w="1140"/>
        <w:gridCol w:w="1155"/>
        <w:gridCol w:w="838"/>
        <w:gridCol w:w="993"/>
        <w:gridCol w:w="992"/>
        <w:gridCol w:w="987"/>
        <w:gridCol w:w="1050"/>
      </w:tblGrid>
      <w:tr w:rsidR="00762792" w:rsidRPr="00CE2E0D" w:rsidTr="00CE2E0D">
        <w:tc>
          <w:tcPr>
            <w:tcW w:w="5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14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 w:rsidP="00112B70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 xml:space="preserve">                                     Balai</w:t>
            </w:r>
          </w:p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 xml:space="preserve"> Užduotys</w:t>
            </w:r>
          </w:p>
        </w:tc>
        <w:tc>
          <w:tcPr>
            <w:tcW w:w="78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0</w:t>
            </w:r>
          </w:p>
        </w:tc>
        <w:tc>
          <w:tcPr>
            <w:tcW w:w="86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2</w:t>
            </w:r>
          </w:p>
        </w:tc>
        <w:tc>
          <w:tcPr>
            <w:tcW w:w="1261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3</w:t>
            </w:r>
          </w:p>
        </w:tc>
        <w:tc>
          <w:tcPr>
            <w:tcW w:w="114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4</w:t>
            </w:r>
          </w:p>
        </w:tc>
        <w:tc>
          <w:tcPr>
            <w:tcW w:w="1155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5</w:t>
            </w:r>
          </w:p>
        </w:tc>
        <w:tc>
          <w:tcPr>
            <w:tcW w:w="838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8</w:t>
            </w:r>
          </w:p>
        </w:tc>
        <w:tc>
          <w:tcPr>
            <w:tcW w:w="98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9</w:t>
            </w:r>
          </w:p>
        </w:tc>
        <w:tc>
          <w:tcPr>
            <w:tcW w:w="105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b/>
                <w:bCs/>
                <w:sz w:val="22"/>
                <w:szCs w:val="22"/>
                <w:lang w:val="lt-LT"/>
              </w:rPr>
              <w:t>10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Finansinis veiklos rezultatas</w:t>
            </w:r>
            <w:r w:rsidRPr="00CE2E0D">
              <w:rPr>
                <w:sz w:val="22"/>
                <w:szCs w:val="22"/>
                <w:lang w:val="lt-LT"/>
              </w:rPr>
              <w:br/>
              <w:t>(tūkstančiai eurų  + ar -)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0,1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0,</w:t>
            </w:r>
            <w:r w:rsidR="00EE7717">
              <w:rPr>
                <w:sz w:val="22"/>
                <w:szCs w:val="22"/>
                <w:lang w:val="lt-LT"/>
              </w:rPr>
              <w:t>3</w:t>
            </w:r>
            <w:bookmarkStart w:id="0" w:name="_GoBack"/>
            <w:bookmarkEnd w:id="0"/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0,6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</w:t>
            </w:r>
            <w:r w:rsidR="00762792" w:rsidRPr="00CE2E0D">
              <w:rPr>
                <w:sz w:val="22"/>
                <w:szCs w:val="22"/>
                <w:lang w:val="lt-LT"/>
              </w:rPr>
              <w:t>,7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</w:t>
            </w:r>
            <w:r w:rsidR="00CE2E0D">
              <w:rPr>
                <w:sz w:val="22"/>
                <w:szCs w:val="22"/>
                <w:lang w:val="lt-LT"/>
              </w:rPr>
              <w:t>,8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0,9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1,0</w:t>
            </w:r>
            <w:r w:rsidR="00762792" w:rsidRPr="00CE2E0D">
              <w:rPr>
                <w:sz w:val="22"/>
                <w:szCs w:val="22"/>
                <w:lang w:val="lt-LT"/>
              </w:rPr>
              <w:t xml:space="preserve">  ir    daugiau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Sąnaudų darbo užmokesčiui  kartu su SODRA dalis (procentai)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76,6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76,5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76,4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76,3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76,2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76,1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76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75,9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75,8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75,7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75,6</w:t>
            </w:r>
            <w:r w:rsidR="00762792" w:rsidRPr="00CE2E0D">
              <w:rPr>
                <w:sz w:val="22"/>
                <w:szCs w:val="22"/>
                <w:lang w:val="lt-LT"/>
              </w:rPr>
              <w:t xml:space="preserve"> ir mažiau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Sąnaudų valdymo išlaidoms dalis (procentai)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7,</w:t>
            </w:r>
            <w:r w:rsidR="00762792" w:rsidRPr="00CE2E0D">
              <w:rPr>
                <w:sz w:val="22"/>
                <w:szCs w:val="22"/>
                <w:lang w:val="lt-LT"/>
              </w:rPr>
              <w:t>5 ir mažiau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Papildomų finansavimo šaltinių pritraukimas (tūkstančiai eurų)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</w:t>
            </w:r>
            <w:r w:rsidR="00EE7717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–</w:t>
            </w:r>
            <w:r w:rsidR="00762792" w:rsidRPr="00CE2E0D">
              <w:rPr>
                <w:sz w:val="22"/>
                <w:szCs w:val="22"/>
                <w:lang w:val="lt-LT"/>
              </w:rPr>
              <w:t>0,</w:t>
            </w:r>
            <w:r w:rsidR="00EE771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</w:t>
            </w:r>
            <w:r w:rsidR="00EE7717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>–</w:t>
            </w:r>
            <w:r w:rsidR="00762792" w:rsidRPr="00CE2E0D">
              <w:rPr>
                <w:sz w:val="22"/>
                <w:szCs w:val="22"/>
                <w:lang w:val="lt-LT"/>
              </w:rPr>
              <w:t>0,</w:t>
            </w:r>
            <w:r w:rsidR="00EE7717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0,7-0,9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1,</w:t>
            </w:r>
            <w:r w:rsidR="00EE7717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 xml:space="preserve"> –</w:t>
            </w:r>
            <w:r w:rsidR="00762792" w:rsidRPr="00CE2E0D">
              <w:rPr>
                <w:sz w:val="22"/>
                <w:szCs w:val="22"/>
                <w:lang w:val="lt-LT"/>
              </w:rPr>
              <w:t>1,</w:t>
            </w:r>
            <w:r w:rsidR="00EE7717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1,</w:t>
            </w:r>
            <w:r w:rsidR="00EE7717">
              <w:rPr>
                <w:sz w:val="22"/>
                <w:szCs w:val="22"/>
                <w:lang w:val="lt-LT"/>
              </w:rPr>
              <w:t>4</w:t>
            </w:r>
            <w:r>
              <w:rPr>
                <w:sz w:val="22"/>
                <w:szCs w:val="22"/>
                <w:lang w:val="lt-LT"/>
              </w:rPr>
              <w:t>–</w:t>
            </w:r>
            <w:r w:rsidR="00762792" w:rsidRPr="00CE2E0D">
              <w:rPr>
                <w:sz w:val="22"/>
                <w:szCs w:val="22"/>
                <w:lang w:val="lt-LT"/>
              </w:rPr>
              <w:t>1,</w:t>
            </w:r>
            <w:r w:rsidR="00EE7717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1,7-1,9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2,</w:t>
            </w:r>
            <w:r w:rsidR="00EE7717">
              <w:rPr>
                <w:sz w:val="22"/>
                <w:szCs w:val="22"/>
                <w:lang w:val="lt-LT"/>
              </w:rPr>
              <w:t>0</w:t>
            </w:r>
            <w:r>
              <w:rPr>
                <w:sz w:val="22"/>
                <w:szCs w:val="22"/>
                <w:lang w:val="lt-LT"/>
              </w:rPr>
              <w:t>–</w:t>
            </w:r>
            <w:r w:rsidR="00762792" w:rsidRPr="00CE2E0D">
              <w:rPr>
                <w:sz w:val="22"/>
                <w:szCs w:val="22"/>
                <w:lang w:val="lt-LT"/>
              </w:rPr>
              <w:t>2,</w:t>
            </w:r>
            <w:r w:rsidR="00EE7717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2,</w:t>
            </w:r>
            <w:r w:rsidR="00EE7717">
              <w:rPr>
                <w:sz w:val="22"/>
                <w:szCs w:val="22"/>
                <w:lang w:val="lt-LT"/>
              </w:rPr>
              <w:t>3</w:t>
            </w:r>
            <w:r>
              <w:rPr>
                <w:sz w:val="22"/>
                <w:szCs w:val="22"/>
                <w:lang w:val="lt-LT"/>
              </w:rPr>
              <w:t>–</w:t>
            </w:r>
            <w:r w:rsidR="00762792" w:rsidRPr="00CE2E0D">
              <w:rPr>
                <w:sz w:val="22"/>
                <w:szCs w:val="22"/>
                <w:lang w:val="lt-LT"/>
              </w:rPr>
              <w:t>2,</w:t>
            </w:r>
            <w:r w:rsidR="00EE7717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2,6-2,9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 w:rsidP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3,</w:t>
            </w:r>
            <w:r w:rsidR="00EE7717">
              <w:rPr>
                <w:sz w:val="22"/>
                <w:szCs w:val="22"/>
                <w:lang w:val="lt-LT"/>
              </w:rPr>
              <w:t>0</w:t>
            </w:r>
            <w:r w:rsidRPr="00CE2E0D">
              <w:rPr>
                <w:sz w:val="22"/>
                <w:szCs w:val="22"/>
                <w:lang w:val="lt-LT"/>
              </w:rPr>
              <w:t xml:space="preserve">  ir daugiau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Pacientų pasitenkinimo teikiamomis paslaugomis lygis (pagrįstų skundų skaičius)*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0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Lovos užimtumo rodiklis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300</w:t>
            </w:r>
            <w:r w:rsidR="00762792" w:rsidRPr="00CE2E0D">
              <w:rPr>
                <w:sz w:val="22"/>
                <w:szCs w:val="22"/>
                <w:lang w:val="lt-LT"/>
              </w:rPr>
              <w:t xml:space="preserve"> ir daugiau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314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 xml:space="preserve">Darbuotojų  kaitos rodiklis </w:t>
            </w:r>
            <w:r w:rsidRPr="00CE2E0D">
              <w:rPr>
                <w:sz w:val="22"/>
                <w:szCs w:val="22"/>
                <w:lang w:val="lt-LT"/>
              </w:rPr>
              <w:br/>
              <w:t>(procentais)</w:t>
            </w:r>
          </w:p>
        </w:tc>
        <w:tc>
          <w:tcPr>
            <w:tcW w:w="78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6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61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14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5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38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87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50" w:type="dxa"/>
            <w:tcBorders>
              <w:bottom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EE7717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25</w:t>
            </w:r>
            <w:r w:rsidR="00762792" w:rsidRPr="00CE2E0D">
              <w:rPr>
                <w:sz w:val="22"/>
                <w:szCs w:val="22"/>
                <w:lang w:val="lt-LT"/>
              </w:rPr>
              <w:t xml:space="preserve"> ir mažiau</w:t>
            </w:r>
          </w:p>
        </w:tc>
      </w:tr>
      <w:tr w:rsidR="00762792" w:rsidRPr="00CE2E0D" w:rsidTr="00CE2E0D">
        <w:tc>
          <w:tcPr>
            <w:tcW w:w="570" w:type="dxa"/>
            <w:tcBorders>
              <w:left w:val="single" w:sz="8" w:space="0" w:color="00000A"/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3147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Asmens sveikatos priežiūros paslaugų prieinamumas (dienos)</w:t>
            </w:r>
          </w:p>
        </w:tc>
        <w:tc>
          <w:tcPr>
            <w:tcW w:w="783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67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 w:rsidP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bottom w:val="single" w:sz="4" w:space="0" w:color="auto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2792" w:rsidRPr="00CE2E0D" w:rsidTr="00CE2E0D">
        <w:trPr>
          <w:trHeight w:val="666"/>
        </w:trPr>
        <w:tc>
          <w:tcPr>
            <w:tcW w:w="570" w:type="dxa"/>
            <w:tcBorders>
              <w:top w:val="single" w:sz="4" w:space="0" w:color="auto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 xml:space="preserve">Informacinių technologijų diegimas ir atnaujinimas (kompiuterių ar kitų  inf. technologijų įsigijimas, </w:t>
            </w:r>
            <w:r w:rsidRPr="00CE2E0D">
              <w:rPr>
                <w:sz w:val="22"/>
                <w:szCs w:val="22"/>
                <w:lang w:val="lt-LT"/>
              </w:rPr>
              <w:lastRenderedPageBreak/>
              <w:t xml:space="preserve">atnaujinimas)  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lastRenderedPageBreak/>
              <w:t>0</w:t>
            </w:r>
          </w:p>
        </w:tc>
        <w:tc>
          <w:tcPr>
            <w:tcW w:w="867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1 ir daugiau</w:t>
            </w:r>
          </w:p>
        </w:tc>
      </w:tr>
      <w:tr w:rsidR="00762792" w:rsidRPr="00CE2E0D" w:rsidTr="00CE2E0D">
        <w:trPr>
          <w:trHeight w:val="666"/>
        </w:trPr>
        <w:tc>
          <w:tcPr>
            <w:tcW w:w="57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lastRenderedPageBreak/>
              <w:t>10.</w:t>
            </w:r>
          </w:p>
        </w:tc>
        <w:tc>
          <w:tcPr>
            <w:tcW w:w="314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Sveikatos priežiūros specialistų kvalifikacijos kėlimo (tobulinimas, seminarai, stažuotės) rodiklis  (kėlusių kvalifikaciją dalis per metus (%) palyginti su visų sveikatos priežiūros specialistų skaičiumi).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6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1–</w:t>
            </w:r>
            <w:r w:rsidR="00762792" w:rsidRPr="00CE2E0D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6–</w:t>
            </w:r>
            <w:r w:rsidR="00762792" w:rsidRPr="00CE2E0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261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10–</w:t>
            </w:r>
            <w:r w:rsidR="00762792" w:rsidRPr="00CE2E0D">
              <w:rPr>
                <w:sz w:val="22"/>
                <w:szCs w:val="22"/>
                <w:lang w:val="lt-LT"/>
              </w:rPr>
              <w:t>14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15–</w:t>
            </w:r>
            <w:r w:rsidR="00762792" w:rsidRPr="00CE2E0D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1155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20–</w:t>
            </w:r>
            <w:r w:rsidR="00762792" w:rsidRPr="00CE2E0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838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25–</w:t>
            </w:r>
            <w:r w:rsidR="00762792" w:rsidRPr="00CE2E0D">
              <w:rPr>
                <w:sz w:val="22"/>
                <w:szCs w:val="22"/>
                <w:lang w:val="lt-LT"/>
              </w:rPr>
              <w:t>29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30–</w:t>
            </w:r>
            <w:r w:rsidR="00762792" w:rsidRPr="00CE2E0D">
              <w:rPr>
                <w:sz w:val="22"/>
                <w:szCs w:val="22"/>
                <w:lang w:val="lt-LT"/>
              </w:rPr>
              <w:t>34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35–</w:t>
            </w:r>
            <w:r w:rsidR="00762792" w:rsidRPr="00CE2E0D">
              <w:rPr>
                <w:sz w:val="22"/>
                <w:szCs w:val="22"/>
                <w:lang w:val="lt-LT"/>
              </w:rPr>
              <w:t>39</w:t>
            </w:r>
          </w:p>
        </w:tc>
        <w:tc>
          <w:tcPr>
            <w:tcW w:w="98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CE2E0D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40–</w:t>
            </w:r>
            <w:r w:rsidR="00762792" w:rsidRPr="00CE2E0D">
              <w:rPr>
                <w:sz w:val="22"/>
                <w:szCs w:val="22"/>
                <w:lang w:val="lt-LT"/>
              </w:rPr>
              <w:t>44</w:t>
            </w:r>
          </w:p>
        </w:tc>
        <w:tc>
          <w:tcPr>
            <w:tcW w:w="105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  <w:lang w:val="lt-LT"/>
              </w:rPr>
              <w:t>45  ir daugiau</w:t>
            </w:r>
          </w:p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762792" w:rsidRPr="00CE2E0D" w:rsidTr="00CE2E0D">
        <w:trPr>
          <w:trHeight w:val="666"/>
        </w:trPr>
        <w:tc>
          <w:tcPr>
            <w:tcW w:w="57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11</w:t>
            </w:r>
            <w:r w:rsidR="006A677D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>
            <w:pPr>
              <w:pStyle w:val="Standard"/>
              <w:spacing w:before="100" w:after="100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Taikomų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kovos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su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korupcija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priemonių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vykdymas</w:t>
            </w:r>
            <w:proofErr w:type="spellEnd"/>
            <w:r w:rsidRPr="00CE2E0D">
              <w:rPr>
                <w:sz w:val="22"/>
                <w:szCs w:val="22"/>
              </w:rPr>
              <w:t xml:space="preserve"> (</w:t>
            </w:r>
            <w:proofErr w:type="spellStart"/>
            <w:r w:rsidRPr="00CE2E0D">
              <w:rPr>
                <w:sz w:val="22"/>
                <w:szCs w:val="22"/>
              </w:rPr>
              <w:t>priemonių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skaičius</w:t>
            </w:r>
            <w:proofErr w:type="spellEnd"/>
            <w:r w:rsidRPr="00CE2E0D">
              <w:rPr>
                <w:sz w:val="22"/>
                <w:szCs w:val="22"/>
              </w:rPr>
              <w:t>)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2</w:t>
            </w:r>
          </w:p>
        </w:tc>
        <w:tc>
          <w:tcPr>
            <w:tcW w:w="98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4</w:t>
            </w:r>
          </w:p>
        </w:tc>
      </w:tr>
      <w:tr w:rsidR="008A35B5" w:rsidRPr="00CE2E0D" w:rsidTr="00CE2E0D">
        <w:trPr>
          <w:trHeight w:val="666"/>
        </w:trPr>
        <w:tc>
          <w:tcPr>
            <w:tcW w:w="57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14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Prioritetinių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paslaugų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teikimas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procentais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78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6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114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838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8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05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proofErr w:type="spellStart"/>
            <w:r>
              <w:rPr>
                <w:sz w:val="22"/>
                <w:szCs w:val="22"/>
              </w:rPr>
              <w:t>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daugiau</w:t>
            </w:r>
            <w:proofErr w:type="spellEnd"/>
          </w:p>
        </w:tc>
      </w:tr>
      <w:tr w:rsidR="00762792" w:rsidRPr="00CE2E0D" w:rsidTr="008A35B5">
        <w:trPr>
          <w:trHeight w:val="70"/>
        </w:trPr>
        <w:tc>
          <w:tcPr>
            <w:tcW w:w="570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762792" w:rsidP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1</w:t>
            </w:r>
            <w:r w:rsidR="008A35B5">
              <w:rPr>
                <w:sz w:val="22"/>
                <w:szCs w:val="22"/>
              </w:rPr>
              <w:t>3</w:t>
            </w:r>
            <w:r w:rsidR="006A677D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2792" w:rsidRPr="00CE2E0D" w:rsidRDefault="009F175E">
            <w:pPr>
              <w:pStyle w:val="Standard"/>
              <w:spacing w:before="100" w:after="10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Dalyvavimo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įgyvendinant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PSDF </w:t>
            </w:r>
            <w:proofErr w:type="spellStart"/>
            <w:r w:rsidR="00762792" w:rsidRPr="00CE2E0D">
              <w:rPr>
                <w:sz w:val="22"/>
                <w:szCs w:val="22"/>
              </w:rPr>
              <w:t>lėšomis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finansuojamas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atitinkamų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ligų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(</w:t>
            </w:r>
            <w:proofErr w:type="spellStart"/>
            <w:r w:rsidR="00762792" w:rsidRPr="00CE2E0D">
              <w:rPr>
                <w:sz w:val="22"/>
                <w:szCs w:val="22"/>
              </w:rPr>
              <w:t>gimdos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kaklelio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vėžio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krūties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vėžio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storosios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žarnos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vėžio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priešinės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liaukos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vėžio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širdies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kraujagyslių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ligų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ir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vaikų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krūminių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dantų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ėduonies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) </w:t>
            </w:r>
            <w:proofErr w:type="spellStart"/>
            <w:r w:rsidR="00762792" w:rsidRPr="00CE2E0D">
              <w:rPr>
                <w:sz w:val="22"/>
                <w:szCs w:val="22"/>
              </w:rPr>
              <w:t>prevencijos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priemonių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atrankinės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patikros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, </w:t>
            </w:r>
            <w:proofErr w:type="spellStart"/>
            <w:r w:rsidR="00762792" w:rsidRPr="00CE2E0D">
              <w:rPr>
                <w:sz w:val="22"/>
                <w:szCs w:val="22"/>
              </w:rPr>
              <w:t>ankstyvosios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diagnostikos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programas</w:t>
            </w:r>
            <w:proofErr w:type="spellEnd"/>
            <w:r w:rsidR="00762792" w:rsidRPr="00CE2E0D">
              <w:rPr>
                <w:sz w:val="22"/>
                <w:szCs w:val="22"/>
              </w:rPr>
              <w:t xml:space="preserve"> </w:t>
            </w:r>
            <w:proofErr w:type="spellStart"/>
            <w:r w:rsidR="00762792" w:rsidRPr="00CE2E0D">
              <w:rPr>
                <w:sz w:val="22"/>
                <w:szCs w:val="22"/>
              </w:rPr>
              <w:t>mastas</w:t>
            </w:r>
            <w:proofErr w:type="spellEnd"/>
          </w:p>
        </w:tc>
        <w:tc>
          <w:tcPr>
            <w:tcW w:w="78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86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261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Lygus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praeitų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metų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šalies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vidurkiui</w:t>
            </w:r>
            <w:proofErr w:type="spellEnd"/>
          </w:p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  <w:p w:rsidR="00762792" w:rsidRPr="00CE2E0D" w:rsidRDefault="00762792" w:rsidP="00230A0A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  <w:p w:rsidR="00762792" w:rsidRPr="00CE2E0D" w:rsidRDefault="00762792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5E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Viršija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praeitų</w:t>
            </w:r>
            <w:proofErr w:type="spellEnd"/>
            <w:r w:rsidR="009F175E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metų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šalies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vidurkį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nuo</w:t>
            </w:r>
            <w:proofErr w:type="spellEnd"/>
            <w:r w:rsidRPr="00CE2E0D">
              <w:rPr>
                <w:sz w:val="22"/>
                <w:szCs w:val="22"/>
              </w:rPr>
              <w:t xml:space="preserve"> 1 </w:t>
            </w:r>
          </w:p>
          <w:p w:rsidR="00762792" w:rsidRPr="00CE2E0D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iki</w:t>
            </w:r>
            <w:proofErr w:type="spellEnd"/>
            <w:r w:rsidRPr="00CE2E0D">
              <w:rPr>
                <w:sz w:val="22"/>
                <w:szCs w:val="22"/>
              </w:rPr>
              <w:t xml:space="preserve"> 10 </w:t>
            </w:r>
            <w:proofErr w:type="spellStart"/>
            <w:r w:rsidRPr="00CE2E0D">
              <w:rPr>
                <w:sz w:val="22"/>
                <w:szCs w:val="22"/>
              </w:rPr>
              <w:t>procentų</w:t>
            </w:r>
            <w:proofErr w:type="spellEnd"/>
            <w:r w:rsidRPr="00CE2E0D">
              <w:rPr>
                <w:sz w:val="22"/>
                <w:szCs w:val="22"/>
              </w:rPr>
              <w:t xml:space="preserve">    </w:t>
            </w:r>
          </w:p>
          <w:p w:rsidR="00762792" w:rsidRPr="00CE2E0D" w:rsidRDefault="00762792" w:rsidP="009F175E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5E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Viršija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praeitų</w:t>
            </w:r>
            <w:proofErr w:type="spellEnd"/>
            <w:r w:rsidR="009F175E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metų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šalies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vidurkį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nuo</w:t>
            </w:r>
            <w:proofErr w:type="spellEnd"/>
            <w:r w:rsidRPr="00CE2E0D">
              <w:rPr>
                <w:sz w:val="22"/>
                <w:szCs w:val="22"/>
              </w:rPr>
              <w:t xml:space="preserve"> 11 </w:t>
            </w:r>
          </w:p>
          <w:p w:rsidR="00762792" w:rsidRPr="00CE2E0D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iki</w:t>
            </w:r>
            <w:proofErr w:type="spellEnd"/>
            <w:r w:rsidRPr="00CE2E0D">
              <w:rPr>
                <w:sz w:val="22"/>
                <w:szCs w:val="22"/>
              </w:rPr>
              <w:t xml:space="preserve"> 20 </w:t>
            </w:r>
            <w:proofErr w:type="spellStart"/>
            <w:r w:rsidRPr="00CE2E0D">
              <w:rPr>
                <w:sz w:val="22"/>
                <w:szCs w:val="22"/>
              </w:rPr>
              <w:t>procentų</w:t>
            </w:r>
            <w:proofErr w:type="spellEnd"/>
            <w:r w:rsidRPr="00CE2E0D">
              <w:rPr>
                <w:sz w:val="22"/>
                <w:szCs w:val="22"/>
              </w:rPr>
              <w:t xml:space="preserve">        </w:t>
            </w:r>
          </w:p>
          <w:p w:rsidR="00762792" w:rsidRPr="00CE2E0D" w:rsidRDefault="00762792" w:rsidP="006A67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Viršija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praeitų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metų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šalies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vidurkį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nuo</w:t>
            </w:r>
            <w:proofErr w:type="spellEnd"/>
            <w:r w:rsidRPr="00CE2E0D">
              <w:rPr>
                <w:sz w:val="22"/>
                <w:szCs w:val="22"/>
              </w:rPr>
              <w:t xml:space="preserve"> 21 </w:t>
            </w:r>
            <w:r w:rsidR="009F175E">
              <w:rPr>
                <w:sz w:val="22"/>
                <w:szCs w:val="22"/>
              </w:rPr>
              <w:t xml:space="preserve">  </w:t>
            </w:r>
            <w:proofErr w:type="spellStart"/>
            <w:r w:rsidRPr="00CE2E0D">
              <w:rPr>
                <w:sz w:val="22"/>
                <w:szCs w:val="22"/>
              </w:rPr>
              <w:t>iki</w:t>
            </w:r>
            <w:proofErr w:type="spellEnd"/>
            <w:r w:rsidRPr="00CE2E0D">
              <w:rPr>
                <w:sz w:val="22"/>
                <w:szCs w:val="22"/>
              </w:rPr>
              <w:t xml:space="preserve"> 35 </w:t>
            </w:r>
            <w:proofErr w:type="spellStart"/>
            <w:r w:rsidRPr="00CE2E0D">
              <w:rPr>
                <w:sz w:val="22"/>
                <w:szCs w:val="22"/>
              </w:rPr>
              <w:t>procentų</w:t>
            </w:r>
            <w:proofErr w:type="spellEnd"/>
          </w:p>
          <w:p w:rsidR="00762792" w:rsidRPr="00CE2E0D" w:rsidRDefault="00762792" w:rsidP="006A677D">
            <w:pPr>
              <w:pStyle w:val="Standard"/>
              <w:rPr>
                <w:sz w:val="22"/>
                <w:szCs w:val="22"/>
              </w:rPr>
            </w:pPr>
            <w:r w:rsidRPr="00CE2E0D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8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175E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Viršija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</w:t>
            </w:r>
            <w:r w:rsidR="009F175E">
              <w:rPr>
                <w:sz w:val="22"/>
                <w:szCs w:val="22"/>
              </w:rPr>
              <w:t>alies</w:t>
            </w:r>
            <w:proofErr w:type="spellEnd"/>
            <w:r w:rsidR="009F175E">
              <w:rPr>
                <w:sz w:val="22"/>
                <w:szCs w:val="22"/>
              </w:rPr>
              <w:t xml:space="preserve"> </w:t>
            </w:r>
            <w:proofErr w:type="spellStart"/>
            <w:r w:rsidR="009F175E">
              <w:rPr>
                <w:sz w:val="22"/>
                <w:szCs w:val="22"/>
              </w:rPr>
              <w:t>praeitų</w:t>
            </w:r>
            <w:proofErr w:type="spellEnd"/>
            <w:r w:rsidR="009F175E">
              <w:rPr>
                <w:sz w:val="22"/>
                <w:szCs w:val="22"/>
              </w:rPr>
              <w:t xml:space="preserve">  </w:t>
            </w:r>
            <w:proofErr w:type="spellStart"/>
            <w:r w:rsidR="009F175E">
              <w:rPr>
                <w:sz w:val="22"/>
                <w:szCs w:val="22"/>
              </w:rPr>
              <w:t>metų</w:t>
            </w:r>
            <w:proofErr w:type="spellEnd"/>
            <w:r w:rsidR="009F175E">
              <w:rPr>
                <w:sz w:val="22"/>
                <w:szCs w:val="22"/>
              </w:rPr>
              <w:t xml:space="preserve">  </w:t>
            </w:r>
            <w:proofErr w:type="spellStart"/>
            <w:r w:rsidR="009F175E">
              <w:rPr>
                <w:sz w:val="22"/>
                <w:szCs w:val="22"/>
              </w:rPr>
              <w:t>vidurkį</w:t>
            </w:r>
            <w:proofErr w:type="spellEnd"/>
            <w:r w:rsidR="009F175E">
              <w:rPr>
                <w:sz w:val="22"/>
                <w:szCs w:val="22"/>
              </w:rPr>
              <w:t xml:space="preserve"> </w:t>
            </w:r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nuo</w:t>
            </w:r>
            <w:proofErr w:type="spellEnd"/>
            <w:r w:rsidRPr="00CE2E0D">
              <w:rPr>
                <w:sz w:val="22"/>
                <w:szCs w:val="22"/>
              </w:rPr>
              <w:t xml:space="preserve"> 36 </w:t>
            </w:r>
          </w:p>
          <w:p w:rsidR="00762792" w:rsidRPr="00CE2E0D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iki</w:t>
            </w:r>
            <w:proofErr w:type="spellEnd"/>
            <w:r w:rsidRPr="00CE2E0D">
              <w:rPr>
                <w:sz w:val="22"/>
                <w:szCs w:val="22"/>
              </w:rPr>
              <w:t xml:space="preserve"> 49 </w:t>
            </w:r>
            <w:proofErr w:type="spellStart"/>
            <w:r w:rsidRPr="00CE2E0D">
              <w:rPr>
                <w:sz w:val="22"/>
                <w:szCs w:val="22"/>
              </w:rPr>
              <w:t>procentų</w:t>
            </w:r>
            <w:proofErr w:type="spellEnd"/>
            <w:r w:rsidRPr="00CE2E0D">
              <w:rPr>
                <w:sz w:val="22"/>
                <w:szCs w:val="22"/>
              </w:rPr>
              <w:t xml:space="preserve">       </w:t>
            </w:r>
          </w:p>
          <w:p w:rsidR="00762792" w:rsidRPr="00CE2E0D" w:rsidRDefault="00762792" w:rsidP="006A677D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62792" w:rsidRPr="00CE2E0D" w:rsidRDefault="00762792" w:rsidP="006A677D">
            <w:pPr>
              <w:pStyle w:val="Standard"/>
              <w:jc w:val="center"/>
              <w:rPr>
                <w:sz w:val="22"/>
                <w:szCs w:val="22"/>
              </w:rPr>
            </w:pPr>
            <w:proofErr w:type="spellStart"/>
            <w:r w:rsidRPr="00CE2E0D">
              <w:rPr>
                <w:sz w:val="22"/>
                <w:szCs w:val="22"/>
              </w:rPr>
              <w:t>Jei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viršija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šalies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praeitų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metų</w:t>
            </w:r>
            <w:proofErr w:type="spellEnd"/>
            <w:r w:rsidRPr="00CE2E0D">
              <w:rPr>
                <w:sz w:val="22"/>
                <w:szCs w:val="22"/>
              </w:rPr>
              <w:t xml:space="preserve">  </w:t>
            </w:r>
            <w:proofErr w:type="spellStart"/>
            <w:r w:rsidRPr="00CE2E0D">
              <w:rPr>
                <w:sz w:val="22"/>
                <w:szCs w:val="22"/>
              </w:rPr>
              <w:t>vidurkį</w:t>
            </w:r>
            <w:proofErr w:type="spellEnd"/>
            <w:r w:rsidRPr="00CE2E0D">
              <w:rPr>
                <w:sz w:val="22"/>
                <w:szCs w:val="22"/>
              </w:rPr>
              <w:t xml:space="preserve">   50 </w:t>
            </w:r>
            <w:proofErr w:type="spellStart"/>
            <w:r w:rsidRPr="00CE2E0D">
              <w:rPr>
                <w:sz w:val="22"/>
                <w:szCs w:val="22"/>
              </w:rPr>
              <w:t>procentų</w:t>
            </w:r>
            <w:proofErr w:type="spellEnd"/>
            <w:r w:rsidRPr="00CE2E0D">
              <w:rPr>
                <w:sz w:val="22"/>
                <w:szCs w:val="22"/>
              </w:rPr>
              <w:t xml:space="preserve">  </w:t>
            </w:r>
            <w:proofErr w:type="spellStart"/>
            <w:r w:rsidRPr="00CE2E0D">
              <w:rPr>
                <w:sz w:val="22"/>
                <w:szCs w:val="22"/>
              </w:rPr>
              <w:t>ir</w:t>
            </w:r>
            <w:proofErr w:type="spellEnd"/>
            <w:r w:rsidRPr="00CE2E0D">
              <w:rPr>
                <w:sz w:val="22"/>
                <w:szCs w:val="22"/>
              </w:rPr>
              <w:t xml:space="preserve"> </w:t>
            </w:r>
            <w:proofErr w:type="spellStart"/>
            <w:r w:rsidRPr="00CE2E0D">
              <w:rPr>
                <w:sz w:val="22"/>
                <w:szCs w:val="22"/>
              </w:rPr>
              <w:t>daugiau</w:t>
            </w:r>
            <w:proofErr w:type="spellEnd"/>
          </w:p>
          <w:p w:rsidR="00762792" w:rsidRPr="00CE2E0D" w:rsidRDefault="00762792" w:rsidP="006A677D">
            <w:pPr>
              <w:pStyle w:val="Standard"/>
              <w:rPr>
                <w:sz w:val="22"/>
                <w:szCs w:val="22"/>
              </w:rPr>
            </w:pPr>
          </w:p>
        </w:tc>
      </w:tr>
      <w:tr w:rsidR="008A35B5" w:rsidRPr="00CE2E0D" w:rsidTr="008A35B5">
        <w:trPr>
          <w:trHeight w:val="70"/>
        </w:trPr>
        <w:tc>
          <w:tcPr>
            <w:tcW w:w="570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A35B5" w:rsidRPr="00CE2E0D" w:rsidTr="008A35B5">
        <w:trPr>
          <w:trHeight w:val="70"/>
        </w:trPr>
        <w:tc>
          <w:tcPr>
            <w:tcW w:w="570" w:type="dxa"/>
            <w:tcBorders>
              <w:left w:val="single" w:sz="8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  <w:tr w:rsidR="008A35B5" w:rsidRPr="00CE2E0D" w:rsidTr="00CE2E0D">
        <w:trPr>
          <w:trHeight w:val="70"/>
        </w:trPr>
        <w:tc>
          <w:tcPr>
            <w:tcW w:w="570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Pr="00CE2E0D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314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5B5" w:rsidRDefault="008A35B5">
            <w:pPr>
              <w:pStyle w:val="Standard"/>
              <w:spacing w:before="100" w:after="100"/>
              <w:rPr>
                <w:sz w:val="22"/>
                <w:szCs w:val="22"/>
              </w:rPr>
            </w:pPr>
          </w:p>
        </w:tc>
        <w:tc>
          <w:tcPr>
            <w:tcW w:w="78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>
            <w:pPr>
              <w:pStyle w:val="Standard"/>
              <w:spacing w:before="100" w:after="100"/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bottom w:val="single" w:sz="4" w:space="0" w:color="00000A"/>
              <w:right w:val="single" w:sz="8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5B5" w:rsidRPr="00CE2E0D" w:rsidRDefault="008A35B5" w:rsidP="006A677D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:rsidR="00CE2E0D" w:rsidRDefault="00CE2E0D" w:rsidP="00CE2E0D">
      <w:pPr>
        <w:pStyle w:val="Standard"/>
        <w:tabs>
          <w:tab w:val="left" w:pos="8145"/>
        </w:tabs>
        <w:jc w:val="center"/>
        <w:rPr>
          <w:sz w:val="24"/>
          <w:szCs w:val="24"/>
        </w:rPr>
      </w:pPr>
    </w:p>
    <w:p w:rsidR="00762792" w:rsidRPr="00090F9A" w:rsidRDefault="00CE2E0D" w:rsidP="00CE2E0D">
      <w:pPr>
        <w:pStyle w:val="Standard"/>
        <w:tabs>
          <w:tab w:val="left" w:pos="814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sectPr w:rsidR="00762792" w:rsidRPr="00090F9A" w:rsidSect="00CE2E0D">
      <w:headerReference w:type="even" r:id="rId7"/>
      <w:headerReference w:type="default" r:id="rId8"/>
      <w:pgSz w:w="16838" w:h="11906" w:orient="landscape"/>
      <w:pgMar w:top="567" w:right="538" w:bottom="426" w:left="1440" w:header="567" w:footer="567" w:gutter="0"/>
      <w:cols w:space="1296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A98" w:rsidRDefault="00775A98">
      <w:r>
        <w:separator/>
      </w:r>
    </w:p>
  </w:endnote>
  <w:endnote w:type="continuationSeparator" w:id="0">
    <w:p w:rsidR="00775A98" w:rsidRDefault="0077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A98" w:rsidRDefault="00775A98">
      <w:r>
        <w:rPr>
          <w:color w:val="000000"/>
        </w:rPr>
        <w:separator/>
      </w:r>
    </w:p>
  </w:footnote>
  <w:footnote w:type="continuationSeparator" w:id="0">
    <w:p w:rsidR="00775A98" w:rsidRDefault="00775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0D" w:rsidRDefault="006854FF">
    <w:pPr>
      <w:pStyle w:val="Header"/>
      <w:jc w:val="center"/>
    </w:pPr>
    <w:fldSimple w:instr=" PAGE   \* MERGEFORMAT ">
      <w:r w:rsidR="00E35D54">
        <w:rPr>
          <w:noProof/>
        </w:rPr>
        <w:t>2</w:t>
      </w:r>
    </w:fldSimple>
  </w:p>
  <w:p w:rsidR="00CE2E0D" w:rsidRDefault="00CE2E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E0D" w:rsidRDefault="006854FF">
    <w:pPr>
      <w:pStyle w:val="Header"/>
    </w:pPr>
    <w:fldSimple w:instr=" PAGE ">
      <w:r w:rsidR="00884CF3">
        <w:rPr>
          <w:noProof/>
        </w:rPr>
        <w:t>1</w:t>
      </w:r>
    </w:fldSimple>
  </w:p>
  <w:p w:rsidR="00CE2E0D" w:rsidRDefault="00CE2E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7727"/>
    <w:multiLevelType w:val="multilevel"/>
    <w:tmpl w:val="EC2602F2"/>
    <w:styleLink w:val="WWNum1"/>
    <w:lvl w:ilvl="0">
      <w:numFmt w:val="bullet"/>
      <w:lvlText w:val="•"/>
      <w:lvlJc w:val="left"/>
    </w:lvl>
    <w:lvl w:ilvl="1">
      <w:numFmt w:val="bullet"/>
      <w:lvlText w:val=""/>
      <w:lvlJc w:val="left"/>
    </w:lvl>
    <w:lvl w:ilvl="2">
      <w:numFmt w:val="bullet"/>
      <w:lvlText w:val="o"/>
      <w:lvlJc w:val="left"/>
    </w:lvl>
    <w:lvl w:ilvl="3">
      <w:numFmt w:val="bullet"/>
      <w:lvlText w:val=""/>
      <w:lvlJc w:val="left"/>
    </w:lvl>
    <w:lvl w:ilvl="4">
      <w:numFmt w:val="bullet"/>
      <w:lvlText w:val=""/>
      <w:lvlJc w:val="left"/>
    </w:lvl>
    <w:lvl w:ilvl="5">
      <w:numFmt w:val="bullet"/>
      <w:lvlText w:val=""/>
      <w:lvlJc w:val="left"/>
    </w:lvl>
    <w:lvl w:ilvl="6">
      <w:numFmt w:val="bullet"/>
      <w:lvlText w:val="o"/>
      <w:lvlJc w:val="left"/>
    </w:lvl>
    <w:lvl w:ilvl="7">
      <w:numFmt w:val="bullet"/>
      <w:lvlText w:val=""/>
      <w:lvlJc w:val="left"/>
    </w:lvl>
    <w:lvl w:ilvl="8">
      <w:numFmt w:val="bullet"/>
      <w:lvlText w:val="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oNotTrackMoves/>
  <w:defaultTabStop w:val="720"/>
  <w:autoHyphenation/>
  <w:hyphenationZone w:val="396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18B5"/>
    <w:rsid w:val="00090F9A"/>
    <w:rsid w:val="000C227C"/>
    <w:rsid w:val="000E4575"/>
    <w:rsid w:val="00112B70"/>
    <w:rsid w:val="00144D77"/>
    <w:rsid w:val="001F3A33"/>
    <w:rsid w:val="00230A0A"/>
    <w:rsid w:val="002C17B9"/>
    <w:rsid w:val="00515DE8"/>
    <w:rsid w:val="00522362"/>
    <w:rsid w:val="00577E1A"/>
    <w:rsid w:val="0059698D"/>
    <w:rsid w:val="005F2880"/>
    <w:rsid w:val="0062416A"/>
    <w:rsid w:val="00683C66"/>
    <w:rsid w:val="006854FF"/>
    <w:rsid w:val="006A677D"/>
    <w:rsid w:val="00762792"/>
    <w:rsid w:val="00766D3F"/>
    <w:rsid w:val="00775A98"/>
    <w:rsid w:val="00841CBD"/>
    <w:rsid w:val="00846A65"/>
    <w:rsid w:val="00853FB4"/>
    <w:rsid w:val="00884CF3"/>
    <w:rsid w:val="00896E73"/>
    <w:rsid w:val="008A35B5"/>
    <w:rsid w:val="009F175E"/>
    <w:rsid w:val="00A3325C"/>
    <w:rsid w:val="00A55E11"/>
    <w:rsid w:val="00A90A67"/>
    <w:rsid w:val="00AB37D6"/>
    <w:rsid w:val="00C604F2"/>
    <w:rsid w:val="00CE2E0D"/>
    <w:rsid w:val="00E35D54"/>
    <w:rsid w:val="00EE7717"/>
    <w:rsid w:val="00F573BF"/>
    <w:rsid w:val="00FF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D6"/>
    <w:pPr>
      <w:widowControl w:val="0"/>
      <w:suppressAutoHyphens/>
      <w:autoSpaceDN w:val="0"/>
      <w:textAlignment w:val="baseline"/>
    </w:pPr>
    <w:rPr>
      <w:kern w:val="3"/>
    </w:rPr>
  </w:style>
  <w:style w:type="paragraph" w:styleId="Heading1">
    <w:name w:val="heading 1"/>
    <w:basedOn w:val="Standard"/>
    <w:next w:val="Textbody"/>
    <w:link w:val="Heading1Char"/>
    <w:uiPriority w:val="99"/>
    <w:qFormat/>
    <w:rsid w:val="00AB37D6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Standard"/>
    <w:next w:val="Textbody"/>
    <w:link w:val="Heading2Char"/>
    <w:uiPriority w:val="99"/>
    <w:qFormat/>
    <w:rsid w:val="00AB37D6"/>
    <w:pPr>
      <w:keepNext/>
      <w:jc w:val="center"/>
      <w:outlineLvl w:val="1"/>
    </w:pPr>
    <w:rPr>
      <w:b/>
      <w:sz w:val="24"/>
      <w:lang w:val="lt-LT"/>
    </w:rPr>
  </w:style>
  <w:style w:type="paragraph" w:styleId="Heading3">
    <w:name w:val="heading 3"/>
    <w:basedOn w:val="Standard"/>
    <w:next w:val="Textbody"/>
    <w:link w:val="Heading3Char"/>
    <w:uiPriority w:val="99"/>
    <w:qFormat/>
    <w:rsid w:val="00AB37D6"/>
    <w:pPr>
      <w:keepNext/>
      <w:outlineLvl w:val="2"/>
    </w:pPr>
    <w:rPr>
      <w:sz w:val="24"/>
      <w:lang w:val="lt-LT"/>
    </w:rPr>
  </w:style>
  <w:style w:type="paragraph" w:styleId="Heading4">
    <w:name w:val="heading 4"/>
    <w:basedOn w:val="Standard"/>
    <w:next w:val="Textbody"/>
    <w:link w:val="Heading4Char"/>
    <w:uiPriority w:val="99"/>
    <w:qFormat/>
    <w:rsid w:val="00AB37D6"/>
    <w:pPr>
      <w:keepNext/>
      <w:jc w:val="center"/>
      <w:outlineLvl w:val="3"/>
    </w:pPr>
    <w:rPr>
      <w:color w:val="FF0000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FA4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FA4"/>
    <w:rPr>
      <w:rFonts w:ascii="Cambria" w:eastAsia="Times New Roman" w:hAnsi="Cambria" w:cs="Times New Roman"/>
      <w:b/>
      <w:bCs/>
      <w:i/>
      <w:iCs/>
      <w:kern w:val="3"/>
      <w:sz w:val="28"/>
      <w:szCs w:val="28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FA4"/>
    <w:rPr>
      <w:rFonts w:ascii="Cambria" w:eastAsia="Times New Roman" w:hAnsi="Cambria" w:cs="Times New Roman"/>
      <w:b/>
      <w:bCs/>
      <w:kern w:val="3"/>
      <w:sz w:val="26"/>
      <w:szCs w:val="26"/>
      <w:lang w:val="lt-LT"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FA4"/>
    <w:rPr>
      <w:rFonts w:ascii="Calibri" w:eastAsia="Times New Roman" w:hAnsi="Calibri" w:cs="Times New Roman"/>
      <w:b/>
      <w:bCs/>
      <w:kern w:val="3"/>
      <w:sz w:val="28"/>
      <w:szCs w:val="28"/>
      <w:lang w:val="lt-LT" w:eastAsia="lt-LT"/>
    </w:rPr>
  </w:style>
  <w:style w:type="paragraph" w:customStyle="1" w:styleId="Standard">
    <w:name w:val="Standard"/>
    <w:uiPriority w:val="99"/>
    <w:rsid w:val="00AB37D6"/>
    <w:pPr>
      <w:suppressAutoHyphens/>
      <w:autoSpaceDN w:val="0"/>
      <w:textAlignment w:val="baseline"/>
    </w:pPr>
    <w:rPr>
      <w:kern w:val="3"/>
      <w:lang w:val="en-US" w:eastAsia="en-US"/>
    </w:rPr>
  </w:style>
  <w:style w:type="paragraph" w:styleId="Title">
    <w:name w:val="Title"/>
    <w:basedOn w:val="Standard"/>
    <w:next w:val="Textbody"/>
    <w:link w:val="TitleChar"/>
    <w:uiPriority w:val="99"/>
    <w:qFormat/>
    <w:rsid w:val="00AB37D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43FA4"/>
    <w:rPr>
      <w:rFonts w:ascii="Cambria" w:eastAsia="Times New Roman" w:hAnsi="Cambria" w:cs="Times New Roman"/>
      <w:b/>
      <w:bCs/>
      <w:kern w:val="28"/>
      <w:sz w:val="32"/>
      <w:szCs w:val="32"/>
      <w:lang w:val="lt-LT" w:eastAsia="lt-LT"/>
    </w:rPr>
  </w:style>
  <w:style w:type="paragraph" w:customStyle="1" w:styleId="Textbody">
    <w:name w:val="Text body"/>
    <w:basedOn w:val="Standard"/>
    <w:uiPriority w:val="99"/>
    <w:rsid w:val="00AB37D6"/>
    <w:pPr>
      <w:spacing w:after="120"/>
    </w:pPr>
  </w:style>
  <w:style w:type="paragraph" w:styleId="List">
    <w:name w:val="List"/>
    <w:basedOn w:val="Textbody"/>
    <w:uiPriority w:val="99"/>
    <w:rsid w:val="00AB37D6"/>
    <w:rPr>
      <w:rFonts w:cs="Mangal"/>
    </w:rPr>
  </w:style>
  <w:style w:type="paragraph" w:styleId="Caption">
    <w:name w:val="caption"/>
    <w:basedOn w:val="Standard"/>
    <w:uiPriority w:val="99"/>
    <w:qFormat/>
    <w:rsid w:val="00AB37D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AB37D6"/>
    <w:pPr>
      <w:suppressLineNumbers/>
    </w:pPr>
    <w:rPr>
      <w:rFonts w:cs="Mangal"/>
    </w:rPr>
  </w:style>
  <w:style w:type="paragraph" w:styleId="Header">
    <w:name w:val="header"/>
    <w:basedOn w:val="Standard"/>
    <w:link w:val="HeaderChar"/>
    <w:uiPriority w:val="99"/>
    <w:rsid w:val="00AB37D6"/>
    <w:pPr>
      <w:suppressLineNumbers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FA4"/>
    <w:rPr>
      <w:kern w:val="3"/>
      <w:sz w:val="20"/>
      <w:szCs w:val="20"/>
      <w:lang w:val="lt-LT" w:eastAsia="lt-LT"/>
    </w:rPr>
  </w:style>
  <w:style w:type="paragraph" w:styleId="Footer">
    <w:name w:val="footer"/>
    <w:basedOn w:val="Standard"/>
    <w:link w:val="FooterChar"/>
    <w:uiPriority w:val="99"/>
    <w:rsid w:val="00AB37D6"/>
    <w:pPr>
      <w:suppressLineNumbers/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3FA4"/>
    <w:rPr>
      <w:kern w:val="3"/>
      <w:sz w:val="20"/>
      <w:szCs w:val="20"/>
      <w:lang w:val="lt-LT" w:eastAsia="lt-LT"/>
    </w:rPr>
  </w:style>
  <w:style w:type="character" w:styleId="PageNumber">
    <w:name w:val="page number"/>
    <w:basedOn w:val="DefaultParagraphFont"/>
    <w:uiPriority w:val="99"/>
    <w:rsid w:val="00AB37D6"/>
    <w:rPr>
      <w:rFonts w:cs="Times New Roman"/>
    </w:rPr>
  </w:style>
  <w:style w:type="character" w:customStyle="1" w:styleId="ListLabel1">
    <w:name w:val="ListLabel 1"/>
    <w:uiPriority w:val="99"/>
    <w:rsid w:val="00AB37D6"/>
  </w:style>
  <w:style w:type="numbering" w:customStyle="1" w:styleId="WWNum1">
    <w:name w:val="WWNum1"/>
    <w:rsid w:val="00043FA4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PATVIRTINTA</vt:lpstr>
    </vt:vector>
  </TitlesOfParts>
  <Company>HP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Ivonna</dc:creator>
  <cp:lastModifiedBy>User</cp:lastModifiedBy>
  <cp:revision>3</cp:revision>
  <cp:lastPrinted>2014-04-10T06:28:00Z</cp:lastPrinted>
  <dcterms:created xsi:type="dcterms:W3CDTF">2018-04-27T08:26:00Z</dcterms:created>
  <dcterms:modified xsi:type="dcterms:W3CDTF">2018-04-27T08:27:00Z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Savivaldybe</vt:lpwstr>
  </property>
  <property fmtid="{D5CDD505-2E9C-101B-9397-08002B2CF9AE}" pid="4" name="DocSecurity">
    <vt:r8>3.55749704829921E-302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