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5C" w:rsidRPr="00144472" w:rsidRDefault="00FE275C" w:rsidP="00FE275C">
      <w:pPr>
        <w:spacing w:after="0"/>
        <w:ind w:left="5954"/>
        <w:rPr>
          <w:szCs w:val="24"/>
        </w:rPr>
      </w:pPr>
      <w:r w:rsidRPr="00144472">
        <w:rPr>
          <w:szCs w:val="24"/>
        </w:rPr>
        <w:t>PRITARTA</w:t>
      </w:r>
    </w:p>
    <w:p w:rsidR="00FE275C" w:rsidRPr="00144472" w:rsidRDefault="00FE275C" w:rsidP="00FE275C">
      <w:pPr>
        <w:spacing w:after="0"/>
        <w:ind w:left="5954"/>
        <w:rPr>
          <w:szCs w:val="24"/>
        </w:rPr>
      </w:pPr>
      <w:r w:rsidRPr="00144472">
        <w:rPr>
          <w:szCs w:val="24"/>
        </w:rPr>
        <w:t>Prienų rajono savivaldybės tarybos</w:t>
      </w:r>
    </w:p>
    <w:p w:rsidR="00FE275C" w:rsidRDefault="00FE275C" w:rsidP="00FE275C">
      <w:pPr>
        <w:tabs>
          <w:tab w:val="left" w:pos="8520"/>
        </w:tabs>
        <w:spacing w:after="0" w:line="240" w:lineRule="auto"/>
        <w:ind w:left="5954"/>
        <w:rPr>
          <w:szCs w:val="24"/>
        </w:rPr>
      </w:pPr>
      <w:r w:rsidRPr="00144472">
        <w:rPr>
          <w:szCs w:val="24"/>
        </w:rPr>
        <w:t>2020 m. gegužės</w:t>
      </w:r>
      <w:r>
        <w:rPr>
          <w:szCs w:val="24"/>
        </w:rPr>
        <w:t xml:space="preserve"> 28 d.</w:t>
      </w:r>
      <w:r>
        <w:rPr>
          <w:szCs w:val="24"/>
        </w:rPr>
        <w:tab/>
      </w:r>
    </w:p>
    <w:p w:rsidR="00FE275C" w:rsidRDefault="00FE275C" w:rsidP="00FE275C">
      <w:pPr>
        <w:spacing w:after="0" w:line="240" w:lineRule="auto"/>
        <w:ind w:left="5954"/>
        <w:rPr>
          <w:szCs w:val="24"/>
        </w:rPr>
      </w:pPr>
      <w:r w:rsidRPr="00144472">
        <w:rPr>
          <w:szCs w:val="24"/>
        </w:rPr>
        <w:t>sprendimu Nr. T3-123</w:t>
      </w:r>
    </w:p>
    <w:p w:rsidR="008519BA" w:rsidRPr="008519BA" w:rsidRDefault="00FE275C" w:rsidP="00FE275C">
      <w:pPr>
        <w:tabs>
          <w:tab w:val="left" w:pos="8306"/>
        </w:tabs>
        <w:overflowPunct w:val="0"/>
        <w:spacing w:after="0" w:line="240" w:lineRule="auto"/>
        <w:textAlignment w:val="baseline"/>
        <w:rPr>
          <w:rFonts w:eastAsia="Times New Roman"/>
          <w:szCs w:val="24"/>
        </w:rPr>
      </w:pPr>
      <w:r>
        <w:rPr>
          <w:rFonts w:eastAsia="Times New Roman"/>
          <w:szCs w:val="24"/>
        </w:rPr>
        <w:tab/>
      </w:r>
    </w:p>
    <w:p w:rsidR="008519BA" w:rsidRPr="008519BA" w:rsidRDefault="008519BA" w:rsidP="008519BA">
      <w:pPr>
        <w:tabs>
          <w:tab w:val="left" w:pos="6237"/>
          <w:tab w:val="right" w:pos="8306"/>
        </w:tabs>
        <w:overflowPunct w:val="0"/>
        <w:spacing w:after="0" w:line="240" w:lineRule="auto"/>
        <w:textAlignment w:val="baseline"/>
        <w:rPr>
          <w:rFonts w:eastAsia="Times New Roman"/>
          <w:szCs w:val="24"/>
        </w:rPr>
      </w:pPr>
    </w:p>
    <w:p w:rsidR="008519BA" w:rsidRPr="008519BA" w:rsidRDefault="008519BA" w:rsidP="008519BA">
      <w:pPr>
        <w:tabs>
          <w:tab w:val="left" w:pos="14656"/>
        </w:tabs>
        <w:overflowPunct w:val="0"/>
        <w:spacing w:after="0" w:line="240" w:lineRule="auto"/>
        <w:jc w:val="center"/>
        <w:textAlignment w:val="baseline"/>
        <w:rPr>
          <w:rFonts w:eastAsia="Times New Roman"/>
          <w:szCs w:val="24"/>
          <w:lang w:eastAsia="lt-LT"/>
        </w:rPr>
      </w:pPr>
      <w:r w:rsidRPr="008519BA">
        <w:rPr>
          <w:rFonts w:eastAsia="Times New Roman"/>
          <w:b/>
          <w:bCs/>
          <w:szCs w:val="24"/>
          <w:lang w:eastAsia="lt-LT"/>
        </w:rPr>
        <w:t xml:space="preserve"> Prienų r. Balbieriškio pagrindinė mokykla</w:t>
      </w:r>
    </w:p>
    <w:p w:rsidR="008519BA" w:rsidRPr="008519BA" w:rsidRDefault="008519BA" w:rsidP="008519BA">
      <w:pPr>
        <w:tabs>
          <w:tab w:val="left" w:pos="14656"/>
        </w:tabs>
        <w:overflowPunct w:val="0"/>
        <w:spacing w:after="0" w:line="240" w:lineRule="auto"/>
        <w:jc w:val="center"/>
        <w:textAlignment w:val="baseline"/>
        <w:rPr>
          <w:rFonts w:eastAsia="Times New Roman"/>
          <w:sz w:val="20"/>
          <w:szCs w:val="20"/>
          <w:lang w:eastAsia="lt-LT"/>
        </w:rPr>
      </w:pPr>
      <w:r w:rsidRPr="008519BA">
        <w:rPr>
          <w:rFonts w:eastAsia="Times New Roman"/>
          <w:sz w:val="20"/>
          <w:szCs w:val="20"/>
          <w:lang w:eastAsia="lt-LT"/>
        </w:rPr>
        <w:t>(švietimo įstaigos pavadinimas)</w:t>
      </w:r>
    </w:p>
    <w:p w:rsidR="008519BA" w:rsidRPr="008519BA" w:rsidRDefault="008519BA" w:rsidP="008519BA">
      <w:pPr>
        <w:tabs>
          <w:tab w:val="left" w:pos="14656"/>
        </w:tabs>
        <w:overflowPunct w:val="0"/>
        <w:spacing w:after="0" w:line="240" w:lineRule="auto"/>
        <w:jc w:val="center"/>
        <w:textAlignment w:val="baseline"/>
        <w:rPr>
          <w:rFonts w:eastAsia="Times New Roman"/>
          <w:sz w:val="20"/>
          <w:szCs w:val="20"/>
          <w:lang w:eastAsia="lt-LT"/>
        </w:rPr>
      </w:pPr>
    </w:p>
    <w:p w:rsidR="008519BA" w:rsidRPr="008519BA" w:rsidRDefault="008519BA" w:rsidP="008519BA">
      <w:pPr>
        <w:tabs>
          <w:tab w:val="left" w:pos="14656"/>
        </w:tabs>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Stasys Valančius</w:t>
      </w:r>
    </w:p>
    <w:p w:rsidR="008519BA" w:rsidRPr="008519BA" w:rsidRDefault="008519BA" w:rsidP="008519BA">
      <w:pPr>
        <w:overflowPunct w:val="0"/>
        <w:spacing w:after="0" w:line="240" w:lineRule="auto"/>
        <w:jc w:val="center"/>
        <w:textAlignment w:val="baseline"/>
        <w:rPr>
          <w:rFonts w:eastAsia="Times New Roman"/>
          <w:sz w:val="20"/>
          <w:szCs w:val="20"/>
          <w:lang w:eastAsia="lt-LT"/>
        </w:rPr>
      </w:pPr>
      <w:r w:rsidRPr="008519BA">
        <w:rPr>
          <w:rFonts w:eastAsia="Times New Roman"/>
          <w:sz w:val="20"/>
          <w:szCs w:val="20"/>
          <w:lang w:eastAsia="lt-LT"/>
        </w:rPr>
        <w:t>(švietimo įstaigos vadovo vardas ir pavardė)</w:t>
      </w:r>
    </w:p>
    <w:p w:rsidR="008519BA" w:rsidRPr="008519BA" w:rsidRDefault="008519BA" w:rsidP="008519BA">
      <w:pPr>
        <w:overflowPunct w:val="0"/>
        <w:spacing w:after="0" w:line="240" w:lineRule="auto"/>
        <w:jc w:val="center"/>
        <w:textAlignment w:val="baseline"/>
        <w:rPr>
          <w:rFonts w:eastAsia="Times New Roman"/>
          <w:b/>
          <w:bCs/>
          <w:szCs w:val="24"/>
          <w:lang w:eastAsia="lt-LT"/>
        </w:rPr>
      </w:pPr>
    </w:p>
    <w:p w:rsidR="008519BA" w:rsidRPr="008519BA" w:rsidRDefault="008519BA" w:rsidP="008519BA">
      <w:pPr>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METŲ VEIKLOS ATASKAITA</w:t>
      </w:r>
    </w:p>
    <w:p w:rsidR="008519BA" w:rsidRPr="008519BA" w:rsidRDefault="008519BA" w:rsidP="008519BA">
      <w:pPr>
        <w:overflowPunct w:val="0"/>
        <w:spacing w:after="0" w:line="240" w:lineRule="auto"/>
        <w:jc w:val="center"/>
        <w:textAlignment w:val="baseline"/>
        <w:rPr>
          <w:rFonts w:eastAsia="Times New Roman"/>
          <w:szCs w:val="24"/>
          <w:lang w:eastAsia="lt-LT"/>
        </w:rPr>
      </w:pPr>
    </w:p>
    <w:p w:rsidR="008519BA" w:rsidRPr="008519BA" w:rsidRDefault="00322154" w:rsidP="008519BA">
      <w:pPr>
        <w:overflowPunct w:val="0"/>
        <w:spacing w:after="0" w:line="240" w:lineRule="auto"/>
        <w:jc w:val="center"/>
        <w:textAlignment w:val="baseline"/>
        <w:rPr>
          <w:rFonts w:eastAsia="Times New Roman"/>
          <w:szCs w:val="24"/>
          <w:lang w:eastAsia="lt-LT"/>
        </w:rPr>
      </w:pPr>
      <w:r>
        <w:rPr>
          <w:rFonts w:eastAsia="Times New Roman"/>
          <w:szCs w:val="24"/>
          <w:lang w:eastAsia="lt-LT"/>
        </w:rPr>
        <w:t>2020-01-17  Nr. (1.9)-D3-12</w:t>
      </w:r>
      <w:bookmarkStart w:id="0" w:name="_GoBack"/>
      <w:bookmarkEnd w:id="0"/>
    </w:p>
    <w:p w:rsidR="008519BA" w:rsidRPr="008519BA" w:rsidRDefault="00322154" w:rsidP="008519BA">
      <w:pPr>
        <w:overflowPunct w:val="0"/>
        <w:spacing w:after="0" w:line="240" w:lineRule="auto"/>
        <w:jc w:val="center"/>
        <w:textAlignment w:val="baseline"/>
        <w:rPr>
          <w:rFonts w:eastAsia="Times New Roman"/>
          <w:sz w:val="20"/>
          <w:szCs w:val="20"/>
          <w:lang w:eastAsia="lt-LT"/>
        </w:rPr>
      </w:pPr>
      <w:r>
        <w:rPr>
          <w:rFonts w:eastAsia="Times New Roman"/>
          <w:sz w:val="20"/>
          <w:szCs w:val="20"/>
          <w:lang w:eastAsia="lt-LT"/>
        </w:rPr>
        <w:t>(data)</w:t>
      </w:r>
    </w:p>
    <w:p w:rsidR="008519BA" w:rsidRPr="008519BA" w:rsidRDefault="008519BA" w:rsidP="008519BA">
      <w:pPr>
        <w:overflowPunct w:val="0"/>
        <w:spacing w:after="0" w:line="240" w:lineRule="auto"/>
        <w:jc w:val="center"/>
        <w:textAlignment w:val="baseline"/>
        <w:rPr>
          <w:rFonts w:eastAsia="Times New Roman"/>
          <w:sz w:val="20"/>
          <w:szCs w:val="20"/>
          <w:lang w:eastAsia="lt-LT"/>
        </w:rPr>
      </w:pPr>
    </w:p>
    <w:p w:rsidR="008519BA" w:rsidRPr="008519BA" w:rsidRDefault="008519BA" w:rsidP="008519BA">
      <w:pPr>
        <w:tabs>
          <w:tab w:val="left" w:pos="3828"/>
        </w:tabs>
        <w:overflowPunct w:val="0"/>
        <w:spacing w:after="0" w:line="240" w:lineRule="auto"/>
        <w:jc w:val="center"/>
        <w:textAlignment w:val="baseline"/>
        <w:rPr>
          <w:rFonts w:eastAsia="Times New Roman"/>
          <w:szCs w:val="24"/>
          <w:lang w:eastAsia="lt-LT"/>
        </w:rPr>
      </w:pPr>
      <w:r w:rsidRPr="008519BA">
        <w:rPr>
          <w:rFonts w:eastAsia="Times New Roman"/>
          <w:szCs w:val="24"/>
          <w:lang w:eastAsia="lt-LT"/>
        </w:rPr>
        <w:t>Balbieriškis</w:t>
      </w:r>
    </w:p>
    <w:p w:rsidR="008519BA" w:rsidRPr="008519BA" w:rsidRDefault="008519BA" w:rsidP="008519BA">
      <w:pPr>
        <w:tabs>
          <w:tab w:val="left" w:pos="3828"/>
        </w:tabs>
        <w:overflowPunct w:val="0"/>
        <w:spacing w:after="0" w:line="240" w:lineRule="auto"/>
        <w:jc w:val="center"/>
        <w:textAlignment w:val="baseline"/>
        <w:rPr>
          <w:rFonts w:eastAsia="Times New Roman"/>
          <w:sz w:val="20"/>
          <w:szCs w:val="20"/>
          <w:lang w:eastAsia="lt-LT"/>
        </w:rPr>
      </w:pPr>
      <w:r w:rsidRPr="008519BA">
        <w:rPr>
          <w:rFonts w:eastAsia="Times New Roman"/>
          <w:sz w:val="20"/>
          <w:szCs w:val="20"/>
          <w:lang w:eastAsia="lt-LT"/>
        </w:rPr>
        <w:t>(sudarymo vieta)</w:t>
      </w:r>
    </w:p>
    <w:p w:rsidR="008519BA" w:rsidRPr="008519BA" w:rsidRDefault="008519BA" w:rsidP="008519BA">
      <w:pPr>
        <w:overflowPunct w:val="0"/>
        <w:spacing w:after="0" w:line="240" w:lineRule="auto"/>
        <w:jc w:val="center"/>
        <w:textAlignment w:val="baseline"/>
        <w:rPr>
          <w:rFonts w:eastAsia="Times New Roman"/>
          <w:sz w:val="20"/>
          <w:szCs w:val="20"/>
          <w:lang w:eastAsia="lt-LT"/>
        </w:rPr>
      </w:pPr>
    </w:p>
    <w:p w:rsidR="008519BA" w:rsidRPr="008519BA" w:rsidRDefault="008519BA" w:rsidP="008519BA">
      <w:pPr>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ĮŽANGA</w:t>
      </w:r>
    </w:p>
    <w:p w:rsidR="008519BA" w:rsidRPr="008519BA" w:rsidRDefault="008519BA" w:rsidP="008519BA">
      <w:pPr>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MOKYKLOS VIZITINĖ KORTELĖ</w:t>
      </w:r>
    </w:p>
    <w:p w:rsidR="008519BA" w:rsidRPr="008519BA" w:rsidRDefault="008519BA" w:rsidP="008519BA">
      <w:pPr>
        <w:overflowPunct w:val="0"/>
        <w:spacing w:after="0" w:line="240" w:lineRule="auto"/>
        <w:jc w:val="center"/>
        <w:textAlignment w:val="baseline"/>
        <w:rPr>
          <w:rFonts w:eastAsia="Times New Roman"/>
          <w:b/>
          <w:bCs/>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8519BA" w:rsidRPr="008519BA" w:rsidTr="008519BA">
        <w:tc>
          <w:tcPr>
            <w:tcW w:w="9606" w:type="dxa"/>
            <w:tcBorders>
              <w:top w:val="single" w:sz="4" w:space="0" w:color="auto"/>
              <w:left w:val="single" w:sz="4" w:space="0" w:color="auto"/>
              <w:bottom w:val="single" w:sz="4" w:space="0" w:color="auto"/>
              <w:right w:val="single" w:sz="4" w:space="0" w:color="auto"/>
            </w:tcBorders>
          </w:tcPr>
          <w:p w:rsidR="008519BA" w:rsidRPr="008519BA" w:rsidRDefault="008519BA" w:rsidP="008519BA">
            <w:pPr>
              <w:overflowPunct w:val="0"/>
              <w:spacing w:after="0" w:line="240" w:lineRule="auto"/>
              <w:jc w:val="center"/>
              <w:textAlignment w:val="baseline"/>
              <w:rPr>
                <w:rFonts w:eastAsia="Times New Roman"/>
                <w:sz w:val="20"/>
                <w:szCs w:val="20"/>
                <w:lang w:eastAsia="lt-LT"/>
              </w:rPr>
            </w:pPr>
            <w:r w:rsidRPr="008519BA">
              <w:rPr>
                <w:rFonts w:eastAsia="Times New Roman"/>
                <w:sz w:val="20"/>
                <w:szCs w:val="20"/>
                <w:lang w:eastAsia="lt-LT"/>
              </w:rPr>
              <w:t>(Trumpa informacija apie mokyklą, mokinių skaičiaus kaitą, finansavimą, mokinių pasiekimų rezultatus)</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Prienų r. Balbieriškio pagrindinėje mokykloje 2019–2020 m. m. pagal ikimokyklinio, priešmokyklinio, pradinio ir pagrindinio ugdymo programas ugdomi 164 ugdytiniai, iš jų ikimokyklinio ugdymo skyriuje – 36 vaikai, priešmokyklinio ugdymo grupėje – 14 vaikų, 1–4 klasėse – 46 mokiniai, 5–10 klasėse – 68 mokiniai. Mokykloje dirba 25 mokytojai, 4 pagalbos mokiniui specialistai, 18 aptarnaujančiojo personalo darbuotojų. Lyginant su 2018–2019 mokslo metais mokinių skaičius yra padidėjęs 2 mokiniais.</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Mokyklos turimais duomenimis, ateinančius 3-erius metus planuojamas toks  mokinių skaičius:  2020–2021 m. m.  mokinių sk. – 170 mokinių, 2021–2022 m. m. – 166 mokiniai, 2022–2023 m. m. – 152 mokiniai.</w:t>
            </w:r>
          </w:p>
          <w:p w:rsidR="008519BA" w:rsidRPr="008519BA" w:rsidRDefault="008519BA" w:rsidP="008519BA">
            <w:pPr>
              <w:spacing w:after="0" w:line="240" w:lineRule="auto"/>
              <w:jc w:val="both"/>
              <w:rPr>
                <w:rFonts w:eastAsia="Times New Roman"/>
                <w:szCs w:val="24"/>
                <w:lang w:eastAsia="lt-LT"/>
              </w:rPr>
            </w:pPr>
            <w:r w:rsidRPr="008519BA">
              <w:rPr>
                <w:rFonts w:eastAsia="Times New Roman"/>
                <w:szCs w:val="24"/>
                <w:lang w:eastAsia="lt-LT"/>
              </w:rPr>
              <w:t xml:space="preserve">            Mokyklos direktorius ir buhalterė apie finansinių išteklių naudojimą reguliariai atsiskaito Mokyklos tarybai. 2019 metus</w:t>
            </w:r>
            <w:r w:rsidR="00670606">
              <w:rPr>
                <w:rFonts w:eastAsia="Times New Roman"/>
                <w:szCs w:val="24"/>
                <w:lang w:eastAsia="lt-LT"/>
              </w:rPr>
              <w:t xml:space="preserve"> </w:t>
            </w:r>
            <w:r w:rsidRPr="008519BA">
              <w:rPr>
                <w:rFonts w:eastAsia="Times New Roman"/>
                <w:szCs w:val="24"/>
                <w:lang w:eastAsia="lt-LT"/>
              </w:rPr>
              <w:t>mokykla užbaigė neturėdama finansinių įsiskolinimų.</w:t>
            </w:r>
          </w:p>
          <w:p w:rsidR="008519BA" w:rsidRPr="008519BA" w:rsidRDefault="008519BA" w:rsidP="008519BA">
            <w:pPr>
              <w:spacing w:after="0" w:line="240" w:lineRule="auto"/>
              <w:jc w:val="both"/>
              <w:rPr>
                <w:rFonts w:eastAsia="Times New Roman"/>
                <w:szCs w:val="24"/>
                <w:lang w:eastAsia="lt-LT"/>
              </w:rPr>
            </w:pPr>
            <w:r w:rsidRPr="008519BA">
              <w:rPr>
                <w:rFonts w:eastAsia="Times New Roman"/>
                <w:szCs w:val="24"/>
                <w:lang w:eastAsia="lt-LT"/>
              </w:rPr>
              <w:t xml:space="preserve">            Mokykla stengiasi pritraukti papildomus finansavimo šaltinius. Per 2019 metus iš kitų šaltinių mokykla gavo  2779,26 Eur (2 proc.  pajamų mokestis – 1084,5 Eur, valgyklos patalpų ir įrengimų nuoma –  694,76 Eur, AB „Senukai” labdaros ir paramos fondas – 500 Eur (kalėdinėms dovanėlėms ikimokyklinio, priešmokyklinio ir pradinio ugdymo mokiniams). Mokyklos rėmėjas Mark Potter skyrė 500 Eur pradinių klasių mokinių tautinių šokių būrelio „Ringutis” narių naujų tautinių kostiumų įsigijimui.</w:t>
            </w:r>
          </w:p>
          <w:p w:rsidR="008519BA" w:rsidRPr="008519BA" w:rsidRDefault="008519BA" w:rsidP="008519BA">
            <w:pPr>
              <w:spacing w:after="0" w:line="240" w:lineRule="auto"/>
              <w:jc w:val="both"/>
              <w:rPr>
                <w:rFonts w:eastAsia="Times New Roman"/>
                <w:szCs w:val="24"/>
                <w:lang w:eastAsia="lt-LT"/>
              </w:rPr>
            </w:pPr>
            <w:r w:rsidRPr="008519BA">
              <w:rPr>
                <w:rFonts w:eastAsia="Times New Roman"/>
                <w:szCs w:val="24"/>
                <w:lang w:eastAsia="lt-LT"/>
              </w:rPr>
              <w:t xml:space="preserve">            Galime pasidžiaugti, kad nuo 2014 m. mokinių pažangumas yra 100 proc., visi mokiniai yra perkelti į aukštesnę klasę. Gerą ugdymo(si) kokybę patvirtino ir Nacionalinių mokinių pasiekimų patikrinimo (toliau – NMPP) rezultatai. </w:t>
            </w:r>
          </w:p>
          <w:p w:rsidR="008519BA" w:rsidRP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b/>
                <w:bCs/>
                <w:szCs w:val="24"/>
                <w:lang w:eastAsia="ar-SA"/>
              </w:rPr>
              <w:t xml:space="preserve">            2 klasėje</w:t>
            </w:r>
            <w:r w:rsidRPr="008519BA">
              <w:rPr>
                <w:rFonts w:eastAsia="Times New Roman"/>
                <w:szCs w:val="24"/>
                <w:lang w:eastAsia="ar-SA"/>
              </w:rPr>
              <w:t xml:space="preserve"> geriausių rezultatų pagal mokinių suskirstymą į grupes pavyko pasiekti matematikoje: (57,1 proc.)  mokinių patenka į 3 grupę (2018 m. – 25 proc.) Į 2 grupę patenka 28,6 proc. mokinių. </w:t>
            </w:r>
          </w:p>
          <w:p w:rsidR="008519BA" w:rsidRP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b/>
                <w:bCs/>
                <w:szCs w:val="24"/>
                <w:lang w:eastAsia="ar-SA"/>
              </w:rPr>
              <w:t>4 kl.</w:t>
            </w:r>
            <w:r w:rsidRPr="008519BA">
              <w:rPr>
                <w:rFonts w:eastAsia="Times New Roman"/>
                <w:szCs w:val="24"/>
                <w:lang w:eastAsia="ar-SA"/>
              </w:rPr>
              <w:t xml:space="preserve"> mokinių NMPP aukštesniojo, pagrindinio lygių rezultatai (matematika, skaitymas, pasaulio pažinimas) sudaro per 60 proc., o rašymo – 75 proc. Pagal aukštesniojo lygio mokinių visų dalykų  pasiekimus lenkiame šalies NMPP dalyvavusių rezultatus apie 10 proc. </w:t>
            </w:r>
          </w:p>
          <w:p w:rsidR="008519BA" w:rsidRP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noProof/>
                <w:szCs w:val="24"/>
                <w:lang w:eastAsia="lt-LT"/>
              </w:rPr>
              <w:lastRenderedPageBreak/>
              <w:drawing>
                <wp:inline distT="0" distB="0" distL="0" distR="0">
                  <wp:extent cx="5721350" cy="2273300"/>
                  <wp:effectExtent l="0" t="0" r="0" b="0"/>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021" t="46982" r="27635" b="7988"/>
                          <a:stretch>
                            <a:fillRect/>
                          </a:stretch>
                        </pic:blipFill>
                        <pic:spPr bwMode="auto">
                          <a:xfrm>
                            <a:off x="0" y="0"/>
                            <a:ext cx="5721350" cy="2273300"/>
                          </a:xfrm>
                          <a:prstGeom prst="rect">
                            <a:avLst/>
                          </a:prstGeom>
                          <a:noFill/>
                          <a:ln>
                            <a:noFill/>
                          </a:ln>
                        </pic:spPr>
                      </pic:pic>
                    </a:graphicData>
                  </a:graphic>
                </wp:inline>
              </w:drawing>
            </w:r>
          </w:p>
          <w:p w:rsidR="008519BA" w:rsidRPr="008519BA" w:rsidRDefault="008519BA" w:rsidP="008519BA">
            <w:pPr>
              <w:widowControl w:val="0"/>
              <w:suppressAutoHyphens/>
              <w:autoSpaceDE w:val="0"/>
              <w:spacing w:after="0" w:line="240" w:lineRule="auto"/>
              <w:jc w:val="both"/>
              <w:rPr>
                <w:rFonts w:eastAsia="Times New Roman"/>
                <w:szCs w:val="24"/>
                <w:lang w:eastAsia="ar-SA"/>
              </w:rPr>
            </w:pPr>
          </w:p>
          <w:p w:rsidR="008519BA" w:rsidRP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b/>
                <w:bCs/>
                <w:szCs w:val="24"/>
                <w:lang w:eastAsia="ar-SA"/>
              </w:rPr>
              <w:t xml:space="preserve">        1 pav.</w:t>
            </w:r>
            <w:r w:rsidRPr="008519BA">
              <w:rPr>
                <w:rFonts w:eastAsia="Times New Roman"/>
                <w:szCs w:val="24"/>
                <w:lang w:eastAsia="ar-SA"/>
              </w:rPr>
              <w:t xml:space="preserve"> NMPP rezultatų mokyklos 4 kl. surinktų taškų vidurkis apytikriai sutampa su šalies pagrindinių mokyklų dalyko vidutiniškai surinktų taškų dalimi.</w:t>
            </w:r>
          </w:p>
          <w:p w:rsid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b/>
                <w:bCs/>
                <w:szCs w:val="24"/>
                <w:lang w:eastAsia="ar-SA"/>
              </w:rPr>
              <w:t xml:space="preserve">6 klasės </w:t>
            </w:r>
            <w:r w:rsidRPr="008519BA">
              <w:rPr>
                <w:rFonts w:eastAsia="Times New Roman"/>
                <w:szCs w:val="24"/>
                <w:lang w:eastAsia="ar-SA"/>
              </w:rPr>
              <w:t>mokyklos NMPP rezultatai yra aukštesni už šalies skirtingų vietovių ir tipų mokyklų skaitymo (63,9 proc.), matematikos (53,4 proc.) NMPP rezultatus. Matematikos pasiekimų patikrinime 13,9 proc. lenkiame pagrindines šalies mokyklas pagal vidutiniškai surinktų taškų dalį.</w:t>
            </w:r>
          </w:p>
          <w:p w:rsidR="00226E87" w:rsidRPr="008519BA" w:rsidRDefault="00226E87" w:rsidP="008519BA">
            <w:pPr>
              <w:widowControl w:val="0"/>
              <w:suppressAutoHyphens/>
              <w:autoSpaceDE w:val="0"/>
              <w:spacing w:after="0" w:line="240" w:lineRule="auto"/>
              <w:jc w:val="both"/>
              <w:rPr>
                <w:rFonts w:eastAsia="Times New Roman"/>
                <w:szCs w:val="24"/>
                <w:lang w:eastAsia="ar-SA"/>
              </w:rPr>
            </w:pPr>
          </w:p>
          <w:p w:rsidR="008519BA" w:rsidRP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noProof/>
                <w:szCs w:val="24"/>
                <w:lang w:eastAsia="lt-LT"/>
              </w:rPr>
              <w:drawing>
                <wp:inline distT="0" distB="0" distL="0" distR="0">
                  <wp:extent cx="5708650" cy="2444750"/>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368" t="30716" r="27423" b="19655"/>
                          <a:stretch>
                            <a:fillRect/>
                          </a:stretch>
                        </pic:blipFill>
                        <pic:spPr bwMode="auto">
                          <a:xfrm>
                            <a:off x="0" y="0"/>
                            <a:ext cx="5708650" cy="2444750"/>
                          </a:xfrm>
                          <a:prstGeom prst="rect">
                            <a:avLst/>
                          </a:prstGeom>
                          <a:noFill/>
                          <a:ln>
                            <a:noFill/>
                          </a:ln>
                        </pic:spPr>
                      </pic:pic>
                    </a:graphicData>
                  </a:graphic>
                </wp:inline>
              </w:drawing>
            </w:r>
          </w:p>
          <w:p w:rsidR="008519BA" w:rsidRDefault="008519BA" w:rsidP="008519BA">
            <w:pPr>
              <w:widowControl w:val="0"/>
              <w:suppressAutoHyphens/>
              <w:autoSpaceDE w:val="0"/>
              <w:spacing w:after="0" w:line="240" w:lineRule="auto"/>
              <w:jc w:val="both"/>
              <w:rPr>
                <w:rFonts w:eastAsia="Times New Roman"/>
                <w:szCs w:val="24"/>
                <w:lang w:eastAsia="ar-SA"/>
              </w:rPr>
            </w:pPr>
            <w:r w:rsidRPr="008519BA">
              <w:rPr>
                <w:rFonts w:eastAsia="Times New Roman"/>
                <w:b/>
                <w:bCs/>
                <w:color w:val="000000"/>
                <w:szCs w:val="24"/>
                <w:lang w:eastAsia="lt-LT"/>
              </w:rPr>
              <w:t xml:space="preserve"> 2 pav</w:t>
            </w:r>
            <w:r w:rsidRPr="008519BA">
              <w:rPr>
                <w:rFonts w:eastAsia="Times New Roman"/>
                <w:color w:val="000000"/>
                <w:szCs w:val="24"/>
                <w:lang w:eastAsia="lt-LT"/>
              </w:rPr>
              <w:t xml:space="preserve">. 4 kl. </w:t>
            </w:r>
            <w:r w:rsidRPr="008519BA">
              <w:rPr>
                <w:rFonts w:eastAsia="Times New Roman"/>
                <w:szCs w:val="24"/>
                <w:lang w:eastAsia="ar-SA"/>
              </w:rPr>
              <w:t>matematikos pasiekimų patikrinime 13,9 proc. lenkiame pagrindines šalies mokyklas pagal vidutiniškai surinktų  taškų dalį.</w:t>
            </w:r>
          </w:p>
          <w:p w:rsidR="00226E87" w:rsidRPr="008519BA" w:rsidRDefault="00226E87" w:rsidP="008519BA">
            <w:pPr>
              <w:widowControl w:val="0"/>
              <w:suppressAutoHyphens/>
              <w:autoSpaceDE w:val="0"/>
              <w:spacing w:after="0" w:line="240" w:lineRule="auto"/>
              <w:jc w:val="both"/>
              <w:rPr>
                <w:rFonts w:eastAsia="Times New Roman"/>
                <w:color w:val="000000"/>
                <w:szCs w:val="24"/>
                <w:lang w:eastAsia="lt-LT"/>
              </w:rPr>
            </w:pPr>
          </w:p>
          <w:p w:rsidR="008519BA" w:rsidRDefault="00F7760D" w:rsidP="008519BA">
            <w:pPr>
              <w:widowControl w:val="0"/>
              <w:suppressAutoHyphens/>
              <w:autoSpaceDE w:val="0"/>
              <w:spacing w:after="0" w:line="240" w:lineRule="auto"/>
              <w:jc w:val="both"/>
              <w:rPr>
                <w:rFonts w:eastAsia="Times New Roman"/>
                <w:color w:val="000000"/>
                <w:szCs w:val="24"/>
                <w:lang w:eastAsia="lt-LT"/>
              </w:rPr>
            </w:pPr>
            <w:r w:rsidRPr="00F7760D">
              <w:rPr>
                <w:rFonts w:eastAsia="Times New Roman"/>
                <w:noProof/>
                <w:szCs w:val="24"/>
                <w:lang w:eastAsia="lt-LT"/>
              </w:rPr>
              <w:pict>
                <v:shapetype id="_x0000_t32" coordsize="21600,21600" o:spt="32" o:oned="t" path="m,l21600,21600e" filled="f">
                  <v:path arrowok="t" fillok="f" o:connecttype="none"/>
                  <o:lock v:ext="edit" shapetype="t"/>
                </v:shapetype>
                <v:shape id="AutoShape 8" o:spid="_x0000_s1026" type="#_x0000_t32" style="position:absolute;left:0;text-align:left;margin-left:3.5pt;margin-top:47.5pt;width:461.2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"/>
              </w:pict>
            </w:r>
            <w:r w:rsidR="008519BA" w:rsidRPr="008519BA">
              <w:rPr>
                <w:rFonts w:eastAsia="Times New Roman"/>
                <w:noProof/>
                <w:szCs w:val="24"/>
                <w:lang w:eastAsia="lt-LT"/>
              </w:rPr>
              <w:drawing>
                <wp:anchor distT="0" distB="0" distL="114300" distR="114300" simplePos="0" relativeHeight="251660288" behindDoc="0" locked="0" layoutInCell="1" allowOverlap="1">
                  <wp:simplePos x="0" y="0"/>
                  <wp:positionH relativeFrom="column">
                    <wp:posOffset>2847975</wp:posOffset>
                  </wp:positionH>
                  <wp:positionV relativeFrom="paragraph">
                    <wp:posOffset>633730</wp:posOffset>
                  </wp:positionV>
                  <wp:extent cx="3162300" cy="1925955"/>
                  <wp:effectExtent l="0" t="0" r="0" b="0"/>
                  <wp:wrapSquare wrapText="bothSides"/>
                  <wp:docPr id="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102" b="38451"/>
                          <a:stretch>
                            <a:fillRect/>
                          </a:stretch>
                        </pic:blipFill>
                        <pic:spPr bwMode="auto">
                          <a:xfrm>
                            <a:off x="0" y="0"/>
                            <a:ext cx="3162300" cy="1925955"/>
                          </a:xfrm>
                          <a:prstGeom prst="rect">
                            <a:avLst/>
                          </a:prstGeom>
                          <a:noFill/>
                        </pic:spPr>
                      </pic:pic>
                    </a:graphicData>
                  </a:graphic>
                </wp:anchor>
              </w:drawing>
            </w:r>
            <w:r w:rsidR="008519BA" w:rsidRPr="008519BA">
              <w:rPr>
                <w:rFonts w:eastAsia="Times New Roman"/>
                <w:b/>
                <w:bCs/>
                <w:color w:val="000000"/>
                <w:szCs w:val="24"/>
                <w:lang w:eastAsia="lt-LT"/>
              </w:rPr>
              <w:t xml:space="preserve">            8 klasėje</w:t>
            </w:r>
            <w:r w:rsidR="008519BA" w:rsidRPr="008519BA">
              <w:rPr>
                <w:rFonts w:eastAsia="Times New Roman"/>
                <w:color w:val="000000"/>
                <w:szCs w:val="24"/>
                <w:lang w:eastAsia="lt-LT"/>
              </w:rPr>
              <w:t xml:space="preserve"> 2019 m. eNMPP rezultatai: matematikos pagal visų testą laikiusių šalies mokinių MTT (moderniosios testų teorijos formulės)  taškais vidurkį, lyginant skirtingų vietovių ir tipų mokyklas, sutampa su kaimo mokyklų arti pagrindinių mokyklų rezultatų.</w:t>
            </w:r>
          </w:p>
          <w:p w:rsidR="00226E87" w:rsidRDefault="00F7760D" w:rsidP="008519BA">
            <w:pPr>
              <w:widowControl w:val="0"/>
              <w:suppressAutoHyphens/>
              <w:autoSpaceDE w:val="0"/>
              <w:spacing w:after="0" w:line="240" w:lineRule="auto"/>
              <w:jc w:val="both"/>
              <w:rPr>
                <w:rFonts w:eastAsia="Times New Roman"/>
                <w:color w:val="000000"/>
                <w:szCs w:val="24"/>
                <w:lang w:eastAsia="lt-LT"/>
              </w:rPr>
            </w:pPr>
            <w:r w:rsidRPr="00F7760D">
              <w:rPr>
                <w:rFonts w:eastAsia="Times New Roman"/>
                <w:noProof/>
                <w:szCs w:val="24"/>
                <w:lang w:eastAsia="lt-LT"/>
              </w:rPr>
              <w:pict>
                <v:shapetype id="_x0000_t202" coordsize="21600,21600" o:spt="202" path="m,l,21600r21600,l21600,xe">
                  <v:stroke joinstyle="miter"/>
                  <v:path gradientshapeok="t" o:connecttype="rect"/>
                </v:shapetype>
                <v:shape id="Text Box 2" o:spid="_x0000_s1027" type="#_x0000_t202" style="position:absolute;left:0;text-align:left;margin-left:-4.4pt;margin-top:8.85pt;width:233.75pt;height:1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q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" stroked="f">
                  <v:textbox>
                    <w:txbxContent>
                      <w:p w:rsidR="008519BA" w:rsidRDefault="008519BA" w:rsidP="008519BA">
                        <w:pPr>
                          <w:jc w:val="center"/>
                          <w:rPr>
                            <w:b/>
                            <w:bCs/>
                            <w:sz w:val="28"/>
                          </w:rPr>
                        </w:pPr>
                      </w:p>
                      <w:p w:rsidR="00226E87" w:rsidRDefault="00226E87" w:rsidP="008519BA">
                        <w:pPr>
                          <w:jc w:val="center"/>
                          <w:rPr>
                            <w:b/>
                            <w:bCs/>
                            <w:sz w:val="28"/>
                          </w:rPr>
                        </w:pPr>
                      </w:p>
                      <w:p w:rsidR="008519BA" w:rsidRDefault="008519BA" w:rsidP="008519BA">
                        <w:pPr>
                          <w:jc w:val="center"/>
                          <w:rPr>
                            <w:b/>
                            <w:bCs/>
                            <w:sz w:val="28"/>
                          </w:rPr>
                        </w:pPr>
                        <w:r>
                          <w:rPr>
                            <w:b/>
                            <w:bCs/>
                            <w:sz w:val="28"/>
                          </w:rPr>
                          <w:t>Skirtingų vietovių ir mokyklų tipų mokyklinių pasiekimų įvertinimų MTT taškais vidurkių palyginimas</w:t>
                        </w:r>
                      </w:p>
                      <w:p w:rsidR="008519BA" w:rsidRDefault="008519BA" w:rsidP="008519BA">
                        <w:pPr>
                          <w:jc w:val="center"/>
                          <w:rPr>
                            <w:b/>
                            <w:bCs/>
                            <w:sz w:val="32"/>
                            <w:szCs w:val="32"/>
                          </w:rPr>
                        </w:pPr>
                      </w:p>
                      <w:p w:rsidR="008519BA" w:rsidRDefault="008519BA" w:rsidP="008519BA">
                        <w:pPr>
                          <w:jc w:val="center"/>
                          <w:rPr>
                            <w:b/>
                            <w:bCs/>
                            <w:sz w:val="32"/>
                            <w:szCs w:val="32"/>
                          </w:rPr>
                        </w:pPr>
                        <w:r>
                          <w:rPr>
                            <w:b/>
                            <w:bCs/>
                            <w:sz w:val="28"/>
                          </w:rPr>
                          <w:t>Matematika</w:t>
                        </w:r>
                      </w:p>
                    </w:txbxContent>
                  </v:textbox>
                </v:shape>
              </w:pict>
            </w:r>
          </w:p>
          <w:p w:rsidR="00226E87" w:rsidRDefault="00226E87" w:rsidP="008519BA">
            <w:pPr>
              <w:widowControl w:val="0"/>
              <w:suppressAutoHyphens/>
              <w:autoSpaceDE w:val="0"/>
              <w:spacing w:after="0" w:line="240" w:lineRule="auto"/>
              <w:jc w:val="both"/>
              <w:rPr>
                <w:rFonts w:eastAsia="Times New Roman"/>
                <w:color w:val="000000"/>
                <w:szCs w:val="24"/>
                <w:lang w:eastAsia="lt-LT"/>
              </w:rPr>
            </w:pPr>
          </w:p>
          <w:p w:rsidR="00226E87" w:rsidRPr="008519BA" w:rsidRDefault="00226E87" w:rsidP="008519BA">
            <w:pPr>
              <w:widowControl w:val="0"/>
              <w:suppressAutoHyphens/>
              <w:autoSpaceDE w:val="0"/>
              <w:spacing w:after="0" w:line="240" w:lineRule="auto"/>
              <w:jc w:val="both"/>
              <w:rPr>
                <w:rFonts w:eastAsia="Times New Roman"/>
                <w:color w:val="000000"/>
                <w:szCs w:val="24"/>
                <w:lang w:eastAsia="lt-LT"/>
              </w:rPr>
            </w:pPr>
          </w:p>
        </w:tc>
      </w:tr>
    </w:tbl>
    <w:p w:rsidR="008519BA" w:rsidRPr="008519BA" w:rsidRDefault="008519BA" w:rsidP="008519BA">
      <w:pPr>
        <w:overflowPunct w:val="0"/>
        <w:spacing w:after="0" w:line="240" w:lineRule="auto"/>
        <w:jc w:val="center"/>
        <w:textAlignment w:val="baseline"/>
        <w:rPr>
          <w:rFonts w:eastAsia="Times New Roman"/>
          <w:b/>
          <w:bCs/>
          <w:szCs w:val="24"/>
          <w:lang w:eastAsia="lt-LT"/>
        </w:rPr>
      </w:pPr>
    </w:p>
    <w:p w:rsidR="008519BA" w:rsidRPr="008519BA" w:rsidRDefault="008519BA" w:rsidP="008519BA">
      <w:pPr>
        <w:overflowPunct w:val="0"/>
        <w:spacing w:after="0" w:line="240" w:lineRule="auto"/>
        <w:ind w:firstLine="1296"/>
        <w:textAlignment w:val="baseline"/>
        <w:rPr>
          <w:rFonts w:eastAsia="Times New Roman"/>
          <w:b/>
          <w:bCs/>
          <w:szCs w:val="24"/>
          <w:lang w:eastAsia="lt-LT"/>
        </w:rPr>
      </w:pPr>
      <w:r w:rsidRPr="008519BA">
        <w:rPr>
          <w:rFonts w:eastAsia="Times New Roman"/>
          <w:b/>
          <w:bCs/>
          <w:szCs w:val="24"/>
          <w:lang w:eastAsia="lt-LT"/>
        </w:rPr>
        <w:t xml:space="preserve">3 pav. </w:t>
      </w:r>
      <w:r w:rsidRPr="008519BA">
        <w:rPr>
          <w:rFonts w:eastAsia="Times New Roman"/>
          <w:szCs w:val="24"/>
          <w:lang w:eastAsia="lt-LT"/>
        </w:rPr>
        <w:t>8 klasės mokinių eNMPP rezultatai.</w:t>
      </w:r>
    </w:p>
    <w:p w:rsidR="008519BA" w:rsidRPr="008519BA" w:rsidRDefault="008519BA" w:rsidP="00670606">
      <w:pPr>
        <w:overflowPunct w:val="0"/>
        <w:spacing w:after="0" w:line="240" w:lineRule="auto"/>
        <w:textAlignment w:val="baseline"/>
        <w:rPr>
          <w:rFonts w:eastAsia="Times New Roman"/>
          <w:b/>
          <w:bCs/>
          <w:szCs w:val="24"/>
          <w:lang w:eastAsia="lt-LT"/>
        </w:rPr>
      </w:pPr>
    </w:p>
    <w:p w:rsidR="008519BA" w:rsidRPr="008519BA" w:rsidRDefault="008519BA" w:rsidP="008519BA">
      <w:pPr>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I SKYRIUS</w:t>
      </w:r>
    </w:p>
    <w:p w:rsidR="008519BA" w:rsidRPr="008519BA" w:rsidRDefault="008519BA" w:rsidP="008519BA">
      <w:pPr>
        <w:overflowPunct w:val="0"/>
        <w:spacing w:after="0" w:line="240" w:lineRule="auto"/>
        <w:jc w:val="center"/>
        <w:textAlignment w:val="baseline"/>
        <w:rPr>
          <w:rFonts w:eastAsia="Times New Roman"/>
          <w:b/>
          <w:bCs/>
          <w:szCs w:val="24"/>
          <w:lang w:eastAsia="lt-LT"/>
        </w:rPr>
      </w:pPr>
    </w:p>
    <w:p w:rsidR="008519BA" w:rsidRPr="008519BA" w:rsidRDefault="008519BA" w:rsidP="008519BA">
      <w:pPr>
        <w:overflowPunct w:val="0"/>
        <w:spacing w:after="0" w:line="240" w:lineRule="auto"/>
        <w:jc w:val="center"/>
        <w:textAlignment w:val="baseline"/>
        <w:rPr>
          <w:rFonts w:eastAsia="Times New Roman"/>
          <w:b/>
          <w:bCs/>
          <w:szCs w:val="24"/>
          <w:lang w:eastAsia="lt-LT"/>
        </w:rPr>
      </w:pPr>
      <w:r w:rsidRPr="008519BA">
        <w:rPr>
          <w:rFonts w:eastAsia="Times New Roman"/>
          <w:b/>
          <w:bCs/>
          <w:szCs w:val="24"/>
          <w:lang w:eastAsia="lt-LT"/>
        </w:rPr>
        <w:t>STRATEGINIO PLANO, METINIO VEIKLOS PLANO BEI PRIEMONIŲ MOKINIŲ PASIEKIMAMS GERINTI ĮGYVENDINIMAS</w:t>
      </w:r>
    </w:p>
    <w:p w:rsidR="008519BA" w:rsidRPr="008519BA" w:rsidRDefault="008519BA" w:rsidP="008519BA">
      <w:pPr>
        <w:overflowPunct w:val="0"/>
        <w:spacing w:after="0" w:line="240" w:lineRule="auto"/>
        <w:jc w:val="center"/>
        <w:textAlignment w:val="baseline"/>
        <w:rPr>
          <w:rFonts w:eastAsia="Times New Roman"/>
          <w:b/>
          <w:bCs/>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
        <w:gridCol w:w="9594"/>
      </w:tblGrid>
      <w:tr w:rsidR="008519BA" w:rsidRPr="008519BA" w:rsidTr="008519BA">
        <w:trPr>
          <w:trHeight w:val="550"/>
        </w:trPr>
        <w:tc>
          <w:tcPr>
            <w:tcW w:w="9854" w:type="dxa"/>
            <w:gridSpan w:val="2"/>
            <w:tcBorders>
              <w:top w:val="single" w:sz="4" w:space="0" w:color="auto"/>
              <w:left w:val="single" w:sz="4" w:space="0" w:color="auto"/>
              <w:bottom w:val="single" w:sz="4" w:space="0" w:color="auto"/>
              <w:right w:val="single" w:sz="4" w:space="0" w:color="auto"/>
            </w:tcBorders>
          </w:tcPr>
          <w:p w:rsidR="008519BA" w:rsidRPr="008519BA" w:rsidRDefault="008519BA" w:rsidP="008519BA">
            <w:pPr>
              <w:overflowPunct w:val="0"/>
              <w:spacing w:after="0" w:line="240" w:lineRule="auto"/>
              <w:jc w:val="center"/>
              <w:textAlignment w:val="baseline"/>
              <w:rPr>
                <w:rFonts w:eastAsia="Times New Roman"/>
                <w:sz w:val="20"/>
                <w:szCs w:val="20"/>
                <w:lang w:eastAsia="lt-LT"/>
              </w:rPr>
            </w:pPr>
            <w:r w:rsidRPr="008519BA">
              <w:rPr>
                <w:rFonts w:eastAsia="Times New Roman"/>
                <w:sz w:val="20"/>
                <w:szCs w:val="20"/>
                <w:lang w:eastAsia="lt-LT"/>
              </w:rPr>
              <w:t>(Trumpai aptariama  švietimo įstaigos strateginio plano ir metinio veiklos plano įgyvendinimo kryptys ir pateikiami svariausi rezultatai bei rodikliai, priemonės mokinių pasiekimams gerinti bei jų rezultatai)</w:t>
            </w:r>
          </w:p>
          <w:p w:rsidR="008519BA" w:rsidRPr="008519BA" w:rsidRDefault="008519BA" w:rsidP="008519BA">
            <w:pPr>
              <w:tabs>
                <w:tab w:val="left" w:pos="0"/>
              </w:tabs>
              <w:spacing w:after="0" w:line="240" w:lineRule="auto"/>
              <w:jc w:val="both"/>
              <w:rPr>
                <w:rFonts w:eastAsia="Times New Roman"/>
                <w:szCs w:val="24"/>
                <w:lang w:eastAsia="lt-LT"/>
              </w:rPr>
            </w:pPr>
          </w:p>
          <w:p w:rsidR="008519BA" w:rsidRPr="008519BA" w:rsidRDefault="008519BA" w:rsidP="008519BA">
            <w:pPr>
              <w:tabs>
                <w:tab w:val="left" w:pos="0"/>
                <w:tab w:val="left" w:pos="1080"/>
              </w:tabs>
              <w:spacing w:after="0" w:line="240" w:lineRule="auto"/>
              <w:ind w:firstLine="720"/>
              <w:jc w:val="both"/>
              <w:rPr>
                <w:rFonts w:eastAsia="Times New Roman"/>
                <w:szCs w:val="24"/>
                <w:lang w:eastAsia="lt-LT"/>
              </w:rPr>
            </w:pPr>
            <w:r w:rsidRPr="008519BA">
              <w:rPr>
                <w:rFonts w:eastAsia="Times New Roman"/>
                <w:szCs w:val="24"/>
                <w:lang w:eastAsia="lt-LT"/>
              </w:rPr>
              <w:t xml:space="preserve">Mokyklos vadovai skatina bendruomenę vykdyti prisiimtus ilgalaikius (Strateginiame plane) bei metinius (Veiklos plane) įsipareigojimus. </w:t>
            </w:r>
          </w:p>
          <w:p w:rsidR="008519BA" w:rsidRPr="008519BA" w:rsidRDefault="008519BA" w:rsidP="008519BA">
            <w:pPr>
              <w:tabs>
                <w:tab w:val="left" w:pos="0"/>
                <w:tab w:val="left" w:pos="1080"/>
              </w:tabs>
              <w:spacing w:after="0" w:line="240" w:lineRule="auto"/>
              <w:ind w:firstLine="720"/>
              <w:jc w:val="both"/>
              <w:rPr>
                <w:rFonts w:eastAsia="Times New Roman"/>
                <w:szCs w:val="24"/>
                <w:lang w:eastAsia="lt-LT"/>
              </w:rPr>
            </w:pPr>
            <w:r w:rsidRPr="008519BA">
              <w:rPr>
                <w:rFonts w:eastAsia="Times New Roman"/>
                <w:szCs w:val="24"/>
                <w:lang w:eastAsia="lt-LT"/>
              </w:rPr>
              <w:t>Strateginio plano tarpinė analizė mokykloje tradiciškai vykdoma vieną kartą per mokslo metus, o Veiklos plano – du kartus (po pirmojo ir antrojo pusmečio). Tai atlieka savanoriškumo principu sudarytos darbo grupės.   Tarpinių analizių rezultatai aptariami Mokytojų tarybos posėdžiuose. Atsakingi asmenys (direktorius, pavaduotojas ugdymui, pagalbos mokiniui specialistai, savivaldos institucijų vadovai) pristato nuveiktus darbus, įvardija priežastis, jeigu numatytos planuose veiklos nebuvo įvykdytos.</w:t>
            </w:r>
          </w:p>
          <w:p w:rsidR="008519BA" w:rsidRPr="008519BA" w:rsidRDefault="008519BA" w:rsidP="008519BA">
            <w:pPr>
              <w:tabs>
                <w:tab w:val="left" w:pos="0"/>
                <w:tab w:val="left" w:pos="1080"/>
              </w:tabs>
              <w:spacing w:after="0" w:line="240" w:lineRule="auto"/>
              <w:ind w:firstLine="720"/>
              <w:jc w:val="both"/>
              <w:rPr>
                <w:rFonts w:eastAsia="Times New Roman"/>
                <w:szCs w:val="24"/>
                <w:lang w:eastAsia="lt-LT"/>
              </w:rPr>
            </w:pPr>
            <w:r w:rsidRPr="008519BA">
              <w:rPr>
                <w:rFonts w:eastAsia="Times New Roman"/>
                <w:szCs w:val="24"/>
                <w:lang w:eastAsia="lt-LT"/>
              </w:rPr>
              <w:tab/>
              <w:t xml:space="preserve">Strateginio plano 2019 m. įgyvendinimo tarpinė analizė mokyklos bendruomenėje vyks 2020 m. birželio mėnesį išplėstiniame mokytojų Tarybos posėdyje, kuriame dalyvaus ne tik mokytojų tarybos nariai, bet ir tėvų komiteto atstovai. Jam rengiantis, direktoriaus įsakymu bus sudarytos darbo grupės, kurios  rinks duomenis apie Strateginio plano įgyvendinimo aspektus. </w:t>
            </w:r>
          </w:p>
          <w:p w:rsidR="008519BA" w:rsidRPr="008519BA" w:rsidRDefault="008519BA" w:rsidP="008519BA">
            <w:pPr>
              <w:tabs>
                <w:tab w:val="left" w:pos="0"/>
                <w:tab w:val="left" w:pos="1080"/>
              </w:tabs>
              <w:spacing w:after="0" w:line="240" w:lineRule="auto"/>
              <w:ind w:firstLine="720"/>
              <w:jc w:val="both"/>
              <w:rPr>
                <w:rFonts w:eastAsia="Times New Roman"/>
                <w:szCs w:val="24"/>
              </w:rPr>
            </w:pPr>
            <w:r w:rsidRPr="008519BA">
              <w:rPr>
                <w:rFonts w:eastAsia="Times New Roman"/>
                <w:szCs w:val="24"/>
              </w:rPr>
              <w:t>Mokyklos 2019–2021 metų strateginiai tikslai: pamokos kokybės gerinimas, siekiant kiekvieno mokinio pažangos ir savanorystės bei veikimo kartu tobulinimas, kuriant atvirą kaitai, lyderystei ir bendradarbiavimui mokyklą, yra įgyvendinami. Tai patvirtina plane išsikeltų  uždavinių ir numatytų priemonių jiems įgyvendinti vykdymas. Mokyklos bendruomenė tęsia individualios mokinio pažangos matavimo sistemos tobulinimą, įtraukiant mokinius ir jų tėvus, tobulinamas mokymo(si) organizavimą (vyksta kvalifikaciniai seminarai mokytojams, organizuoja veiklas netradicinėse aplinkose. Abipusis grįžtamasis ryšys padeda planuoti tolimesnį mokymąsi ir pagalbą). Mokykla iš dalies apsirūpinusi šiuolaikinėmis mokymo(si) priemonėmis (1–10 klasės aprūpintos priemonėmis tyriminei veiklai), dauguma mokyklos aplinkų atitinka higienos reikalavimus). Tačiau į kai kurių Strateginiame plane numatytų veiklų įgyvendinimą mokyklos bendruomenė turėtų atkreipti ypatingą dėmesį: tai savivaldumo mokantis tobulinimas (pasiekti, kad 80 proc. mokyklos mokinių gebėtų įsivertinti asmeninę pažangą ir planuoti mokymosi lūkesčius), tobulinti mokymosi organizavimo gerinimas (pasiekti, kad 30 proc. gamtamokslinių ir socialinių dalykų pamokų vyktų netradicinėse erdvėse), mokymosi aplinkų kūrimas (poilsio zonų mokiniams vaikų žaidimo aikštelės ikimokyklinio ugdymo vaikams, sporto aikštyno įrengimas ir kt.).</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Metinio veiklos plano tarpinė analizė vyks 2020 m. vasario mėn. Mokytojų tarybos posėdyje.  Apžvelgus veiklos plane numatytų uždavinių įgyvendinimą, galima konstatuoti, kad dauguma numatytų veiklų yra įgyvendintos arba vykdomos, tačiau visai mokyklos bendruomenei būtina atkreipti dėmesį į kai kurias  plane numatytas, bet dar neįvykdytas arba nebaigtas vykdyti  veiklas: integruotų pamokų vedimą, </w:t>
            </w:r>
            <w:r w:rsidRPr="008519BA">
              <w:rPr>
                <w:rFonts w:eastAsia="Times New Roman"/>
                <w:szCs w:val="24"/>
              </w:rPr>
              <w:t>mokymosi drauge veiklos „Pasikviesk kolegą į pamoką“ aktyvinimą, atvirų pamokų organizavimą, mokyklos  viešųjų ryšių, įvaizdžio stiprinimą  ir erdvių apipavidalinimo koordinacinės grupės veiklos aktyvinimą ir tobulinimą.</w:t>
            </w:r>
          </w:p>
          <w:p w:rsidR="008519BA" w:rsidRPr="008519BA" w:rsidRDefault="008519BA" w:rsidP="008519BA">
            <w:pPr>
              <w:tabs>
                <w:tab w:val="left" w:pos="0"/>
                <w:tab w:val="left" w:pos="1080"/>
              </w:tabs>
              <w:spacing w:after="0" w:line="240" w:lineRule="auto"/>
              <w:ind w:firstLine="720"/>
              <w:jc w:val="both"/>
              <w:rPr>
                <w:rFonts w:eastAsia="Times New Roman"/>
                <w:szCs w:val="24"/>
                <w:lang w:eastAsia="lt-LT"/>
              </w:rPr>
            </w:pPr>
            <w:r w:rsidRPr="008519BA">
              <w:rPr>
                <w:rFonts w:eastAsia="Times New Roman"/>
                <w:szCs w:val="24"/>
                <w:lang w:eastAsia="lt-LT"/>
              </w:rPr>
              <w:t>Metinio veiklos plano galutinė analizė bus atlikta mokslo metų pabaigoje. Jos metu mokyklos administracija, savivaldos institucijos bei visa bendruomenė reflektuos plano įgyvendinimo sėkmingumą, numatys gaires naujai veiklai, kuri remsis mokyklos strateginiame plane numatytais prioritetais.</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Beveik visa mokyklos veikla yra nukreipta į tai, kad būtų sudarytos sąlygos mokiniams siekti pažangos bei gerų ugdymosi rezultatų. Mokykla šiuos pasiekimus analizuoja, teikia grįžtamąjį </w:t>
            </w:r>
            <w:r w:rsidRPr="008519BA">
              <w:rPr>
                <w:rFonts w:eastAsia="Times New Roman"/>
                <w:szCs w:val="24"/>
                <w:lang w:eastAsia="lt-LT"/>
              </w:rPr>
              <w:lastRenderedPageBreak/>
              <w:t>ryšį mokiniams bei tėveliams.</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Aukštesniuoju lygiu besimokančių mokinių skaičius išlieka panašus: 2018–2019 m. m. tokių mokinių 1–10 klasėse buvo 15,6 proc.(0,5 proc. daugiau, lyginant su  2017–2018 m. m.). Gerėja 1–10 klasėse besimokančių mokinių ugdymosi kokybė: aukštesniuoju ir pagrindiniu lygiu 2018–2019 m. m. mokėsi 50,4 proc. mokinių (t. y. 2,8 proc. daugiau, negu 2017–2018 m. m.) Mokyklos bendruomenė skiria ypatingą dėmesį mokinių individualiai pažangai: 2018–2019 m. m. pagal dalyko mokymosi vidurkį 41 proc. 5–9 klasių mokinių padarė individualią pažangą. Žymiai (po 11,6 pamokos) sumažėjo  1 mokiniui tenkančių praleistų pamokų skaičius, lyginant su 2017–2018 m. m.</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Geri mokinių pasiekimai respublikinėse ir rajoninėse olimpiadose ir konkursuose. </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              2019 m. m. mokyklos mokiniai dalyvavo ir laimėjo prizines vietas:</w:t>
            </w:r>
          </w:p>
          <w:p w:rsidR="008519BA" w:rsidRPr="008519BA" w:rsidRDefault="008519BA" w:rsidP="008519BA">
            <w:pPr>
              <w:tabs>
                <w:tab w:val="left" w:pos="0"/>
              </w:tabs>
              <w:spacing w:after="0" w:line="240" w:lineRule="auto"/>
              <w:ind w:left="360"/>
              <w:jc w:val="both"/>
              <w:rPr>
                <w:rFonts w:eastAsia="Times New Roman"/>
                <w:szCs w:val="24"/>
                <w:lang w:eastAsia="lt-LT"/>
              </w:rPr>
            </w:pPr>
            <w:r w:rsidRPr="008519BA">
              <w:rPr>
                <w:rFonts w:eastAsia="Times New Roman"/>
                <w:szCs w:val="24"/>
                <w:lang w:eastAsia="lt-LT"/>
              </w:rPr>
              <w:t xml:space="preserve">      – respublikiniuose renginiuose: edukaciniame konkurse „Olympis 2019“: anglų k. – I-III</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vieta, biologija - I vieta, lietuvių k. – II vieta, tarptautiniame matematikos konkurse ,,Kengūra“ – I vieta, rusų k. vertimų ir iliustracijų konkurse „Tavo žvilgsnis“ – I vieta, respublikiniame tradicinius šokius puoselėjančių Lietuvos mokyklų konkurse „Visa mokykla šoka“ – I vieta, Lietuvos mokyklų žaidynių mokinių 5x5 berniukų futbolo zoninėse ir žaidynių „Golas 2019“ – III vieta, Lietuvos Nuncel lygos badmintono varžybose – III vieta.</w:t>
            </w:r>
          </w:p>
          <w:p w:rsidR="008519BA" w:rsidRPr="008519BA" w:rsidRDefault="008519BA" w:rsidP="008519BA">
            <w:pPr>
              <w:tabs>
                <w:tab w:val="left" w:pos="0"/>
              </w:tabs>
              <w:spacing w:after="0" w:line="240" w:lineRule="auto"/>
              <w:ind w:left="360"/>
              <w:jc w:val="both"/>
              <w:rPr>
                <w:rFonts w:eastAsia="Times New Roman"/>
                <w:szCs w:val="24"/>
                <w:lang w:eastAsia="lt-LT"/>
              </w:rPr>
            </w:pPr>
            <w:r w:rsidRPr="008519BA">
              <w:rPr>
                <w:rFonts w:eastAsia="Times New Roman"/>
                <w:szCs w:val="24"/>
                <w:lang w:eastAsia="lt-LT"/>
              </w:rPr>
              <w:t xml:space="preserve">       –  rajoniniuose renginiuose: Lietuvos mokinių matematikos olimpiados rajoniniame ture –</w:t>
            </w:r>
          </w:p>
          <w:p w:rsidR="008519BA" w:rsidRPr="008519BA" w:rsidRDefault="008519BA" w:rsidP="008519BA">
            <w:pPr>
              <w:tabs>
                <w:tab w:val="left" w:pos="0"/>
              </w:tabs>
              <w:spacing w:after="0" w:line="240" w:lineRule="auto"/>
              <w:jc w:val="both"/>
              <w:rPr>
                <w:rFonts w:eastAsia="Times New Roman"/>
                <w:szCs w:val="24"/>
                <w:lang w:eastAsia="lt-LT"/>
              </w:rPr>
            </w:pPr>
            <w:r w:rsidRPr="008519BA">
              <w:rPr>
                <w:rFonts w:eastAsia="Times New Roman"/>
                <w:szCs w:val="24"/>
                <w:lang w:eastAsia="lt-LT"/>
              </w:rPr>
              <w:t xml:space="preserve">II, III vieta, mažoje rusų kalbos olimpiadoje „Šag za šagom“ – III vieta, kūrybinių darbų konkurse – parodoje „Žemei reikia draugų“ – II vieta, rajoniniame informacinių technologijų konkurse „Robotai buityje“ – I vieta, Prienų r. berniukų badmintono varžybose – I vieta, mergaičių – II vieta, Jaunųjų šaulių varžybose, skirtose Konstitucijos dienai paminėti – III vieta. </w:t>
            </w:r>
          </w:p>
          <w:p w:rsidR="008519BA" w:rsidRPr="008519BA" w:rsidRDefault="008519BA" w:rsidP="008519BA">
            <w:pPr>
              <w:overflowPunct w:val="0"/>
              <w:spacing w:after="0" w:line="240" w:lineRule="auto"/>
              <w:jc w:val="both"/>
              <w:textAlignment w:val="baseline"/>
              <w:rPr>
                <w:rFonts w:eastAsia="Times New Roman"/>
                <w:b/>
                <w:bCs/>
                <w:szCs w:val="24"/>
                <w:lang w:eastAsia="lt-LT"/>
              </w:rPr>
            </w:pPr>
            <w:r w:rsidRPr="008519BA">
              <w:rPr>
                <w:rFonts w:eastAsia="Times New Roman"/>
                <w:szCs w:val="24"/>
                <w:lang w:eastAsia="lt-LT"/>
              </w:rPr>
              <w:t xml:space="preserve">            Kiekvienais mokslo metais mokyklos mokytojų bendruomenė, atsižvelgdama į pusmečių ir metinius mokinių ugdymo(si), Pagrindinio ugdymo pasiekimų bei Nacionalinio mokinių patikrinimo rezultatus, sudaro detalų mokinių pasiekimų gerinimo planą, kuriame įvairiais lygmenimis (mokinio, mokytojo bei mokyklos) numatomos konkrečios priemonės ugdymo(si) kokybei gerinti. Mokinių ugdymo(si) pasiekimai aptariami Mokytojų tarybos posėdžiuose (po pusmečių), klasių bendruomenėse, visuotiniuose ir klasių tėvų susirinkimuose.</w:t>
            </w:r>
          </w:p>
        </w:tc>
      </w:tr>
      <w:tr w:rsidR="008519BA" w:rsidRPr="008519BA" w:rsidTr="008519BA">
        <w:trPr>
          <w:gridAfter w:val="1"/>
          <w:wAfter w:w="9594" w:type="dxa"/>
          <w:trHeight w:val="264"/>
        </w:trPr>
        <w:tc>
          <w:tcPr>
            <w:tcW w:w="260" w:type="dxa"/>
            <w:tcBorders>
              <w:top w:val="nil"/>
              <w:left w:val="nil"/>
              <w:bottom w:val="nil"/>
              <w:right w:val="nil"/>
            </w:tcBorders>
          </w:tcPr>
          <w:p w:rsidR="008519BA" w:rsidRPr="008519BA" w:rsidRDefault="008519BA" w:rsidP="008519BA">
            <w:pPr>
              <w:spacing w:after="0" w:line="240" w:lineRule="auto"/>
              <w:rPr>
                <w:rFonts w:eastAsia="Times New Roman"/>
                <w:szCs w:val="24"/>
                <w:lang w:eastAsia="lt-LT"/>
              </w:rPr>
            </w:pPr>
          </w:p>
        </w:tc>
      </w:tr>
      <w:tr w:rsidR="008519BA" w:rsidRPr="008519BA" w:rsidTr="008519BA">
        <w:trPr>
          <w:gridAfter w:val="1"/>
          <w:wAfter w:w="9594" w:type="dxa"/>
          <w:trHeight w:val="264"/>
        </w:trPr>
        <w:tc>
          <w:tcPr>
            <w:tcW w:w="260" w:type="dxa"/>
            <w:tcBorders>
              <w:top w:val="nil"/>
              <w:left w:val="nil"/>
              <w:bottom w:val="nil"/>
              <w:right w:val="nil"/>
            </w:tcBorders>
          </w:tcPr>
          <w:p w:rsidR="008519BA" w:rsidRPr="008519BA" w:rsidRDefault="008519BA" w:rsidP="008519BA">
            <w:pPr>
              <w:overflowPunct w:val="0"/>
              <w:spacing w:after="0" w:line="240" w:lineRule="auto"/>
              <w:textAlignment w:val="baseline"/>
              <w:rPr>
                <w:rFonts w:eastAsia="Times New Roman"/>
                <w:sz w:val="16"/>
                <w:szCs w:val="16"/>
                <w:lang w:eastAsia="lt-LT"/>
              </w:rPr>
            </w:pPr>
          </w:p>
        </w:tc>
      </w:tr>
    </w:tbl>
    <w:p w:rsidR="00B31D72" w:rsidRDefault="00FE275C" w:rsidP="00FE275C">
      <w:pPr>
        <w:jc w:val="center"/>
      </w:pPr>
      <w:r>
        <w:t>______________________________________</w:t>
      </w:r>
    </w:p>
    <w:sectPr w:rsidR="00B31D72" w:rsidSect="00021C21">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15" w:rsidRDefault="00865515" w:rsidP="00021C21">
      <w:pPr>
        <w:spacing w:after="0" w:line="240" w:lineRule="auto"/>
      </w:pPr>
      <w:r>
        <w:separator/>
      </w:r>
    </w:p>
  </w:endnote>
  <w:endnote w:type="continuationSeparator" w:id="0">
    <w:p w:rsidR="00865515" w:rsidRDefault="00865515" w:rsidP="00021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15" w:rsidRDefault="00865515" w:rsidP="00021C21">
      <w:pPr>
        <w:spacing w:after="0" w:line="240" w:lineRule="auto"/>
      </w:pPr>
      <w:r>
        <w:separator/>
      </w:r>
    </w:p>
  </w:footnote>
  <w:footnote w:type="continuationSeparator" w:id="0">
    <w:p w:rsidR="00865515" w:rsidRDefault="00865515" w:rsidP="00021C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8519BA"/>
    <w:rsid w:val="00021C21"/>
    <w:rsid w:val="000C6C5D"/>
    <w:rsid w:val="00144472"/>
    <w:rsid w:val="001973B6"/>
    <w:rsid w:val="00226E87"/>
    <w:rsid w:val="002F3779"/>
    <w:rsid w:val="00322154"/>
    <w:rsid w:val="00670606"/>
    <w:rsid w:val="008519BA"/>
    <w:rsid w:val="00865515"/>
    <w:rsid w:val="008A19EF"/>
    <w:rsid w:val="00975A26"/>
    <w:rsid w:val="00B31D72"/>
    <w:rsid w:val="00DF2D9A"/>
    <w:rsid w:val="00F7760D"/>
    <w:rsid w:val="00FE275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606"/>
    <w:rPr>
      <w:rFonts w:ascii="Tahoma" w:hAnsi="Tahoma" w:cs="Tahoma"/>
      <w:sz w:val="16"/>
      <w:szCs w:val="16"/>
    </w:rPr>
  </w:style>
  <w:style w:type="paragraph" w:styleId="Header">
    <w:name w:val="header"/>
    <w:basedOn w:val="Normal"/>
    <w:link w:val="HeaderChar"/>
    <w:uiPriority w:val="99"/>
    <w:semiHidden/>
    <w:unhideWhenUsed/>
    <w:rsid w:val="00021C2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21C21"/>
  </w:style>
  <w:style w:type="paragraph" w:styleId="Footer">
    <w:name w:val="footer"/>
    <w:basedOn w:val="Normal"/>
    <w:link w:val="FooterChar"/>
    <w:uiPriority w:val="99"/>
    <w:semiHidden/>
    <w:unhideWhenUsed/>
    <w:rsid w:val="00021C2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21C21"/>
  </w:style>
</w:styles>
</file>

<file path=word/webSettings.xml><?xml version="1.0" encoding="utf-8"?>
<w:webSettings xmlns:r="http://schemas.openxmlformats.org/officeDocument/2006/relationships" xmlns:w="http://schemas.openxmlformats.org/wordprocessingml/2006/main">
  <w:divs>
    <w:div w:id="5489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6196</Words>
  <Characters>3533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User</cp:lastModifiedBy>
  <cp:revision>5</cp:revision>
  <dcterms:created xsi:type="dcterms:W3CDTF">2020-05-29T11:08:00Z</dcterms:created>
  <dcterms:modified xsi:type="dcterms:W3CDTF">2020-06-01T13:44:00Z</dcterms:modified>
</cp:coreProperties>
</file>