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8A3" w:rsidRPr="00602EF4" w:rsidRDefault="00E808A3" w:rsidP="00E808A3">
      <w:pPr>
        <w:tabs>
          <w:tab w:val="left" w:pos="1296"/>
          <w:tab w:val="left" w:pos="2592"/>
          <w:tab w:val="left" w:pos="3888"/>
          <w:tab w:val="left" w:pos="5184"/>
          <w:tab w:val="left" w:pos="6480"/>
          <w:tab w:val="left" w:pos="7840"/>
        </w:tabs>
        <w:ind w:left="5184" w:firstLine="1053"/>
        <w:rPr>
          <w:szCs w:val="24"/>
        </w:rPr>
      </w:pPr>
      <w:r w:rsidRPr="00602EF4">
        <w:rPr>
          <w:szCs w:val="24"/>
        </w:rPr>
        <w:t>PRITARTA</w:t>
      </w:r>
      <w:r w:rsidRPr="00602EF4">
        <w:rPr>
          <w:szCs w:val="24"/>
        </w:rPr>
        <w:tab/>
      </w:r>
    </w:p>
    <w:p w:rsidR="00E808A3" w:rsidRDefault="00E808A3" w:rsidP="00E808A3">
      <w:pPr>
        <w:ind w:left="5182" w:firstLine="1053"/>
        <w:rPr>
          <w:szCs w:val="24"/>
        </w:rPr>
      </w:pPr>
      <w:r w:rsidRPr="00602EF4">
        <w:rPr>
          <w:szCs w:val="24"/>
        </w:rPr>
        <w:t>Prienų rajono savivaldybės tarybos</w:t>
      </w:r>
    </w:p>
    <w:p w:rsidR="00E808A3" w:rsidRDefault="00E808A3" w:rsidP="00E808A3">
      <w:pPr>
        <w:ind w:left="5182" w:firstLine="1053"/>
        <w:rPr>
          <w:szCs w:val="24"/>
        </w:rPr>
      </w:pPr>
      <w:r w:rsidRPr="00602EF4">
        <w:rPr>
          <w:szCs w:val="24"/>
        </w:rPr>
        <w:t>2020 m. gegužės 28 d.</w:t>
      </w:r>
      <w:r w:rsidRPr="00602EF4">
        <w:rPr>
          <w:szCs w:val="24"/>
        </w:rPr>
        <w:tab/>
      </w:r>
    </w:p>
    <w:p w:rsidR="00E808A3" w:rsidRPr="00602EF4" w:rsidRDefault="00E808A3" w:rsidP="00E808A3">
      <w:pPr>
        <w:ind w:left="5182" w:firstLine="1053"/>
        <w:rPr>
          <w:szCs w:val="24"/>
        </w:rPr>
      </w:pPr>
      <w:r w:rsidRPr="00602EF4">
        <w:rPr>
          <w:szCs w:val="24"/>
        </w:rPr>
        <w:t>sprendimu Nr. T3-12</w:t>
      </w:r>
      <w:r>
        <w:rPr>
          <w:szCs w:val="24"/>
        </w:rPr>
        <w:t>5</w:t>
      </w:r>
    </w:p>
    <w:p w:rsidR="00722D08" w:rsidRDefault="00722D08" w:rsidP="00722D08">
      <w:pPr>
        <w:tabs>
          <w:tab w:val="left" w:pos="6237"/>
          <w:tab w:val="right" w:pos="8306"/>
        </w:tabs>
        <w:overflowPunct w:val="0"/>
        <w:textAlignment w:val="baseline"/>
        <w:rPr>
          <w:szCs w:val="24"/>
        </w:rPr>
      </w:pPr>
    </w:p>
    <w:p w:rsidR="009D2960" w:rsidRPr="00245CEC" w:rsidRDefault="009D2960" w:rsidP="009D2960">
      <w:pPr>
        <w:tabs>
          <w:tab w:val="left" w:pos="14656"/>
        </w:tabs>
        <w:jc w:val="center"/>
        <w:rPr>
          <w:b/>
          <w:szCs w:val="24"/>
          <w:u w:val="single"/>
          <w:lang w:eastAsia="lt-LT"/>
        </w:rPr>
      </w:pPr>
      <w:r>
        <w:rPr>
          <w:b/>
          <w:szCs w:val="24"/>
          <w:u w:val="single"/>
          <w:lang w:eastAsia="lt-LT"/>
        </w:rPr>
        <w:t>_________PRIENŲ R. JIEZNO GIMNAZIJOS_________</w:t>
      </w:r>
    </w:p>
    <w:p w:rsidR="009D2960" w:rsidRDefault="009D2960" w:rsidP="009D2960">
      <w:pPr>
        <w:tabs>
          <w:tab w:val="left" w:pos="14656"/>
        </w:tabs>
        <w:jc w:val="center"/>
        <w:rPr>
          <w:sz w:val="20"/>
          <w:lang w:eastAsia="lt-LT"/>
        </w:rPr>
      </w:pPr>
      <w:r>
        <w:rPr>
          <w:sz w:val="20"/>
          <w:lang w:eastAsia="lt-LT"/>
        </w:rPr>
        <w:t>(švietimo įstaigos pavadinimas)</w:t>
      </w:r>
    </w:p>
    <w:p w:rsidR="009D2960" w:rsidRDefault="009D2960" w:rsidP="009D2960">
      <w:pPr>
        <w:tabs>
          <w:tab w:val="left" w:pos="14656"/>
        </w:tabs>
        <w:jc w:val="center"/>
        <w:rPr>
          <w:szCs w:val="24"/>
          <w:lang w:eastAsia="lt-LT"/>
        </w:rPr>
      </w:pPr>
    </w:p>
    <w:p w:rsidR="009D2960" w:rsidRPr="00245CEC" w:rsidRDefault="009D2960" w:rsidP="009D2960">
      <w:pPr>
        <w:tabs>
          <w:tab w:val="left" w:pos="14656"/>
        </w:tabs>
        <w:jc w:val="center"/>
        <w:rPr>
          <w:b/>
          <w:szCs w:val="24"/>
          <w:u w:val="single"/>
          <w:lang w:eastAsia="lt-LT"/>
        </w:rPr>
      </w:pPr>
      <w:r>
        <w:rPr>
          <w:b/>
          <w:szCs w:val="24"/>
          <w:u w:val="single"/>
          <w:lang w:eastAsia="lt-LT"/>
        </w:rPr>
        <w:t>_________</w:t>
      </w:r>
      <w:r w:rsidRPr="00245CEC">
        <w:rPr>
          <w:b/>
          <w:szCs w:val="24"/>
          <w:u w:val="single"/>
          <w:lang w:eastAsia="lt-LT"/>
        </w:rPr>
        <w:t>DIREKTORĖS NERINGOS ZUJIENĖS</w:t>
      </w:r>
      <w:r>
        <w:rPr>
          <w:b/>
          <w:szCs w:val="24"/>
          <w:u w:val="single"/>
          <w:lang w:eastAsia="lt-LT"/>
        </w:rPr>
        <w:t>______</w:t>
      </w:r>
    </w:p>
    <w:p w:rsidR="009D2960" w:rsidRDefault="009D2960" w:rsidP="009D2960">
      <w:pPr>
        <w:overflowPunct w:val="0"/>
        <w:jc w:val="center"/>
        <w:textAlignment w:val="baseline"/>
        <w:rPr>
          <w:sz w:val="20"/>
          <w:lang w:eastAsia="lt-LT"/>
        </w:rPr>
      </w:pPr>
      <w:r>
        <w:rPr>
          <w:sz w:val="20"/>
          <w:lang w:eastAsia="lt-LT"/>
        </w:rPr>
        <w:t>(švietimo įstaigos vadovo vardas ir pavardė)</w:t>
      </w:r>
    </w:p>
    <w:p w:rsidR="009D2960" w:rsidRDefault="009D2960" w:rsidP="009D2960">
      <w:pPr>
        <w:overflowPunct w:val="0"/>
        <w:jc w:val="center"/>
        <w:textAlignment w:val="baseline"/>
        <w:rPr>
          <w:b/>
          <w:szCs w:val="24"/>
          <w:lang w:eastAsia="lt-LT"/>
        </w:rPr>
      </w:pPr>
      <w:r>
        <w:rPr>
          <w:b/>
          <w:szCs w:val="24"/>
          <w:lang w:eastAsia="lt-LT"/>
        </w:rPr>
        <w:t>METŲ VEIKLOS ATASKAITA</w:t>
      </w:r>
    </w:p>
    <w:p w:rsidR="009D2960" w:rsidRDefault="009D2960" w:rsidP="009D2960">
      <w:pPr>
        <w:overflowPunct w:val="0"/>
        <w:jc w:val="center"/>
        <w:textAlignment w:val="baseline"/>
        <w:rPr>
          <w:szCs w:val="24"/>
          <w:lang w:eastAsia="lt-LT"/>
        </w:rPr>
      </w:pPr>
    </w:p>
    <w:p w:rsidR="009D2960" w:rsidRPr="00165259" w:rsidRDefault="009D2960" w:rsidP="009D2960">
      <w:pPr>
        <w:jc w:val="center"/>
        <w:rPr>
          <w:szCs w:val="24"/>
          <w:u w:val="single"/>
          <w:lang w:eastAsia="lt-LT"/>
        </w:rPr>
      </w:pPr>
      <w:r>
        <w:rPr>
          <w:szCs w:val="24"/>
          <w:u w:val="single"/>
          <w:lang w:val="en-US" w:eastAsia="lt-LT"/>
        </w:rPr>
        <w:t>2020-01-20</w:t>
      </w:r>
      <w:r>
        <w:rPr>
          <w:szCs w:val="24"/>
          <w:lang w:eastAsia="lt-LT"/>
        </w:rPr>
        <w:t xml:space="preserve"> Nr. </w:t>
      </w:r>
      <w:r w:rsidR="00165259" w:rsidRPr="00165259">
        <w:rPr>
          <w:szCs w:val="24"/>
          <w:u w:val="single"/>
          <w:lang w:eastAsia="lt-LT"/>
        </w:rPr>
        <w:t>2</w:t>
      </w:r>
    </w:p>
    <w:p w:rsidR="009D2960" w:rsidRDefault="009D2960" w:rsidP="009D2960">
      <w:pPr>
        <w:jc w:val="center"/>
        <w:rPr>
          <w:sz w:val="20"/>
          <w:lang w:eastAsia="lt-LT"/>
        </w:rPr>
      </w:pPr>
      <w:r>
        <w:rPr>
          <w:sz w:val="20"/>
          <w:lang w:eastAsia="lt-LT"/>
        </w:rPr>
        <w:t>(data)</w:t>
      </w:r>
    </w:p>
    <w:p w:rsidR="009D2960" w:rsidRPr="00245CEC" w:rsidRDefault="009D2960" w:rsidP="009D2960">
      <w:pPr>
        <w:tabs>
          <w:tab w:val="left" w:pos="3828"/>
        </w:tabs>
        <w:jc w:val="center"/>
        <w:rPr>
          <w:szCs w:val="24"/>
          <w:u w:val="single"/>
          <w:lang w:eastAsia="lt-LT"/>
        </w:rPr>
      </w:pPr>
      <w:r>
        <w:rPr>
          <w:szCs w:val="24"/>
          <w:u w:val="single"/>
          <w:lang w:eastAsia="lt-LT"/>
        </w:rPr>
        <w:t>Jieznas</w:t>
      </w:r>
    </w:p>
    <w:p w:rsidR="009D2960" w:rsidRDefault="009D2960" w:rsidP="009D2960">
      <w:pPr>
        <w:tabs>
          <w:tab w:val="left" w:pos="3828"/>
        </w:tabs>
        <w:jc w:val="center"/>
        <w:rPr>
          <w:sz w:val="20"/>
          <w:lang w:eastAsia="lt-LT"/>
        </w:rPr>
      </w:pPr>
      <w:r>
        <w:rPr>
          <w:sz w:val="20"/>
          <w:lang w:eastAsia="lt-LT"/>
        </w:rPr>
        <w:t>(sudarymo vieta)</w:t>
      </w:r>
    </w:p>
    <w:p w:rsidR="009D2960" w:rsidRDefault="009D2960" w:rsidP="00722D08">
      <w:pPr>
        <w:overflowPunct w:val="0"/>
        <w:jc w:val="center"/>
        <w:textAlignment w:val="baseline"/>
        <w:rPr>
          <w:b/>
          <w:szCs w:val="24"/>
          <w:lang w:eastAsia="lt-LT"/>
        </w:rPr>
      </w:pPr>
    </w:p>
    <w:p w:rsidR="001B3092" w:rsidRPr="00267A6D" w:rsidRDefault="001B3092" w:rsidP="00722D08">
      <w:pPr>
        <w:overflowPunct w:val="0"/>
        <w:jc w:val="center"/>
        <w:textAlignment w:val="baseline"/>
        <w:rPr>
          <w:b/>
          <w:szCs w:val="24"/>
          <w:lang w:eastAsia="lt-LT"/>
        </w:rPr>
      </w:pPr>
      <w:r w:rsidRPr="00267A6D">
        <w:rPr>
          <w:b/>
          <w:szCs w:val="24"/>
          <w:lang w:eastAsia="lt-LT"/>
        </w:rPr>
        <w:t>ĮŽANGA</w:t>
      </w:r>
    </w:p>
    <w:p w:rsidR="001B3092" w:rsidRDefault="00E32EE0" w:rsidP="00722D08">
      <w:pPr>
        <w:overflowPunct w:val="0"/>
        <w:jc w:val="center"/>
        <w:textAlignment w:val="baseline"/>
        <w:rPr>
          <w:b/>
          <w:szCs w:val="24"/>
          <w:lang w:eastAsia="lt-LT"/>
        </w:rPr>
      </w:pPr>
      <w:r w:rsidRPr="00267A6D">
        <w:rPr>
          <w:b/>
          <w:szCs w:val="24"/>
          <w:lang w:eastAsia="lt-LT"/>
        </w:rPr>
        <w:t>MOKYKLOS VIZITINĖ KORTELĖ</w:t>
      </w:r>
    </w:p>
    <w:p w:rsidR="00267A6D" w:rsidRPr="00267A6D" w:rsidRDefault="00267A6D" w:rsidP="00722D08">
      <w:pPr>
        <w:overflowPunct w:val="0"/>
        <w:jc w:val="center"/>
        <w:textAlignment w:val="baseline"/>
        <w:rPr>
          <w:b/>
          <w:szCs w:val="24"/>
          <w:lang w:eastAsia="lt-LT"/>
        </w:rPr>
      </w:pPr>
    </w:p>
    <w:tbl>
      <w:tblPr>
        <w:tblStyle w:val="TableGrid"/>
        <w:tblW w:w="0" w:type="auto"/>
        <w:tblLook w:val="04A0"/>
      </w:tblPr>
      <w:tblGrid>
        <w:gridCol w:w="9612"/>
      </w:tblGrid>
      <w:tr w:rsidR="00E32EE0" w:rsidTr="006D3EF5">
        <w:tc>
          <w:tcPr>
            <w:tcW w:w="9209" w:type="dxa"/>
          </w:tcPr>
          <w:p w:rsidR="00E32EE0" w:rsidRPr="00833293" w:rsidRDefault="00E32EE0" w:rsidP="00722D08">
            <w:pPr>
              <w:overflowPunct w:val="0"/>
              <w:jc w:val="center"/>
              <w:textAlignment w:val="baseline"/>
              <w:rPr>
                <w:b/>
                <w:i/>
                <w:sz w:val="20"/>
                <w:lang w:eastAsia="lt-LT"/>
              </w:rPr>
            </w:pPr>
            <w:r w:rsidRPr="00833293">
              <w:rPr>
                <w:b/>
                <w:i/>
                <w:sz w:val="20"/>
                <w:lang w:eastAsia="lt-LT"/>
              </w:rPr>
              <w:t>(</w:t>
            </w:r>
            <w:r w:rsidR="001573F4" w:rsidRPr="00833293">
              <w:rPr>
                <w:b/>
                <w:i/>
                <w:sz w:val="20"/>
                <w:lang w:eastAsia="lt-LT"/>
              </w:rPr>
              <w:t>Trumpa informacija apie mokyklą, mokinių skaičiaus kaitą, finansavimą</w:t>
            </w:r>
            <w:r w:rsidR="003F3D1B" w:rsidRPr="00833293">
              <w:rPr>
                <w:b/>
                <w:i/>
                <w:sz w:val="20"/>
                <w:lang w:eastAsia="lt-LT"/>
              </w:rPr>
              <w:t>, mokinių pasiekimų rezultatus)</w:t>
            </w:r>
          </w:p>
          <w:p w:rsidR="00C15657" w:rsidRPr="00AC6DE8" w:rsidRDefault="00C15657" w:rsidP="00C15657">
            <w:pPr>
              <w:ind w:firstLine="601"/>
              <w:jc w:val="both"/>
              <w:textAlignment w:val="baseline"/>
              <w:rPr>
                <w:szCs w:val="24"/>
                <w:lang w:eastAsia="lt-LT"/>
              </w:rPr>
            </w:pPr>
            <w:r w:rsidRPr="00AC6DE8">
              <w:rPr>
                <w:b/>
                <w:bCs/>
                <w:szCs w:val="24"/>
                <w:lang w:eastAsia="lt-LT"/>
              </w:rPr>
              <w:t xml:space="preserve">Trumpa informacija apie mokyklą, mokinių skaičiaus </w:t>
            </w:r>
            <w:proofErr w:type="spellStart"/>
            <w:r w:rsidRPr="00AC6DE8">
              <w:rPr>
                <w:b/>
                <w:bCs/>
                <w:szCs w:val="24"/>
                <w:lang w:eastAsia="lt-LT"/>
              </w:rPr>
              <w:t>kaitą.</w:t>
            </w:r>
            <w:r w:rsidRPr="00AC6DE8">
              <w:rPr>
                <w:szCs w:val="24"/>
                <w:lang w:eastAsia="lt-LT"/>
              </w:rPr>
              <w:t>Jiezno</w:t>
            </w:r>
            <w:proofErr w:type="spellEnd"/>
            <w:r w:rsidRPr="00AC6DE8">
              <w:rPr>
                <w:szCs w:val="24"/>
                <w:lang w:eastAsia="lt-LT"/>
              </w:rPr>
              <w:t xml:space="preserve"> gimnazija (toliau – Gimn</w:t>
            </w:r>
            <w:r w:rsidRPr="00AC6DE8">
              <w:rPr>
                <w:szCs w:val="24"/>
                <w:lang w:eastAsia="lt-LT"/>
              </w:rPr>
              <w:t>a</w:t>
            </w:r>
            <w:r w:rsidRPr="00AC6DE8">
              <w:rPr>
                <w:szCs w:val="24"/>
                <w:lang w:eastAsia="lt-LT"/>
              </w:rPr>
              <w:t>zija) 2019–2020 mokslo metus pradėjo turėdama 221 ugdytinį. Ugdytinių skaičius 2019 m. gruodžio 31 d. duomenimis nepasikeitė: 166 mokiniai (12 klasių komplektų), 16 priešmokyklinio ugdymo grupės vaikų (1 priešmokyklinio ugdy</w:t>
            </w:r>
            <w:r w:rsidR="00EB0F2A">
              <w:rPr>
                <w:szCs w:val="24"/>
                <w:lang w:eastAsia="lt-LT"/>
              </w:rPr>
              <w:t>mo grupė)</w:t>
            </w:r>
            <w:r w:rsidRPr="00AC6DE8">
              <w:rPr>
                <w:szCs w:val="24"/>
                <w:lang w:eastAsia="lt-LT"/>
              </w:rPr>
              <w:t xml:space="preserve">ir 39 Ikimokyklinio ugdymo skyriaus (toliau – Skyrius) ugdytiniai (3 grupės). Gimnazijoje ugdytinių skaičius kasmet mažėja: </w:t>
            </w:r>
          </w:p>
          <w:p w:rsidR="005436A9" w:rsidRPr="00833293" w:rsidRDefault="005436A9" w:rsidP="00C15657">
            <w:pPr>
              <w:overflowPunct w:val="0"/>
              <w:jc w:val="both"/>
              <w:textAlignment w:val="baseline"/>
            </w:pPr>
          </w:p>
          <w:p w:rsidR="005436A9" w:rsidRPr="00833293" w:rsidRDefault="005436A9" w:rsidP="005436A9">
            <w:pPr>
              <w:overflowPunct w:val="0"/>
              <w:jc w:val="both"/>
              <w:textAlignment w:val="baseline"/>
            </w:pPr>
            <w:r w:rsidRPr="00833293">
              <w:rPr>
                <w:noProof/>
                <w:shd w:val="clear" w:color="auto" w:fill="D9D9D9" w:themeFill="background1" w:themeFillShade="D9"/>
                <w:lang w:eastAsia="lt-LT"/>
              </w:rPr>
              <w:drawing>
                <wp:inline distT="0" distB="0" distL="0" distR="0">
                  <wp:extent cx="5966460" cy="2585267"/>
                  <wp:effectExtent l="0" t="0" r="0" b="5715"/>
                  <wp:docPr id="2" name="Diagrama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436A9" w:rsidRPr="006D3EF5" w:rsidRDefault="005436A9" w:rsidP="00AF78B8">
            <w:pPr>
              <w:overflowPunct w:val="0"/>
              <w:ind w:firstLine="601"/>
              <w:jc w:val="both"/>
              <w:textAlignment w:val="baseline"/>
              <w:rPr>
                <w:sz w:val="8"/>
                <w:szCs w:val="8"/>
              </w:rPr>
            </w:pPr>
          </w:p>
          <w:p w:rsidR="00C15657" w:rsidRPr="00AC6DE8" w:rsidRDefault="00C15657" w:rsidP="00C15657">
            <w:pPr>
              <w:ind w:firstLine="601"/>
              <w:jc w:val="both"/>
              <w:textAlignment w:val="baseline"/>
              <w:rPr>
                <w:szCs w:val="24"/>
                <w:lang w:eastAsia="lt-LT"/>
              </w:rPr>
            </w:pPr>
            <w:r w:rsidRPr="00AC6DE8">
              <w:rPr>
                <w:szCs w:val="24"/>
                <w:lang w:eastAsia="lt-LT"/>
              </w:rPr>
              <w:t>Paveikslėlyje pateikiamas kasmetinis ugdytinių skaičius gruodžio 31 d. duomenimis. 2019 m. Gimnazijoje beveik neliko mokinių iš Prienų rajono Jiezno paramos šeimai centro: mokosi tik 1. Beveik trečdaliui ugdytinių (31,32</w:t>
            </w:r>
            <w:r w:rsidR="00665248" w:rsidRPr="00AC6DE8">
              <w:rPr>
                <w:szCs w:val="24"/>
                <w:lang w:eastAsia="lt-LT"/>
              </w:rPr>
              <w:t>proc.</w:t>
            </w:r>
            <w:r w:rsidRPr="00AC6DE8">
              <w:rPr>
                <w:szCs w:val="24"/>
                <w:lang w:eastAsia="lt-LT"/>
              </w:rPr>
              <w:t>) skiriamas nemokamas maitinimas (skirta 57 mokiniams). Nežymiai m</w:t>
            </w:r>
            <w:r w:rsidRPr="00AC6DE8">
              <w:rPr>
                <w:szCs w:val="24"/>
                <w:lang w:eastAsia="lt-LT"/>
              </w:rPr>
              <w:t>a</w:t>
            </w:r>
            <w:r w:rsidRPr="00AC6DE8">
              <w:rPr>
                <w:szCs w:val="24"/>
                <w:lang w:eastAsia="lt-LT"/>
              </w:rPr>
              <w:t xml:space="preserve">žėja specialiųjų ugdymosi poreikių mokinių dalis (2018–2019 </w:t>
            </w:r>
            <w:proofErr w:type="spellStart"/>
            <w:r w:rsidRPr="00AC6DE8">
              <w:rPr>
                <w:szCs w:val="24"/>
                <w:lang w:eastAsia="lt-LT"/>
              </w:rPr>
              <w:t>m.m</w:t>
            </w:r>
            <w:proofErr w:type="spellEnd"/>
            <w:r w:rsidRPr="00AC6DE8">
              <w:rPr>
                <w:szCs w:val="24"/>
                <w:lang w:eastAsia="lt-LT"/>
              </w:rPr>
              <w:t>. šie mokiniai sudarė 10,88</w:t>
            </w:r>
            <w:r w:rsidR="00665248" w:rsidRPr="00AC6DE8">
              <w:rPr>
                <w:szCs w:val="24"/>
                <w:lang w:eastAsia="lt-LT"/>
              </w:rPr>
              <w:t>proc.</w:t>
            </w:r>
            <w:r w:rsidRPr="00AC6DE8">
              <w:rPr>
                <w:szCs w:val="24"/>
                <w:lang w:eastAsia="lt-LT"/>
              </w:rPr>
              <w:t xml:space="preserve">, 2019–2020 </w:t>
            </w:r>
            <w:proofErr w:type="spellStart"/>
            <w:r w:rsidRPr="00AC6DE8">
              <w:rPr>
                <w:szCs w:val="24"/>
                <w:lang w:eastAsia="lt-LT"/>
              </w:rPr>
              <w:t>m.m</w:t>
            </w:r>
            <w:proofErr w:type="spellEnd"/>
            <w:r w:rsidRPr="00AC6DE8">
              <w:rPr>
                <w:szCs w:val="24"/>
                <w:lang w:eastAsia="lt-LT"/>
              </w:rPr>
              <w:t>. – 9,04</w:t>
            </w:r>
            <w:r w:rsidR="00665248" w:rsidRPr="00AC6DE8">
              <w:rPr>
                <w:szCs w:val="24"/>
                <w:lang w:eastAsia="lt-LT"/>
              </w:rPr>
              <w:t>proc.</w:t>
            </w:r>
            <w:r w:rsidRPr="00AC6DE8">
              <w:rPr>
                <w:szCs w:val="24"/>
                <w:lang w:eastAsia="lt-LT"/>
              </w:rPr>
              <w:t>): pagal pritaikytas programas gimnazijoje mokosi 11 mokinių, pagal individual</w:t>
            </w:r>
            <w:r w:rsidRPr="00AC6DE8">
              <w:rPr>
                <w:szCs w:val="24"/>
                <w:lang w:eastAsia="lt-LT"/>
              </w:rPr>
              <w:t>i</w:t>
            </w:r>
            <w:r w:rsidRPr="00AC6DE8">
              <w:rPr>
                <w:szCs w:val="24"/>
                <w:lang w:eastAsia="lt-LT"/>
              </w:rPr>
              <w:t>zuotas p</w:t>
            </w:r>
            <w:r w:rsidR="00725F79">
              <w:rPr>
                <w:szCs w:val="24"/>
                <w:lang w:eastAsia="lt-LT"/>
              </w:rPr>
              <w:t xml:space="preserve">rogramas – 4 mokiniai. </w:t>
            </w:r>
            <w:r w:rsidR="00725F79" w:rsidRPr="004E176B">
              <w:rPr>
                <w:szCs w:val="24"/>
                <w:lang w:eastAsia="lt-LT"/>
              </w:rPr>
              <w:t>Lyginant</w:t>
            </w:r>
            <w:r w:rsidRPr="00AC6DE8">
              <w:rPr>
                <w:szCs w:val="24"/>
                <w:lang w:eastAsia="lt-LT"/>
              </w:rPr>
              <w:t xml:space="preserve"> su ankstesniais mokslo metais, išlieka panašus pavežamų mok</w:t>
            </w:r>
            <w:r w:rsidRPr="00AC6DE8">
              <w:rPr>
                <w:szCs w:val="24"/>
                <w:lang w:eastAsia="lt-LT"/>
              </w:rPr>
              <w:t>i</w:t>
            </w:r>
            <w:r w:rsidRPr="00AC6DE8">
              <w:rPr>
                <w:szCs w:val="24"/>
                <w:lang w:eastAsia="lt-LT"/>
              </w:rPr>
              <w:t>nių skaičius – 85 (2018 m. pavežami buvo 83 ugdytiniai</w:t>
            </w:r>
            <w:r w:rsidR="00EB0F2A">
              <w:rPr>
                <w:szCs w:val="24"/>
                <w:lang w:eastAsia="lt-LT"/>
              </w:rPr>
              <w:t xml:space="preserve">, </w:t>
            </w:r>
            <w:r w:rsidRPr="00AC6DE8">
              <w:rPr>
                <w:szCs w:val="24"/>
                <w:lang w:eastAsia="lt-LT"/>
              </w:rPr>
              <w:t xml:space="preserve">2017 m.– 92 ugdytiniai). Gimnazijoje veikia 1 pailgintos </w:t>
            </w:r>
            <w:r w:rsidR="00165259" w:rsidRPr="00165259">
              <w:rPr>
                <w:szCs w:val="24"/>
                <w:lang w:eastAsia="lt-LT"/>
              </w:rPr>
              <w:t xml:space="preserve">mokymosi </w:t>
            </w:r>
            <w:r w:rsidRPr="00AC6DE8">
              <w:rPr>
                <w:szCs w:val="24"/>
                <w:lang w:eastAsia="lt-LT"/>
              </w:rPr>
              <w:t xml:space="preserve">dienos grupė, kurią lanko </w:t>
            </w:r>
            <w:r w:rsidRPr="00C15657">
              <w:rPr>
                <w:szCs w:val="24"/>
                <w:lang w:eastAsia="lt-LT"/>
              </w:rPr>
              <w:t>29 pradinių klasių mokiniai. D</w:t>
            </w:r>
            <w:r w:rsidRPr="00AC6DE8">
              <w:rPr>
                <w:szCs w:val="24"/>
                <w:lang w:eastAsia="lt-LT"/>
              </w:rPr>
              <w:t>irba 58 darbuotojai (2 m</w:t>
            </w:r>
            <w:r w:rsidRPr="00AC6DE8">
              <w:rPr>
                <w:szCs w:val="24"/>
                <w:lang w:eastAsia="lt-LT"/>
              </w:rPr>
              <w:t>a</w:t>
            </w:r>
            <w:r w:rsidRPr="00AC6DE8">
              <w:rPr>
                <w:szCs w:val="24"/>
                <w:lang w:eastAsia="lt-LT"/>
              </w:rPr>
              <w:t>žiau nei prieš metus), iš kurių 36 mokytojai, 4 pagalbos mokiniui specialistai, bibliotekininkė, 3 adminis</w:t>
            </w:r>
            <w:r w:rsidRPr="00AC6DE8">
              <w:rPr>
                <w:szCs w:val="24"/>
                <w:lang w:eastAsia="lt-LT"/>
              </w:rPr>
              <w:t>t</w:t>
            </w:r>
            <w:r w:rsidRPr="00AC6DE8">
              <w:rPr>
                <w:szCs w:val="24"/>
                <w:lang w:eastAsia="lt-LT"/>
              </w:rPr>
              <w:t xml:space="preserve">racijos vadovai, vyr. buhalterė bei 13 aptarnaujančio personalo darbuotojų. Gimnazija iš viso turi 54,16 etato (vidutiniškai po 0,93 etato vienam darbuotojui): apskaičiuota 20,36 etato </w:t>
            </w:r>
            <w:r w:rsidR="006C429E">
              <w:rPr>
                <w:szCs w:val="24"/>
                <w:lang w:eastAsia="lt-LT"/>
              </w:rPr>
              <w:t>bendrojo ugdymo mokyt</w:t>
            </w:r>
            <w:r w:rsidR="006C429E">
              <w:rPr>
                <w:szCs w:val="24"/>
                <w:lang w:eastAsia="lt-LT"/>
              </w:rPr>
              <w:t>o</w:t>
            </w:r>
            <w:r w:rsidR="006C429E">
              <w:rPr>
                <w:szCs w:val="24"/>
                <w:lang w:eastAsia="lt-LT"/>
              </w:rPr>
              <w:t xml:space="preserve">jams </w:t>
            </w:r>
            <w:r w:rsidRPr="00AC6DE8">
              <w:rPr>
                <w:szCs w:val="24"/>
                <w:lang w:eastAsia="lt-LT"/>
              </w:rPr>
              <w:t>ir dar 33,8 etatinių pareigybių yra patvirtinusi Prienų rajono savivaldybės taryba.</w:t>
            </w:r>
          </w:p>
          <w:p w:rsidR="00FA6161" w:rsidRDefault="00C15657" w:rsidP="00FA6161">
            <w:pPr>
              <w:ind w:firstLine="601"/>
              <w:jc w:val="both"/>
              <w:textAlignment w:val="baseline"/>
              <w:rPr>
                <w:szCs w:val="24"/>
              </w:rPr>
            </w:pPr>
            <w:r w:rsidRPr="00FA6161">
              <w:rPr>
                <w:b/>
                <w:bCs/>
                <w:szCs w:val="24"/>
                <w:lang w:eastAsia="lt-LT"/>
              </w:rPr>
              <w:t xml:space="preserve">Trumpa informacija apie </w:t>
            </w:r>
            <w:r w:rsidRPr="00FA6161">
              <w:rPr>
                <w:b/>
                <w:bCs/>
                <w:szCs w:val="24"/>
                <w:lang w:val="en-US" w:eastAsia="lt-LT"/>
              </w:rPr>
              <w:t>2019 met</w:t>
            </w:r>
            <w:r w:rsidRPr="00FA6161">
              <w:rPr>
                <w:b/>
                <w:bCs/>
                <w:szCs w:val="24"/>
                <w:lang w:eastAsia="lt-LT"/>
              </w:rPr>
              <w:t>ų finansavimą</w:t>
            </w:r>
            <w:r w:rsidRPr="00FA6161">
              <w:rPr>
                <w:szCs w:val="24"/>
                <w:lang w:eastAsia="lt-LT"/>
              </w:rPr>
              <w:t xml:space="preserve">. </w:t>
            </w:r>
            <w:r w:rsidR="00FA6161" w:rsidRPr="00DB1CD7">
              <w:rPr>
                <w:szCs w:val="24"/>
              </w:rPr>
              <w:t xml:space="preserve">2019 m. biudžeto planas įvykdytas. </w:t>
            </w:r>
            <w:r w:rsidR="00FA6161">
              <w:rPr>
                <w:szCs w:val="24"/>
              </w:rPr>
              <w:t>G</w:t>
            </w:r>
            <w:r w:rsidR="00FA6161" w:rsidRPr="00DB1CD7">
              <w:rPr>
                <w:szCs w:val="24"/>
              </w:rPr>
              <w:t>imnaz</w:t>
            </w:r>
            <w:r w:rsidR="00FA6161" w:rsidRPr="00DB1CD7">
              <w:rPr>
                <w:szCs w:val="24"/>
              </w:rPr>
              <w:t>i</w:t>
            </w:r>
            <w:r w:rsidR="00FA6161" w:rsidRPr="00DB1CD7">
              <w:rPr>
                <w:szCs w:val="24"/>
              </w:rPr>
              <w:lastRenderedPageBreak/>
              <w:t>jos biudžet</w:t>
            </w:r>
            <w:r w:rsidR="00FA6161">
              <w:rPr>
                <w:szCs w:val="24"/>
              </w:rPr>
              <w:t>ą</w:t>
            </w:r>
            <w:r w:rsidR="00FA6161" w:rsidRPr="00DB1CD7">
              <w:rPr>
                <w:szCs w:val="24"/>
              </w:rPr>
              <w:t xml:space="preserve"> sudarė </w:t>
            </w:r>
            <w:r w:rsidR="00FA6161">
              <w:rPr>
                <w:szCs w:val="24"/>
              </w:rPr>
              <w:t>776229</w:t>
            </w:r>
            <w:r w:rsidR="00FA6161" w:rsidRPr="00DB1CD7">
              <w:rPr>
                <w:szCs w:val="24"/>
              </w:rPr>
              <w:t xml:space="preserve"> </w:t>
            </w:r>
            <w:proofErr w:type="spellStart"/>
            <w:r w:rsidR="00FA6161" w:rsidRPr="00DB1CD7">
              <w:rPr>
                <w:szCs w:val="24"/>
              </w:rPr>
              <w:t>Eur</w:t>
            </w:r>
            <w:proofErr w:type="spellEnd"/>
            <w:r w:rsidR="00FA6161" w:rsidRPr="00DB1CD7">
              <w:rPr>
                <w:szCs w:val="24"/>
              </w:rPr>
              <w:t xml:space="preserve">. Iš jų gimnazijos darbo užmokesčio lėšos buvo </w:t>
            </w:r>
            <w:r w:rsidR="00FA6161">
              <w:rPr>
                <w:szCs w:val="24"/>
              </w:rPr>
              <w:t xml:space="preserve">634700 </w:t>
            </w:r>
            <w:proofErr w:type="spellStart"/>
            <w:r w:rsidR="00FA6161" w:rsidRPr="00DB1CD7">
              <w:rPr>
                <w:szCs w:val="24"/>
              </w:rPr>
              <w:t>Eur</w:t>
            </w:r>
            <w:proofErr w:type="spellEnd"/>
            <w:r w:rsidR="00FA6161" w:rsidRPr="00DB1CD7">
              <w:rPr>
                <w:szCs w:val="24"/>
              </w:rPr>
              <w:t>, mok</w:t>
            </w:r>
            <w:r w:rsidR="00FA6161">
              <w:rPr>
                <w:szCs w:val="24"/>
              </w:rPr>
              <w:t>ymo l</w:t>
            </w:r>
            <w:r w:rsidR="00FA6161">
              <w:rPr>
                <w:szCs w:val="24"/>
              </w:rPr>
              <w:t>ė</w:t>
            </w:r>
            <w:r w:rsidR="00FA6161">
              <w:rPr>
                <w:szCs w:val="24"/>
              </w:rPr>
              <w:t>šos</w:t>
            </w:r>
            <w:r w:rsidR="00FA6161" w:rsidRPr="00DB1CD7">
              <w:rPr>
                <w:szCs w:val="24"/>
              </w:rPr>
              <w:t xml:space="preserve"> – </w:t>
            </w:r>
            <w:r w:rsidR="00FA6161">
              <w:rPr>
                <w:szCs w:val="24"/>
              </w:rPr>
              <w:t>437300</w:t>
            </w:r>
            <w:r w:rsidR="00FA6161" w:rsidRPr="00DB1CD7">
              <w:rPr>
                <w:szCs w:val="24"/>
              </w:rPr>
              <w:t xml:space="preserve"> </w:t>
            </w:r>
            <w:proofErr w:type="spellStart"/>
            <w:r w:rsidR="00FA6161" w:rsidRPr="00DB1CD7">
              <w:rPr>
                <w:szCs w:val="24"/>
              </w:rPr>
              <w:t>Eur</w:t>
            </w:r>
            <w:proofErr w:type="spellEnd"/>
            <w:r w:rsidR="00FA6161" w:rsidRPr="00DB1CD7">
              <w:rPr>
                <w:szCs w:val="24"/>
              </w:rPr>
              <w:t xml:space="preserve">, savivaldybės – </w:t>
            </w:r>
            <w:r w:rsidR="00FA6161">
              <w:rPr>
                <w:szCs w:val="24"/>
              </w:rPr>
              <w:t>204000</w:t>
            </w:r>
            <w:r w:rsidR="00FA6161" w:rsidRPr="00DB1CD7">
              <w:rPr>
                <w:szCs w:val="24"/>
              </w:rPr>
              <w:t xml:space="preserve"> </w:t>
            </w:r>
            <w:proofErr w:type="spellStart"/>
            <w:r w:rsidR="00FA6161" w:rsidRPr="00DB1CD7">
              <w:rPr>
                <w:szCs w:val="24"/>
              </w:rPr>
              <w:t>Eur</w:t>
            </w:r>
            <w:proofErr w:type="spellEnd"/>
            <w:r w:rsidR="00FA6161" w:rsidRPr="00DB1CD7">
              <w:rPr>
                <w:szCs w:val="24"/>
              </w:rPr>
              <w:t xml:space="preserve">. Socialinio draudimo įmokos sudarė </w:t>
            </w:r>
            <w:r w:rsidR="00FA6161">
              <w:rPr>
                <w:szCs w:val="24"/>
              </w:rPr>
              <w:t>10100</w:t>
            </w:r>
            <w:r w:rsidR="00FA6161" w:rsidRPr="00DB1CD7">
              <w:rPr>
                <w:szCs w:val="24"/>
              </w:rPr>
              <w:t xml:space="preserve"> </w:t>
            </w:r>
            <w:proofErr w:type="spellStart"/>
            <w:r w:rsidR="00FA6161" w:rsidRPr="00DB1CD7">
              <w:rPr>
                <w:szCs w:val="24"/>
              </w:rPr>
              <w:t>Eur</w:t>
            </w:r>
            <w:proofErr w:type="spellEnd"/>
            <w:r w:rsidR="00FA6161" w:rsidRPr="00DB1CD7">
              <w:rPr>
                <w:szCs w:val="24"/>
              </w:rPr>
              <w:t xml:space="preserve">, prekėms ir paslaugoms buvo panaudota </w:t>
            </w:r>
            <w:r w:rsidR="00FA6161">
              <w:rPr>
                <w:szCs w:val="24"/>
              </w:rPr>
              <w:t>109552</w:t>
            </w:r>
            <w:r w:rsidR="00FA6161" w:rsidRPr="00DB1CD7">
              <w:rPr>
                <w:szCs w:val="24"/>
              </w:rPr>
              <w:t xml:space="preserve"> </w:t>
            </w:r>
            <w:proofErr w:type="spellStart"/>
            <w:r w:rsidR="00FA6161" w:rsidRPr="00DB1CD7">
              <w:rPr>
                <w:szCs w:val="24"/>
              </w:rPr>
              <w:t>Eur</w:t>
            </w:r>
            <w:proofErr w:type="spellEnd"/>
            <w:r w:rsidR="00FA6161" w:rsidRPr="00DB1CD7">
              <w:rPr>
                <w:szCs w:val="24"/>
              </w:rPr>
              <w:t xml:space="preserve">. Iš jų mitybai – </w:t>
            </w:r>
            <w:r w:rsidR="00FA6161">
              <w:rPr>
                <w:szCs w:val="24"/>
              </w:rPr>
              <w:t>16460</w:t>
            </w:r>
            <w:r w:rsidR="00FA6161" w:rsidRPr="00DB1CD7">
              <w:rPr>
                <w:szCs w:val="24"/>
              </w:rPr>
              <w:t xml:space="preserve"> </w:t>
            </w:r>
            <w:proofErr w:type="spellStart"/>
            <w:r w:rsidR="00FA6161" w:rsidRPr="00DB1CD7">
              <w:rPr>
                <w:szCs w:val="24"/>
              </w:rPr>
              <w:t>Eur</w:t>
            </w:r>
            <w:proofErr w:type="spellEnd"/>
            <w:r w:rsidR="00FA6161" w:rsidRPr="00DB1CD7">
              <w:rPr>
                <w:szCs w:val="24"/>
              </w:rPr>
              <w:t xml:space="preserve">, medikamentams – </w:t>
            </w:r>
            <w:r w:rsidR="00FA6161">
              <w:rPr>
                <w:szCs w:val="24"/>
              </w:rPr>
              <w:t>175</w:t>
            </w:r>
            <w:r w:rsidR="00FA6161" w:rsidRPr="00DB1CD7">
              <w:rPr>
                <w:szCs w:val="24"/>
              </w:rPr>
              <w:t xml:space="preserve"> </w:t>
            </w:r>
            <w:proofErr w:type="spellStart"/>
            <w:r w:rsidR="00FA6161" w:rsidRPr="00DB1CD7">
              <w:rPr>
                <w:szCs w:val="24"/>
              </w:rPr>
              <w:t>Eur</w:t>
            </w:r>
            <w:proofErr w:type="spellEnd"/>
            <w:r w:rsidR="00FA6161" w:rsidRPr="00DB1CD7">
              <w:rPr>
                <w:szCs w:val="24"/>
              </w:rPr>
              <w:t xml:space="preserve">, ryšių paslaugoms – </w:t>
            </w:r>
            <w:r w:rsidR="00FA6161">
              <w:rPr>
                <w:szCs w:val="24"/>
              </w:rPr>
              <w:t xml:space="preserve">897 </w:t>
            </w:r>
            <w:proofErr w:type="spellStart"/>
            <w:r w:rsidR="00FA6161" w:rsidRPr="00DB1CD7">
              <w:rPr>
                <w:szCs w:val="24"/>
              </w:rPr>
              <w:t>Eur</w:t>
            </w:r>
            <w:proofErr w:type="spellEnd"/>
            <w:r w:rsidR="00FA6161" w:rsidRPr="00DB1CD7">
              <w:rPr>
                <w:szCs w:val="24"/>
              </w:rPr>
              <w:t xml:space="preserve">, transporto išlaikymui – </w:t>
            </w:r>
            <w:r w:rsidR="00FA6161">
              <w:rPr>
                <w:szCs w:val="24"/>
              </w:rPr>
              <w:t>16500</w:t>
            </w:r>
            <w:r w:rsidR="00FA6161" w:rsidRPr="00DB1CD7">
              <w:rPr>
                <w:szCs w:val="24"/>
              </w:rPr>
              <w:t xml:space="preserve"> </w:t>
            </w:r>
            <w:proofErr w:type="spellStart"/>
            <w:r w:rsidR="00FA6161" w:rsidRPr="00DB1CD7">
              <w:rPr>
                <w:szCs w:val="24"/>
              </w:rPr>
              <w:t>Eur</w:t>
            </w:r>
            <w:proofErr w:type="spellEnd"/>
            <w:r w:rsidR="00FA6161" w:rsidRPr="00DB1CD7">
              <w:rPr>
                <w:szCs w:val="24"/>
              </w:rPr>
              <w:t xml:space="preserve">, aprangai ir patalynei – </w:t>
            </w:r>
            <w:r w:rsidR="00FA6161">
              <w:rPr>
                <w:szCs w:val="24"/>
              </w:rPr>
              <w:t>276</w:t>
            </w:r>
            <w:r w:rsidR="00FA6161" w:rsidRPr="00DB1CD7">
              <w:rPr>
                <w:szCs w:val="24"/>
              </w:rPr>
              <w:t xml:space="preserve"> </w:t>
            </w:r>
            <w:proofErr w:type="spellStart"/>
            <w:r w:rsidR="00FA6161" w:rsidRPr="00DB1CD7">
              <w:rPr>
                <w:szCs w:val="24"/>
              </w:rPr>
              <w:t>Eur</w:t>
            </w:r>
            <w:proofErr w:type="spellEnd"/>
            <w:r w:rsidR="00FA6161" w:rsidRPr="00DB1CD7">
              <w:rPr>
                <w:szCs w:val="24"/>
              </w:rPr>
              <w:t xml:space="preserve">, komunalinėms paslaugoms – </w:t>
            </w:r>
            <w:r w:rsidR="00FA6161">
              <w:rPr>
                <w:szCs w:val="24"/>
              </w:rPr>
              <w:t>54700</w:t>
            </w:r>
            <w:r w:rsidR="00FA6161" w:rsidRPr="00DB1CD7">
              <w:rPr>
                <w:szCs w:val="24"/>
              </w:rPr>
              <w:t xml:space="preserve"> </w:t>
            </w:r>
            <w:proofErr w:type="spellStart"/>
            <w:r w:rsidR="00FA6161" w:rsidRPr="00DB1CD7">
              <w:rPr>
                <w:szCs w:val="24"/>
              </w:rPr>
              <w:t>Eur</w:t>
            </w:r>
            <w:proofErr w:type="spellEnd"/>
            <w:r w:rsidR="00FA6161" w:rsidRPr="00DB1CD7">
              <w:rPr>
                <w:szCs w:val="24"/>
              </w:rPr>
              <w:t>, kito</w:t>
            </w:r>
            <w:r w:rsidR="00FA6161">
              <w:rPr>
                <w:szCs w:val="24"/>
              </w:rPr>
              <w:t>m</w:t>
            </w:r>
            <w:r w:rsidR="00FA6161" w:rsidRPr="00DB1CD7">
              <w:rPr>
                <w:szCs w:val="24"/>
              </w:rPr>
              <w:t>s paslaugos ir prekė</w:t>
            </w:r>
            <w:r w:rsidR="00FA6161">
              <w:rPr>
                <w:szCs w:val="24"/>
              </w:rPr>
              <w:t>m</w:t>
            </w:r>
            <w:r w:rsidR="00FA6161" w:rsidRPr="00DB1CD7">
              <w:rPr>
                <w:szCs w:val="24"/>
              </w:rPr>
              <w:t xml:space="preserve">s </w:t>
            </w:r>
            <w:r w:rsidR="00EC4F11">
              <w:rPr>
                <w:szCs w:val="24"/>
              </w:rPr>
              <w:t>–</w:t>
            </w:r>
            <w:r w:rsidR="00FA6161">
              <w:rPr>
                <w:szCs w:val="24"/>
              </w:rPr>
              <w:t xml:space="preserve"> 13778</w:t>
            </w:r>
            <w:r w:rsidR="00FA6161" w:rsidRPr="00DB1CD7">
              <w:rPr>
                <w:szCs w:val="24"/>
              </w:rPr>
              <w:t xml:space="preserve"> </w:t>
            </w:r>
            <w:proofErr w:type="spellStart"/>
            <w:r w:rsidR="00FA6161" w:rsidRPr="00DB1CD7">
              <w:rPr>
                <w:szCs w:val="24"/>
              </w:rPr>
              <w:t>Eur</w:t>
            </w:r>
            <w:proofErr w:type="spellEnd"/>
            <w:r w:rsidR="00FA6161" w:rsidRPr="00DB1CD7">
              <w:rPr>
                <w:szCs w:val="24"/>
              </w:rPr>
              <w:t>, socialin</w:t>
            </w:r>
            <w:r w:rsidR="00FA6161">
              <w:rPr>
                <w:szCs w:val="24"/>
              </w:rPr>
              <w:t>ei</w:t>
            </w:r>
            <w:r w:rsidR="00FA6161" w:rsidRPr="00DB1CD7">
              <w:rPr>
                <w:szCs w:val="24"/>
              </w:rPr>
              <w:t xml:space="preserve"> parama</w:t>
            </w:r>
            <w:r w:rsidR="00FA6161">
              <w:rPr>
                <w:szCs w:val="24"/>
              </w:rPr>
              <w:t>i</w:t>
            </w:r>
            <w:r w:rsidR="00FA6161" w:rsidRPr="00DB1CD7">
              <w:rPr>
                <w:szCs w:val="24"/>
              </w:rPr>
              <w:t xml:space="preserve"> pinigais – </w:t>
            </w:r>
            <w:r w:rsidR="00FA6161">
              <w:rPr>
                <w:szCs w:val="24"/>
              </w:rPr>
              <w:t>20477</w:t>
            </w:r>
            <w:r w:rsidR="00FA6161" w:rsidRPr="00DB1CD7">
              <w:rPr>
                <w:szCs w:val="24"/>
              </w:rPr>
              <w:t xml:space="preserve"> </w:t>
            </w:r>
            <w:proofErr w:type="spellStart"/>
            <w:r w:rsidR="00FA6161" w:rsidRPr="00DB1CD7">
              <w:rPr>
                <w:szCs w:val="24"/>
              </w:rPr>
              <w:t>Eur</w:t>
            </w:r>
            <w:proofErr w:type="spellEnd"/>
            <w:r w:rsidR="00FA6161" w:rsidRPr="00DB1CD7">
              <w:rPr>
                <w:szCs w:val="24"/>
              </w:rPr>
              <w:t xml:space="preserve">, </w:t>
            </w:r>
            <w:r w:rsidR="006C429E" w:rsidRPr="006C429E">
              <w:rPr>
                <w:szCs w:val="24"/>
              </w:rPr>
              <w:t>ilgalaikiam turtui įsigyti</w:t>
            </w:r>
            <w:r w:rsidR="00FA6161" w:rsidRPr="006C429E">
              <w:rPr>
                <w:szCs w:val="24"/>
              </w:rPr>
              <w:t xml:space="preserve">– 1995 </w:t>
            </w:r>
            <w:proofErr w:type="spellStart"/>
            <w:r w:rsidR="00FA6161" w:rsidRPr="006C429E">
              <w:rPr>
                <w:szCs w:val="24"/>
              </w:rPr>
              <w:t>Eur</w:t>
            </w:r>
            <w:proofErr w:type="spellEnd"/>
            <w:r w:rsidR="00FA6161" w:rsidRPr="006C429E">
              <w:rPr>
                <w:szCs w:val="24"/>
              </w:rPr>
              <w:t xml:space="preserve">, </w:t>
            </w:r>
            <w:r w:rsidR="006C429E" w:rsidRPr="006C429E">
              <w:rPr>
                <w:szCs w:val="24"/>
              </w:rPr>
              <w:t>kvalifikacijai kelti</w:t>
            </w:r>
            <w:r w:rsidR="00FA6161" w:rsidRPr="006C429E">
              <w:rPr>
                <w:szCs w:val="24"/>
              </w:rPr>
              <w:t xml:space="preserve"> – 1763 </w:t>
            </w:r>
            <w:proofErr w:type="spellStart"/>
            <w:r w:rsidR="00FA6161" w:rsidRPr="006C429E">
              <w:rPr>
                <w:szCs w:val="24"/>
              </w:rPr>
              <w:t>Eur</w:t>
            </w:r>
            <w:proofErr w:type="spellEnd"/>
            <w:r w:rsidR="00FA6161" w:rsidRPr="006C429E">
              <w:rPr>
                <w:szCs w:val="24"/>
              </w:rPr>
              <w:t xml:space="preserve">, informacinėms technologijoms – 3687 </w:t>
            </w:r>
            <w:proofErr w:type="spellStart"/>
            <w:r w:rsidR="00FA6161" w:rsidRPr="006C429E">
              <w:rPr>
                <w:szCs w:val="24"/>
              </w:rPr>
              <w:t>Eur</w:t>
            </w:r>
            <w:proofErr w:type="spellEnd"/>
            <w:r w:rsidR="00FA6161" w:rsidRPr="006C429E">
              <w:rPr>
                <w:szCs w:val="24"/>
              </w:rPr>
              <w:t>, reprezentacinė</w:t>
            </w:r>
            <w:r w:rsidR="006C429E" w:rsidRPr="006C429E">
              <w:rPr>
                <w:szCs w:val="24"/>
              </w:rPr>
              <w:t>m</w:t>
            </w:r>
            <w:r w:rsidR="00FA6161" w:rsidRPr="006C429E">
              <w:rPr>
                <w:szCs w:val="24"/>
              </w:rPr>
              <w:t>s išlaido</w:t>
            </w:r>
            <w:r w:rsidR="006C429E" w:rsidRPr="006C429E">
              <w:rPr>
                <w:szCs w:val="24"/>
              </w:rPr>
              <w:t>m</w:t>
            </w:r>
            <w:r w:rsidR="00FA6161" w:rsidRPr="006C429E">
              <w:rPr>
                <w:szCs w:val="24"/>
              </w:rPr>
              <w:t xml:space="preserve">s – 107 </w:t>
            </w:r>
            <w:proofErr w:type="spellStart"/>
            <w:r w:rsidR="00FA6161" w:rsidRPr="006C429E">
              <w:rPr>
                <w:szCs w:val="24"/>
              </w:rPr>
              <w:t>Eur</w:t>
            </w:r>
            <w:proofErr w:type="spellEnd"/>
            <w:r w:rsidR="00FA6161" w:rsidRPr="006C429E">
              <w:rPr>
                <w:szCs w:val="24"/>
              </w:rPr>
              <w:t xml:space="preserve">, darbdavių soc. paramai – 1400 </w:t>
            </w:r>
            <w:proofErr w:type="spellStart"/>
            <w:r w:rsidR="00FA6161" w:rsidRPr="006C429E">
              <w:rPr>
                <w:szCs w:val="24"/>
              </w:rPr>
              <w:t>Eur</w:t>
            </w:r>
            <w:proofErr w:type="spellEnd"/>
            <w:r w:rsidR="00FA6161" w:rsidRPr="006C429E">
              <w:rPr>
                <w:szCs w:val="24"/>
              </w:rPr>
              <w:t>.</w:t>
            </w:r>
          </w:p>
          <w:p w:rsidR="00FA6161" w:rsidRDefault="00FA6161" w:rsidP="00FA6161">
            <w:pPr>
              <w:ind w:firstLine="601"/>
              <w:jc w:val="both"/>
              <w:textAlignment w:val="baseline"/>
              <w:rPr>
                <w:bCs/>
                <w:szCs w:val="24"/>
              </w:rPr>
            </w:pPr>
            <w:r>
              <w:rPr>
                <w:szCs w:val="24"/>
              </w:rPr>
              <w:t xml:space="preserve">Už suteiktas švietimo įstaigos paslaugas 2019 m. </w:t>
            </w:r>
            <w:r w:rsidRPr="00DB1CD7">
              <w:rPr>
                <w:szCs w:val="24"/>
              </w:rPr>
              <w:t xml:space="preserve">surinkta </w:t>
            </w:r>
            <w:r>
              <w:rPr>
                <w:szCs w:val="24"/>
              </w:rPr>
              <w:t xml:space="preserve">17528 </w:t>
            </w:r>
            <w:r w:rsidRPr="00DB1CD7">
              <w:rPr>
                <w:szCs w:val="24"/>
              </w:rPr>
              <w:t xml:space="preserve"> </w:t>
            </w:r>
            <w:proofErr w:type="spellStart"/>
            <w:r w:rsidRPr="00DB1CD7">
              <w:rPr>
                <w:szCs w:val="24"/>
              </w:rPr>
              <w:t>Eur</w:t>
            </w:r>
            <w:proofErr w:type="spellEnd"/>
            <w:r w:rsidRPr="00DB1CD7">
              <w:rPr>
                <w:szCs w:val="24"/>
              </w:rPr>
              <w:t xml:space="preserve">. </w:t>
            </w:r>
            <w:r w:rsidRPr="00DB1CD7">
              <w:rPr>
                <w:bCs/>
                <w:szCs w:val="24"/>
              </w:rPr>
              <w:t>201</w:t>
            </w:r>
            <w:r>
              <w:rPr>
                <w:bCs/>
                <w:szCs w:val="24"/>
              </w:rPr>
              <w:t>9</w:t>
            </w:r>
            <w:r w:rsidRPr="00DB1CD7">
              <w:rPr>
                <w:bCs/>
                <w:szCs w:val="24"/>
              </w:rPr>
              <w:t xml:space="preserve"> m. buvo nupirkta m</w:t>
            </w:r>
            <w:r w:rsidRPr="00DB1CD7">
              <w:rPr>
                <w:bCs/>
                <w:szCs w:val="24"/>
              </w:rPr>
              <w:t>o</w:t>
            </w:r>
            <w:r w:rsidRPr="00DB1CD7">
              <w:rPr>
                <w:bCs/>
                <w:szCs w:val="24"/>
              </w:rPr>
              <w:t xml:space="preserve">kymo priemonių už </w:t>
            </w:r>
            <w:r>
              <w:rPr>
                <w:bCs/>
                <w:szCs w:val="24"/>
              </w:rPr>
              <w:t>3775</w:t>
            </w:r>
            <w:r w:rsidRPr="00DB1CD7">
              <w:rPr>
                <w:bCs/>
                <w:szCs w:val="24"/>
              </w:rPr>
              <w:t xml:space="preserve"> </w:t>
            </w:r>
            <w:proofErr w:type="spellStart"/>
            <w:r w:rsidRPr="00DB1CD7">
              <w:rPr>
                <w:bCs/>
                <w:szCs w:val="24"/>
              </w:rPr>
              <w:t>Eurir</w:t>
            </w:r>
            <w:proofErr w:type="spellEnd"/>
            <w:r w:rsidRPr="00DB1CD7">
              <w:rPr>
                <w:bCs/>
                <w:szCs w:val="24"/>
              </w:rPr>
              <w:t xml:space="preserve"> vadovėlių už</w:t>
            </w:r>
            <w:r>
              <w:rPr>
                <w:szCs w:val="24"/>
              </w:rPr>
              <w:t>756</w:t>
            </w:r>
            <w:r w:rsidRPr="00DB1CD7">
              <w:rPr>
                <w:szCs w:val="24"/>
              </w:rPr>
              <w:t xml:space="preserve"> </w:t>
            </w:r>
            <w:proofErr w:type="spellStart"/>
            <w:r w:rsidRPr="00DB1CD7">
              <w:rPr>
                <w:szCs w:val="24"/>
              </w:rPr>
              <w:t>Eur</w:t>
            </w:r>
            <w:proofErr w:type="spellEnd"/>
            <w:r w:rsidRPr="00DB1CD7">
              <w:rPr>
                <w:bCs/>
                <w:szCs w:val="24"/>
              </w:rPr>
              <w:t xml:space="preserve">. </w:t>
            </w:r>
          </w:p>
          <w:p w:rsidR="00FA6161" w:rsidRPr="00C550F9" w:rsidRDefault="00FA6161" w:rsidP="00FA6161">
            <w:pPr>
              <w:ind w:firstLine="601"/>
              <w:jc w:val="both"/>
              <w:textAlignment w:val="baseline"/>
              <w:rPr>
                <w:bCs/>
                <w:szCs w:val="24"/>
              </w:rPr>
            </w:pPr>
            <w:r w:rsidRPr="00C550F9">
              <w:rPr>
                <w:szCs w:val="24"/>
              </w:rPr>
              <w:t>Per 201</w:t>
            </w:r>
            <w:r>
              <w:rPr>
                <w:szCs w:val="24"/>
              </w:rPr>
              <w:t>9</w:t>
            </w:r>
            <w:r w:rsidRPr="00C550F9">
              <w:rPr>
                <w:szCs w:val="24"/>
              </w:rPr>
              <w:t xml:space="preserve"> m. g</w:t>
            </w:r>
            <w:r w:rsidRPr="00C550F9">
              <w:rPr>
                <w:bCs/>
                <w:szCs w:val="24"/>
              </w:rPr>
              <w:t xml:space="preserve">auta </w:t>
            </w:r>
            <w:r>
              <w:rPr>
                <w:bCs/>
                <w:szCs w:val="24"/>
              </w:rPr>
              <w:t>989,07</w:t>
            </w:r>
            <w:r w:rsidRPr="00C550F9">
              <w:rPr>
                <w:bCs/>
                <w:szCs w:val="24"/>
              </w:rPr>
              <w:t xml:space="preserve"> </w:t>
            </w:r>
            <w:proofErr w:type="spellStart"/>
            <w:r w:rsidRPr="00C550F9">
              <w:rPr>
                <w:bCs/>
                <w:szCs w:val="24"/>
              </w:rPr>
              <w:t>Eur</w:t>
            </w:r>
            <w:proofErr w:type="spellEnd"/>
            <w:r w:rsidRPr="00C550F9">
              <w:rPr>
                <w:bCs/>
                <w:szCs w:val="24"/>
              </w:rPr>
              <w:t xml:space="preserve"> parama iš fizinių asmenų ir </w:t>
            </w:r>
            <w:r>
              <w:rPr>
                <w:bCs/>
                <w:szCs w:val="24"/>
              </w:rPr>
              <w:t xml:space="preserve">88 </w:t>
            </w:r>
            <w:proofErr w:type="spellStart"/>
            <w:r w:rsidRPr="00C550F9">
              <w:rPr>
                <w:bCs/>
                <w:szCs w:val="24"/>
              </w:rPr>
              <w:t>Eur</w:t>
            </w:r>
            <w:proofErr w:type="spellEnd"/>
            <w:r w:rsidRPr="00C550F9">
              <w:rPr>
                <w:bCs/>
                <w:szCs w:val="24"/>
              </w:rPr>
              <w:t xml:space="preserve"> iš juridinių asmenų (UAB </w:t>
            </w:r>
            <w:r w:rsidR="00EB0F2A">
              <w:rPr>
                <w:bCs/>
                <w:szCs w:val="24"/>
              </w:rPr>
              <w:t>„</w:t>
            </w:r>
            <w:proofErr w:type="spellStart"/>
            <w:r w:rsidR="00EB0F2A">
              <w:rPr>
                <w:bCs/>
                <w:szCs w:val="24"/>
              </w:rPr>
              <w:t>Eur</w:t>
            </w:r>
            <w:r w:rsidR="00EB0F2A">
              <w:rPr>
                <w:bCs/>
                <w:szCs w:val="24"/>
              </w:rPr>
              <w:t>o</w:t>
            </w:r>
            <w:r>
              <w:rPr>
                <w:bCs/>
                <w:szCs w:val="24"/>
              </w:rPr>
              <w:t>automatai</w:t>
            </w:r>
            <w:proofErr w:type="spellEnd"/>
            <w:r>
              <w:rPr>
                <w:bCs/>
                <w:szCs w:val="24"/>
              </w:rPr>
              <w:t>“</w:t>
            </w:r>
            <w:r w:rsidRPr="00C550F9">
              <w:rPr>
                <w:bCs/>
                <w:szCs w:val="24"/>
              </w:rPr>
              <w:t xml:space="preserve">). </w:t>
            </w:r>
          </w:p>
          <w:p w:rsidR="00C15657" w:rsidRPr="00AC6DE8" w:rsidRDefault="00C15657" w:rsidP="00C15657">
            <w:pPr>
              <w:ind w:firstLine="601"/>
              <w:jc w:val="both"/>
              <w:textAlignment w:val="baseline"/>
              <w:rPr>
                <w:szCs w:val="24"/>
                <w:lang w:eastAsia="lt-LT"/>
              </w:rPr>
            </w:pPr>
            <w:r w:rsidRPr="00AC6DE8">
              <w:rPr>
                <w:b/>
                <w:bCs/>
                <w:szCs w:val="24"/>
                <w:lang w:eastAsia="lt-LT"/>
              </w:rPr>
              <w:t>Trumpa informacija apie 2019 mokinių pasiekimų rezultatus</w:t>
            </w:r>
            <w:r w:rsidRPr="00AC6DE8">
              <w:rPr>
                <w:szCs w:val="24"/>
                <w:lang w:eastAsia="lt-LT"/>
              </w:rPr>
              <w:t xml:space="preserve">. Bendras visų Gimnazijos </w:t>
            </w:r>
            <w:proofErr w:type="spellStart"/>
            <w:r w:rsidRPr="00AC6DE8">
              <w:rPr>
                <w:szCs w:val="24"/>
                <w:lang w:eastAsia="lt-LT"/>
              </w:rPr>
              <w:t>mok</w:t>
            </w:r>
            <w:r w:rsidRPr="00AC6DE8">
              <w:rPr>
                <w:szCs w:val="24"/>
                <w:lang w:eastAsia="lt-LT"/>
              </w:rPr>
              <w:t>i</w:t>
            </w:r>
            <w:r w:rsidRPr="00AC6DE8">
              <w:rPr>
                <w:szCs w:val="24"/>
                <w:lang w:eastAsia="lt-LT"/>
              </w:rPr>
              <w:t>niųmetinispažangumasnežymiaipakilo</w:t>
            </w:r>
            <w:proofErr w:type="spellEnd"/>
            <w:r w:rsidRPr="00AC6DE8">
              <w:rPr>
                <w:szCs w:val="24"/>
                <w:lang w:eastAsia="lt-LT"/>
              </w:rPr>
              <w:t xml:space="preserve"> – </w:t>
            </w:r>
            <w:r w:rsidRPr="00AC6DE8">
              <w:rPr>
                <w:szCs w:val="24"/>
                <w:lang w:val="en-US" w:eastAsia="lt-LT"/>
              </w:rPr>
              <w:t>1</w:t>
            </w:r>
            <w:r w:rsidRPr="00AC6DE8">
              <w:rPr>
                <w:szCs w:val="24"/>
                <w:lang w:eastAsia="lt-LT"/>
              </w:rPr>
              <w:t xml:space="preserve">,31 proc. (žymiausiai </w:t>
            </w:r>
            <w:r>
              <w:rPr>
                <w:szCs w:val="24"/>
                <w:lang w:eastAsia="lt-LT"/>
              </w:rPr>
              <w:t>(</w:t>
            </w:r>
            <w:r w:rsidRPr="00AC6DE8">
              <w:rPr>
                <w:szCs w:val="24"/>
                <w:lang w:eastAsia="lt-LT"/>
              </w:rPr>
              <w:t>7,16</w:t>
            </w:r>
            <w:r w:rsidR="00665248" w:rsidRPr="00AC6DE8">
              <w:rPr>
                <w:szCs w:val="24"/>
                <w:lang w:eastAsia="lt-LT"/>
              </w:rPr>
              <w:t>proc.</w:t>
            </w:r>
            <w:r>
              <w:rPr>
                <w:szCs w:val="24"/>
                <w:lang w:eastAsia="lt-LT"/>
              </w:rPr>
              <w:t xml:space="preserve">) </w:t>
            </w:r>
            <w:r w:rsidRPr="00AC6DE8">
              <w:rPr>
                <w:szCs w:val="24"/>
                <w:lang w:eastAsia="lt-LT"/>
              </w:rPr>
              <w:t>pakilo</w:t>
            </w:r>
            <w:r>
              <w:rPr>
                <w:szCs w:val="24"/>
                <w:lang w:eastAsia="lt-LT"/>
              </w:rPr>
              <w:t xml:space="preserve"> 5-</w:t>
            </w:r>
            <w:r w:rsidRPr="00AC6DE8">
              <w:rPr>
                <w:szCs w:val="24"/>
                <w:lang w:eastAsia="lt-LT"/>
              </w:rPr>
              <w:t>8</w:t>
            </w:r>
            <w:r>
              <w:rPr>
                <w:szCs w:val="24"/>
                <w:lang w:eastAsia="lt-LT"/>
              </w:rPr>
              <w:t xml:space="preserve"> klasių  </w:t>
            </w:r>
            <w:proofErr w:type="spellStart"/>
            <w:r>
              <w:rPr>
                <w:szCs w:val="24"/>
                <w:lang w:eastAsia="lt-LT"/>
              </w:rPr>
              <w:t>koncentre</w:t>
            </w:r>
            <w:proofErr w:type="spellEnd"/>
            <w:r w:rsidRPr="00AC6DE8">
              <w:rPr>
                <w:szCs w:val="24"/>
                <w:lang w:eastAsia="lt-LT"/>
              </w:rPr>
              <w:t>).</w:t>
            </w:r>
          </w:p>
          <w:p w:rsidR="00C15657" w:rsidRDefault="00C15657" w:rsidP="00C15657">
            <w:pPr>
              <w:ind w:firstLine="601"/>
              <w:jc w:val="both"/>
              <w:textAlignment w:val="baseline"/>
              <w:rPr>
                <w:szCs w:val="24"/>
                <w:lang w:eastAsia="lt-LT"/>
              </w:rPr>
            </w:pPr>
            <w:r w:rsidRPr="00AC6DE8">
              <w:rPr>
                <w:szCs w:val="24"/>
                <w:lang w:eastAsia="lt-LT"/>
              </w:rPr>
              <w:t>Nacionalinių mokinių pasiekimų patikrinimo (NMPP) 2019 m. rezultatai pateikiami pagal vidurkių palyginimą su NMPP dalyvavusiomis mokyklomis:</w:t>
            </w:r>
          </w:p>
          <w:p w:rsidR="00C15657" w:rsidRPr="006D3EF5" w:rsidRDefault="00C15657" w:rsidP="00C15657">
            <w:pPr>
              <w:jc w:val="both"/>
              <w:textAlignment w:val="baseline"/>
              <w:rPr>
                <w:sz w:val="8"/>
                <w:szCs w:val="8"/>
                <w:lang w:eastAsia="lt-LT"/>
              </w:rPr>
            </w:pPr>
          </w:p>
          <w:tbl>
            <w:tblPr>
              <w:tblpPr w:leftFromText="180" w:rightFromText="180" w:vertAnchor="text"/>
              <w:tblW w:w="9357" w:type="dxa"/>
              <w:tblCellMar>
                <w:left w:w="0" w:type="dxa"/>
                <w:right w:w="0" w:type="dxa"/>
              </w:tblCellMar>
              <w:tblLook w:val="04A0"/>
            </w:tblPr>
            <w:tblGrid>
              <w:gridCol w:w="1975"/>
              <w:gridCol w:w="1004"/>
              <w:gridCol w:w="1456"/>
              <w:gridCol w:w="1003"/>
              <w:gridCol w:w="1456"/>
              <w:gridCol w:w="1007"/>
              <w:gridCol w:w="1456"/>
            </w:tblGrid>
            <w:tr w:rsidR="00C15657" w:rsidRPr="00AC6DE8" w:rsidTr="006D3EF5">
              <w:trPr>
                <w:trHeight w:val="407"/>
              </w:trPr>
              <w:tc>
                <w:tcPr>
                  <w:tcW w:w="1975" w:type="dxa"/>
                  <w:vMerge w:val="restart"/>
                  <w:tcBorders>
                    <w:top w:val="single" w:sz="8" w:space="0" w:color="auto"/>
                    <w:left w:val="single" w:sz="8" w:space="0" w:color="auto"/>
                    <w:bottom w:val="single" w:sz="8" w:space="0" w:color="auto"/>
                    <w:right w:val="single" w:sz="8" w:space="0" w:color="auto"/>
                  </w:tcBorders>
                  <w:shd w:val="clear" w:color="auto" w:fill="5B9BD5"/>
                  <w:tcMar>
                    <w:top w:w="15" w:type="dxa"/>
                    <w:left w:w="108" w:type="dxa"/>
                    <w:bottom w:w="0" w:type="dxa"/>
                    <w:right w:w="108" w:type="dxa"/>
                  </w:tcMar>
                  <w:hideMark/>
                </w:tcPr>
                <w:p w:rsidR="00C15657" w:rsidRPr="00665248" w:rsidRDefault="00C15657" w:rsidP="00C15657">
                  <w:pPr>
                    <w:jc w:val="both"/>
                    <w:textAlignment w:val="baseline"/>
                    <w:rPr>
                      <w:szCs w:val="24"/>
                      <w:lang w:eastAsia="lt-LT"/>
                    </w:rPr>
                  </w:pPr>
                  <w:r w:rsidRPr="00665248">
                    <w:rPr>
                      <w:bCs/>
                      <w:szCs w:val="24"/>
                      <w:lang w:eastAsia="lt-LT"/>
                    </w:rPr>
                    <w:t>Klasė</w:t>
                  </w:r>
                </w:p>
              </w:tc>
              <w:tc>
                <w:tcPr>
                  <w:tcW w:w="2460" w:type="dxa"/>
                  <w:gridSpan w:val="2"/>
                  <w:tcBorders>
                    <w:top w:val="single" w:sz="8" w:space="0" w:color="auto"/>
                    <w:left w:val="nil"/>
                    <w:bottom w:val="single" w:sz="8" w:space="0" w:color="auto"/>
                    <w:right w:val="single" w:sz="8" w:space="0" w:color="auto"/>
                  </w:tcBorders>
                  <w:shd w:val="clear" w:color="auto" w:fill="5B9BD5"/>
                  <w:tcMar>
                    <w:top w:w="15" w:type="dxa"/>
                    <w:left w:w="108" w:type="dxa"/>
                    <w:bottom w:w="0" w:type="dxa"/>
                    <w:right w:w="108" w:type="dxa"/>
                  </w:tcMar>
                  <w:hideMark/>
                </w:tcPr>
                <w:p w:rsidR="00C15657" w:rsidRPr="00AC6DE8" w:rsidRDefault="00C15657" w:rsidP="00C15657">
                  <w:pPr>
                    <w:jc w:val="center"/>
                    <w:textAlignment w:val="baseline"/>
                    <w:rPr>
                      <w:szCs w:val="24"/>
                      <w:lang w:eastAsia="lt-LT"/>
                    </w:rPr>
                  </w:pPr>
                  <w:r w:rsidRPr="00AC6DE8">
                    <w:rPr>
                      <w:b/>
                      <w:bCs/>
                      <w:szCs w:val="24"/>
                      <w:lang w:eastAsia="lt-LT"/>
                    </w:rPr>
                    <w:t>2 klasė</w:t>
                  </w:r>
                </w:p>
              </w:tc>
              <w:tc>
                <w:tcPr>
                  <w:tcW w:w="2459" w:type="dxa"/>
                  <w:gridSpan w:val="2"/>
                  <w:tcBorders>
                    <w:top w:val="single" w:sz="8" w:space="0" w:color="auto"/>
                    <w:left w:val="nil"/>
                    <w:bottom w:val="single" w:sz="8" w:space="0" w:color="auto"/>
                    <w:right w:val="single" w:sz="8" w:space="0" w:color="auto"/>
                  </w:tcBorders>
                  <w:shd w:val="clear" w:color="auto" w:fill="5B9BD5"/>
                  <w:tcMar>
                    <w:top w:w="15" w:type="dxa"/>
                    <w:left w:w="108" w:type="dxa"/>
                    <w:bottom w:w="0" w:type="dxa"/>
                    <w:right w:w="108" w:type="dxa"/>
                  </w:tcMar>
                  <w:hideMark/>
                </w:tcPr>
                <w:p w:rsidR="00C15657" w:rsidRPr="00AC6DE8" w:rsidRDefault="00C15657" w:rsidP="00C15657">
                  <w:pPr>
                    <w:jc w:val="center"/>
                    <w:textAlignment w:val="baseline"/>
                    <w:rPr>
                      <w:szCs w:val="24"/>
                      <w:lang w:eastAsia="lt-LT"/>
                    </w:rPr>
                  </w:pPr>
                  <w:r w:rsidRPr="00AC6DE8">
                    <w:rPr>
                      <w:b/>
                      <w:bCs/>
                      <w:szCs w:val="24"/>
                      <w:lang w:eastAsia="lt-LT"/>
                    </w:rPr>
                    <w:t>4 klasė</w:t>
                  </w:r>
                </w:p>
              </w:tc>
              <w:tc>
                <w:tcPr>
                  <w:tcW w:w="2463" w:type="dxa"/>
                  <w:gridSpan w:val="2"/>
                  <w:tcBorders>
                    <w:top w:val="single" w:sz="8" w:space="0" w:color="auto"/>
                    <w:left w:val="nil"/>
                    <w:bottom w:val="single" w:sz="8" w:space="0" w:color="auto"/>
                    <w:right w:val="single" w:sz="8" w:space="0" w:color="auto"/>
                  </w:tcBorders>
                  <w:shd w:val="clear" w:color="auto" w:fill="5B9BD5"/>
                  <w:tcMar>
                    <w:top w:w="15" w:type="dxa"/>
                    <w:left w:w="108" w:type="dxa"/>
                    <w:bottom w:w="0" w:type="dxa"/>
                    <w:right w:w="108" w:type="dxa"/>
                  </w:tcMar>
                  <w:hideMark/>
                </w:tcPr>
                <w:p w:rsidR="00C15657" w:rsidRPr="00AC6DE8" w:rsidRDefault="00C15657" w:rsidP="00C15657">
                  <w:pPr>
                    <w:jc w:val="center"/>
                    <w:textAlignment w:val="baseline"/>
                    <w:rPr>
                      <w:szCs w:val="24"/>
                      <w:lang w:eastAsia="lt-LT"/>
                    </w:rPr>
                  </w:pPr>
                  <w:r w:rsidRPr="00AC6DE8">
                    <w:rPr>
                      <w:b/>
                      <w:bCs/>
                      <w:szCs w:val="24"/>
                      <w:lang w:eastAsia="lt-LT"/>
                    </w:rPr>
                    <w:t>6 klasė</w:t>
                  </w:r>
                </w:p>
              </w:tc>
            </w:tr>
            <w:tr w:rsidR="00C15657" w:rsidRPr="00AC6DE8" w:rsidTr="006D3EF5">
              <w:trPr>
                <w:trHeight w:val="1104"/>
              </w:trPr>
              <w:tc>
                <w:tcPr>
                  <w:tcW w:w="1975" w:type="dxa"/>
                  <w:vMerge/>
                  <w:tcBorders>
                    <w:top w:val="single" w:sz="8" w:space="0" w:color="auto"/>
                    <w:left w:val="single" w:sz="8" w:space="0" w:color="auto"/>
                    <w:bottom w:val="single" w:sz="8" w:space="0" w:color="auto"/>
                    <w:right w:val="single" w:sz="8" w:space="0" w:color="auto"/>
                  </w:tcBorders>
                  <w:vAlign w:val="center"/>
                  <w:hideMark/>
                </w:tcPr>
                <w:p w:rsidR="00C15657" w:rsidRPr="00AC6DE8" w:rsidRDefault="00C15657" w:rsidP="00C15657">
                  <w:pPr>
                    <w:rPr>
                      <w:szCs w:val="24"/>
                      <w:lang w:eastAsia="lt-LT"/>
                    </w:rPr>
                  </w:pPr>
                </w:p>
              </w:tc>
              <w:tc>
                <w:tcPr>
                  <w:tcW w:w="1004" w:type="dxa"/>
                  <w:tcBorders>
                    <w:top w:val="nil"/>
                    <w:left w:val="nil"/>
                    <w:bottom w:val="single" w:sz="8" w:space="0" w:color="auto"/>
                    <w:right w:val="single" w:sz="8" w:space="0" w:color="auto"/>
                  </w:tcBorders>
                  <w:shd w:val="clear" w:color="auto" w:fill="D2DEEF"/>
                  <w:tcMar>
                    <w:top w:w="15" w:type="dxa"/>
                    <w:left w:w="108" w:type="dxa"/>
                    <w:bottom w:w="0" w:type="dxa"/>
                    <w:right w:w="108" w:type="dxa"/>
                  </w:tcMar>
                  <w:hideMark/>
                </w:tcPr>
                <w:p w:rsidR="00C15657" w:rsidRPr="00AC6DE8" w:rsidRDefault="00C15657" w:rsidP="00C15657">
                  <w:pPr>
                    <w:jc w:val="center"/>
                    <w:textAlignment w:val="baseline"/>
                    <w:rPr>
                      <w:szCs w:val="24"/>
                      <w:lang w:eastAsia="lt-LT"/>
                    </w:rPr>
                  </w:pPr>
                  <w:r w:rsidRPr="00AC6DE8">
                    <w:rPr>
                      <w:szCs w:val="24"/>
                      <w:lang w:eastAsia="lt-LT"/>
                    </w:rPr>
                    <w:t>Klasės vidurkis</w:t>
                  </w:r>
                </w:p>
              </w:tc>
              <w:tc>
                <w:tcPr>
                  <w:tcW w:w="1456" w:type="dxa"/>
                  <w:tcBorders>
                    <w:top w:val="nil"/>
                    <w:left w:val="nil"/>
                    <w:bottom w:val="single" w:sz="8" w:space="0" w:color="auto"/>
                    <w:right w:val="single" w:sz="8" w:space="0" w:color="auto"/>
                  </w:tcBorders>
                  <w:shd w:val="clear" w:color="auto" w:fill="D2DEEF"/>
                  <w:tcMar>
                    <w:top w:w="15" w:type="dxa"/>
                    <w:left w:w="108" w:type="dxa"/>
                    <w:bottom w:w="0" w:type="dxa"/>
                    <w:right w:w="108" w:type="dxa"/>
                  </w:tcMar>
                  <w:hideMark/>
                </w:tcPr>
                <w:p w:rsidR="00C15657" w:rsidRPr="00AC6DE8" w:rsidRDefault="00C15657" w:rsidP="00C15657">
                  <w:pPr>
                    <w:jc w:val="center"/>
                    <w:textAlignment w:val="baseline"/>
                    <w:rPr>
                      <w:szCs w:val="24"/>
                      <w:lang w:eastAsia="lt-LT"/>
                    </w:rPr>
                  </w:pPr>
                  <w:r w:rsidRPr="00AC6DE8">
                    <w:rPr>
                      <w:szCs w:val="24"/>
                      <w:lang w:eastAsia="lt-LT"/>
                    </w:rPr>
                    <w:t>Skirtumas pagal NMPP dalyvavusias mokyklas</w:t>
                  </w:r>
                </w:p>
              </w:tc>
              <w:tc>
                <w:tcPr>
                  <w:tcW w:w="1003" w:type="dxa"/>
                  <w:tcBorders>
                    <w:top w:val="nil"/>
                    <w:left w:val="nil"/>
                    <w:bottom w:val="single" w:sz="8" w:space="0" w:color="auto"/>
                    <w:right w:val="single" w:sz="8" w:space="0" w:color="auto"/>
                  </w:tcBorders>
                  <w:shd w:val="clear" w:color="auto" w:fill="D2DEEF"/>
                  <w:tcMar>
                    <w:top w:w="15" w:type="dxa"/>
                    <w:left w:w="108" w:type="dxa"/>
                    <w:bottom w:w="0" w:type="dxa"/>
                    <w:right w:w="108" w:type="dxa"/>
                  </w:tcMar>
                  <w:hideMark/>
                </w:tcPr>
                <w:p w:rsidR="00C15657" w:rsidRPr="00AC6DE8" w:rsidRDefault="00C15657" w:rsidP="00C15657">
                  <w:pPr>
                    <w:jc w:val="center"/>
                    <w:textAlignment w:val="baseline"/>
                    <w:rPr>
                      <w:szCs w:val="24"/>
                      <w:lang w:eastAsia="lt-LT"/>
                    </w:rPr>
                  </w:pPr>
                  <w:r w:rsidRPr="00AC6DE8">
                    <w:rPr>
                      <w:szCs w:val="24"/>
                      <w:lang w:eastAsia="lt-LT"/>
                    </w:rPr>
                    <w:t>Klasės vidurkis</w:t>
                  </w:r>
                </w:p>
              </w:tc>
              <w:tc>
                <w:tcPr>
                  <w:tcW w:w="1456" w:type="dxa"/>
                  <w:tcBorders>
                    <w:top w:val="nil"/>
                    <w:left w:val="nil"/>
                    <w:bottom w:val="single" w:sz="8" w:space="0" w:color="auto"/>
                    <w:right w:val="single" w:sz="8" w:space="0" w:color="auto"/>
                  </w:tcBorders>
                  <w:shd w:val="clear" w:color="auto" w:fill="D2DEEF"/>
                  <w:tcMar>
                    <w:top w:w="15" w:type="dxa"/>
                    <w:left w:w="108" w:type="dxa"/>
                    <w:bottom w:w="0" w:type="dxa"/>
                    <w:right w:w="108" w:type="dxa"/>
                  </w:tcMar>
                  <w:hideMark/>
                </w:tcPr>
                <w:p w:rsidR="00C15657" w:rsidRPr="00AC6DE8" w:rsidRDefault="00C15657" w:rsidP="00C15657">
                  <w:pPr>
                    <w:jc w:val="center"/>
                    <w:textAlignment w:val="baseline"/>
                    <w:rPr>
                      <w:szCs w:val="24"/>
                      <w:lang w:eastAsia="lt-LT"/>
                    </w:rPr>
                  </w:pPr>
                  <w:r w:rsidRPr="00AC6DE8">
                    <w:rPr>
                      <w:szCs w:val="24"/>
                      <w:lang w:eastAsia="lt-LT"/>
                    </w:rPr>
                    <w:t>Skirtumas pagal NMPP dalyvavusias mokyklas</w:t>
                  </w:r>
                </w:p>
              </w:tc>
              <w:tc>
                <w:tcPr>
                  <w:tcW w:w="1007" w:type="dxa"/>
                  <w:tcBorders>
                    <w:top w:val="nil"/>
                    <w:left w:val="nil"/>
                    <w:bottom w:val="single" w:sz="8" w:space="0" w:color="auto"/>
                    <w:right w:val="single" w:sz="8" w:space="0" w:color="auto"/>
                  </w:tcBorders>
                  <w:shd w:val="clear" w:color="auto" w:fill="D2DEEF"/>
                  <w:tcMar>
                    <w:top w:w="15" w:type="dxa"/>
                    <w:left w:w="108" w:type="dxa"/>
                    <w:bottom w:w="0" w:type="dxa"/>
                    <w:right w:w="108" w:type="dxa"/>
                  </w:tcMar>
                  <w:hideMark/>
                </w:tcPr>
                <w:p w:rsidR="00C15657" w:rsidRPr="00AC6DE8" w:rsidRDefault="00C15657" w:rsidP="00C15657">
                  <w:pPr>
                    <w:jc w:val="center"/>
                    <w:textAlignment w:val="baseline"/>
                    <w:rPr>
                      <w:szCs w:val="24"/>
                      <w:lang w:eastAsia="lt-LT"/>
                    </w:rPr>
                  </w:pPr>
                  <w:r w:rsidRPr="00AC6DE8">
                    <w:rPr>
                      <w:szCs w:val="24"/>
                      <w:lang w:eastAsia="lt-LT"/>
                    </w:rPr>
                    <w:t>Klasės vidurkis</w:t>
                  </w:r>
                </w:p>
              </w:tc>
              <w:tc>
                <w:tcPr>
                  <w:tcW w:w="1456" w:type="dxa"/>
                  <w:tcBorders>
                    <w:top w:val="nil"/>
                    <w:left w:val="nil"/>
                    <w:bottom w:val="single" w:sz="8" w:space="0" w:color="auto"/>
                    <w:right w:val="single" w:sz="8" w:space="0" w:color="auto"/>
                  </w:tcBorders>
                  <w:shd w:val="clear" w:color="auto" w:fill="D2DEEF"/>
                  <w:tcMar>
                    <w:top w:w="15" w:type="dxa"/>
                    <w:left w:w="108" w:type="dxa"/>
                    <w:bottom w:w="0" w:type="dxa"/>
                    <w:right w:w="108" w:type="dxa"/>
                  </w:tcMar>
                  <w:hideMark/>
                </w:tcPr>
                <w:p w:rsidR="00C15657" w:rsidRPr="00AC6DE8" w:rsidRDefault="00C15657" w:rsidP="00C15657">
                  <w:pPr>
                    <w:jc w:val="center"/>
                    <w:textAlignment w:val="baseline"/>
                    <w:rPr>
                      <w:szCs w:val="24"/>
                      <w:lang w:eastAsia="lt-LT"/>
                    </w:rPr>
                  </w:pPr>
                  <w:r w:rsidRPr="00AC6DE8">
                    <w:rPr>
                      <w:szCs w:val="24"/>
                      <w:lang w:eastAsia="lt-LT"/>
                    </w:rPr>
                    <w:t>Skirtumas pagal NMPP dalyvavusias mokyklas</w:t>
                  </w:r>
                </w:p>
              </w:tc>
            </w:tr>
            <w:tr w:rsidR="00C15657" w:rsidRPr="00AC6DE8" w:rsidTr="006D3EF5">
              <w:trPr>
                <w:trHeight w:val="255"/>
              </w:trPr>
              <w:tc>
                <w:tcPr>
                  <w:tcW w:w="1975" w:type="dxa"/>
                  <w:tcBorders>
                    <w:top w:val="nil"/>
                    <w:left w:val="single" w:sz="8" w:space="0" w:color="auto"/>
                    <w:bottom w:val="single" w:sz="8" w:space="0" w:color="auto"/>
                    <w:right w:val="single" w:sz="8" w:space="0" w:color="auto"/>
                  </w:tcBorders>
                  <w:shd w:val="clear" w:color="auto" w:fill="5B9BD5"/>
                  <w:tcMar>
                    <w:top w:w="15" w:type="dxa"/>
                    <w:left w:w="108" w:type="dxa"/>
                    <w:bottom w:w="0" w:type="dxa"/>
                    <w:right w:w="108" w:type="dxa"/>
                  </w:tcMar>
                  <w:hideMark/>
                </w:tcPr>
                <w:p w:rsidR="00C15657" w:rsidRPr="00665248" w:rsidRDefault="00C15657" w:rsidP="00C15657">
                  <w:pPr>
                    <w:jc w:val="both"/>
                    <w:textAlignment w:val="baseline"/>
                    <w:rPr>
                      <w:szCs w:val="24"/>
                      <w:lang w:eastAsia="lt-LT"/>
                    </w:rPr>
                  </w:pPr>
                  <w:r w:rsidRPr="00665248">
                    <w:rPr>
                      <w:bCs/>
                      <w:szCs w:val="24"/>
                      <w:lang w:eastAsia="lt-LT"/>
                    </w:rPr>
                    <w:t>Matematika</w:t>
                  </w:r>
                </w:p>
              </w:tc>
              <w:tc>
                <w:tcPr>
                  <w:tcW w:w="1004" w:type="dxa"/>
                  <w:tcBorders>
                    <w:top w:val="nil"/>
                    <w:left w:val="nil"/>
                    <w:bottom w:val="single" w:sz="8" w:space="0" w:color="auto"/>
                    <w:right w:val="single" w:sz="8" w:space="0" w:color="auto"/>
                  </w:tcBorders>
                  <w:shd w:val="clear" w:color="auto" w:fill="C6D9F1"/>
                  <w:tcMar>
                    <w:top w:w="15" w:type="dxa"/>
                    <w:left w:w="108" w:type="dxa"/>
                    <w:bottom w:w="0" w:type="dxa"/>
                    <w:right w:w="108" w:type="dxa"/>
                  </w:tcMar>
                  <w:hideMark/>
                </w:tcPr>
                <w:p w:rsidR="00C15657" w:rsidRPr="00AC6DE8" w:rsidRDefault="00C15657" w:rsidP="00C15657">
                  <w:pPr>
                    <w:jc w:val="center"/>
                    <w:textAlignment w:val="baseline"/>
                    <w:rPr>
                      <w:szCs w:val="24"/>
                      <w:lang w:eastAsia="lt-LT"/>
                    </w:rPr>
                  </w:pPr>
                  <w:r w:rsidRPr="00AC6DE8">
                    <w:rPr>
                      <w:szCs w:val="24"/>
                      <w:lang w:eastAsia="lt-LT"/>
                    </w:rPr>
                    <w:t>72,6</w:t>
                  </w:r>
                </w:p>
              </w:tc>
              <w:tc>
                <w:tcPr>
                  <w:tcW w:w="1456" w:type="dxa"/>
                  <w:tcBorders>
                    <w:top w:val="nil"/>
                    <w:left w:val="nil"/>
                    <w:bottom w:val="single" w:sz="8" w:space="0" w:color="auto"/>
                    <w:right w:val="single" w:sz="8" w:space="0" w:color="auto"/>
                  </w:tcBorders>
                  <w:shd w:val="clear" w:color="auto" w:fill="C6D9F1"/>
                  <w:tcMar>
                    <w:top w:w="15" w:type="dxa"/>
                    <w:left w:w="108" w:type="dxa"/>
                    <w:bottom w:w="0" w:type="dxa"/>
                    <w:right w:w="108" w:type="dxa"/>
                  </w:tcMar>
                  <w:hideMark/>
                </w:tcPr>
                <w:p w:rsidR="00C15657" w:rsidRPr="00AC6DE8" w:rsidRDefault="00C15657" w:rsidP="00C15657">
                  <w:pPr>
                    <w:jc w:val="center"/>
                    <w:textAlignment w:val="baseline"/>
                    <w:rPr>
                      <w:szCs w:val="24"/>
                      <w:lang w:eastAsia="lt-LT"/>
                    </w:rPr>
                  </w:pPr>
                  <w:r w:rsidRPr="00AC6DE8">
                    <w:rPr>
                      <w:szCs w:val="24"/>
                      <w:lang w:eastAsia="lt-LT"/>
                    </w:rPr>
                    <w:t>-5,1</w:t>
                  </w:r>
                </w:p>
              </w:tc>
              <w:tc>
                <w:tcPr>
                  <w:tcW w:w="1003" w:type="dxa"/>
                  <w:tcBorders>
                    <w:top w:val="nil"/>
                    <w:left w:val="nil"/>
                    <w:bottom w:val="single" w:sz="8" w:space="0" w:color="auto"/>
                    <w:right w:val="single" w:sz="8" w:space="0" w:color="auto"/>
                  </w:tcBorders>
                  <w:shd w:val="clear" w:color="auto" w:fill="C6D9F1"/>
                  <w:tcMar>
                    <w:top w:w="15" w:type="dxa"/>
                    <w:left w:w="108" w:type="dxa"/>
                    <w:bottom w:w="0" w:type="dxa"/>
                    <w:right w:w="108" w:type="dxa"/>
                  </w:tcMar>
                  <w:hideMark/>
                </w:tcPr>
                <w:p w:rsidR="00C15657" w:rsidRPr="00AC6DE8" w:rsidRDefault="00C15657" w:rsidP="00C15657">
                  <w:pPr>
                    <w:jc w:val="center"/>
                    <w:textAlignment w:val="baseline"/>
                    <w:rPr>
                      <w:szCs w:val="24"/>
                      <w:lang w:eastAsia="lt-LT"/>
                    </w:rPr>
                  </w:pPr>
                  <w:r w:rsidRPr="00AC6DE8">
                    <w:rPr>
                      <w:szCs w:val="24"/>
                      <w:lang w:eastAsia="lt-LT"/>
                    </w:rPr>
                    <w:t>55,0</w:t>
                  </w:r>
                </w:p>
              </w:tc>
              <w:tc>
                <w:tcPr>
                  <w:tcW w:w="1456" w:type="dxa"/>
                  <w:tcBorders>
                    <w:top w:val="nil"/>
                    <w:left w:val="nil"/>
                    <w:bottom w:val="single" w:sz="8" w:space="0" w:color="auto"/>
                    <w:right w:val="single" w:sz="8" w:space="0" w:color="auto"/>
                  </w:tcBorders>
                  <w:shd w:val="clear" w:color="auto" w:fill="C6D9F1"/>
                  <w:tcMar>
                    <w:top w:w="15" w:type="dxa"/>
                    <w:left w:w="108" w:type="dxa"/>
                    <w:bottom w:w="0" w:type="dxa"/>
                    <w:right w:w="108" w:type="dxa"/>
                  </w:tcMar>
                  <w:hideMark/>
                </w:tcPr>
                <w:p w:rsidR="00C15657" w:rsidRPr="00AC6DE8" w:rsidRDefault="00C15657" w:rsidP="00C15657">
                  <w:pPr>
                    <w:jc w:val="center"/>
                    <w:textAlignment w:val="baseline"/>
                    <w:rPr>
                      <w:szCs w:val="24"/>
                      <w:lang w:eastAsia="lt-LT"/>
                    </w:rPr>
                  </w:pPr>
                  <w:r w:rsidRPr="00AC6DE8">
                    <w:rPr>
                      <w:szCs w:val="24"/>
                      <w:lang w:eastAsia="lt-LT"/>
                    </w:rPr>
                    <w:t>-0,7</w:t>
                  </w:r>
                </w:p>
              </w:tc>
              <w:tc>
                <w:tcPr>
                  <w:tcW w:w="1007" w:type="dxa"/>
                  <w:tcBorders>
                    <w:top w:val="nil"/>
                    <w:left w:val="nil"/>
                    <w:bottom w:val="single" w:sz="8" w:space="0" w:color="auto"/>
                    <w:right w:val="single" w:sz="8" w:space="0" w:color="auto"/>
                  </w:tcBorders>
                  <w:shd w:val="clear" w:color="auto" w:fill="C6D9F1"/>
                  <w:tcMar>
                    <w:top w:w="15" w:type="dxa"/>
                    <w:left w:w="108" w:type="dxa"/>
                    <w:bottom w:w="0" w:type="dxa"/>
                    <w:right w:w="108" w:type="dxa"/>
                  </w:tcMar>
                  <w:hideMark/>
                </w:tcPr>
                <w:p w:rsidR="00C15657" w:rsidRPr="00AC6DE8" w:rsidRDefault="00C15657" w:rsidP="00C15657">
                  <w:pPr>
                    <w:jc w:val="center"/>
                    <w:textAlignment w:val="baseline"/>
                    <w:rPr>
                      <w:szCs w:val="24"/>
                      <w:lang w:eastAsia="lt-LT"/>
                    </w:rPr>
                  </w:pPr>
                  <w:r w:rsidRPr="00AC6DE8">
                    <w:rPr>
                      <w:szCs w:val="24"/>
                      <w:lang w:eastAsia="lt-LT"/>
                    </w:rPr>
                    <w:t>41,7</w:t>
                  </w:r>
                </w:p>
              </w:tc>
              <w:tc>
                <w:tcPr>
                  <w:tcW w:w="1456" w:type="dxa"/>
                  <w:tcBorders>
                    <w:top w:val="nil"/>
                    <w:left w:val="nil"/>
                    <w:bottom w:val="single" w:sz="8" w:space="0" w:color="auto"/>
                    <w:right w:val="single" w:sz="8" w:space="0" w:color="auto"/>
                  </w:tcBorders>
                  <w:shd w:val="clear" w:color="auto" w:fill="C6D9F1"/>
                  <w:tcMar>
                    <w:top w:w="15" w:type="dxa"/>
                    <w:left w:w="108" w:type="dxa"/>
                    <w:bottom w:w="0" w:type="dxa"/>
                    <w:right w:w="108" w:type="dxa"/>
                  </w:tcMar>
                  <w:hideMark/>
                </w:tcPr>
                <w:p w:rsidR="00C15657" w:rsidRPr="00AC6DE8" w:rsidRDefault="00C15657" w:rsidP="00C15657">
                  <w:pPr>
                    <w:jc w:val="center"/>
                    <w:textAlignment w:val="baseline"/>
                    <w:rPr>
                      <w:szCs w:val="24"/>
                      <w:lang w:eastAsia="lt-LT"/>
                    </w:rPr>
                  </w:pPr>
                  <w:r w:rsidRPr="00AC6DE8">
                    <w:rPr>
                      <w:szCs w:val="24"/>
                      <w:lang w:eastAsia="lt-LT"/>
                    </w:rPr>
                    <w:t>-0,9</w:t>
                  </w:r>
                </w:p>
              </w:tc>
            </w:tr>
            <w:tr w:rsidR="00C15657" w:rsidRPr="00AC6DE8" w:rsidTr="006D3EF5">
              <w:trPr>
                <w:trHeight w:val="246"/>
              </w:trPr>
              <w:tc>
                <w:tcPr>
                  <w:tcW w:w="1975" w:type="dxa"/>
                  <w:tcBorders>
                    <w:top w:val="nil"/>
                    <w:left w:val="single" w:sz="8" w:space="0" w:color="auto"/>
                    <w:bottom w:val="single" w:sz="8" w:space="0" w:color="auto"/>
                    <w:right w:val="single" w:sz="8" w:space="0" w:color="auto"/>
                  </w:tcBorders>
                  <w:shd w:val="clear" w:color="auto" w:fill="5B9BD5"/>
                  <w:tcMar>
                    <w:top w:w="15" w:type="dxa"/>
                    <w:left w:w="108" w:type="dxa"/>
                    <w:bottom w:w="0" w:type="dxa"/>
                    <w:right w:w="108" w:type="dxa"/>
                  </w:tcMar>
                  <w:hideMark/>
                </w:tcPr>
                <w:p w:rsidR="00C15657" w:rsidRPr="00665248" w:rsidRDefault="00C15657" w:rsidP="00C15657">
                  <w:pPr>
                    <w:jc w:val="both"/>
                    <w:textAlignment w:val="baseline"/>
                    <w:rPr>
                      <w:szCs w:val="24"/>
                      <w:lang w:eastAsia="lt-LT"/>
                    </w:rPr>
                  </w:pPr>
                  <w:r w:rsidRPr="00665248">
                    <w:rPr>
                      <w:bCs/>
                      <w:szCs w:val="24"/>
                      <w:lang w:eastAsia="lt-LT"/>
                    </w:rPr>
                    <w:t>Skaitymas</w:t>
                  </w:r>
                </w:p>
              </w:tc>
              <w:tc>
                <w:tcPr>
                  <w:tcW w:w="1004" w:type="dxa"/>
                  <w:tcBorders>
                    <w:top w:val="nil"/>
                    <w:left w:val="nil"/>
                    <w:bottom w:val="single" w:sz="8" w:space="0" w:color="auto"/>
                    <w:right w:val="single" w:sz="8" w:space="0" w:color="auto"/>
                  </w:tcBorders>
                  <w:shd w:val="clear" w:color="auto" w:fill="C6D9F1"/>
                  <w:tcMar>
                    <w:top w:w="15" w:type="dxa"/>
                    <w:left w:w="108" w:type="dxa"/>
                    <w:bottom w:w="0" w:type="dxa"/>
                    <w:right w:w="108" w:type="dxa"/>
                  </w:tcMar>
                  <w:hideMark/>
                </w:tcPr>
                <w:p w:rsidR="00C15657" w:rsidRPr="00AC6DE8" w:rsidRDefault="00C15657" w:rsidP="00C15657">
                  <w:pPr>
                    <w:jc w:val="center"/>
                    <w:textAlignment w:val="baseline"/>
                    <w:rPr>
                      <w:szCs w:val="24"/>
                      <w:lang w:eastAsia="lt-LT"/>
                    </w:rPr>
                  </w:pPr>
                  <w:r w:rsidRPr="00AC6DE8">
                    <w:rPr>
                      <w:szCs w:val="24"/>
                      <w:lang w:eastAsia="lt-LT"/>
                    </w:rPr>
                    <w:t>72,9</w:t>
                  </w:r>
                </w:p>
              </w:tc>
              <w:tc>
                <w:tcPr>
                  <w:tcW w:w="1456" w:type="dxa"/>
                  <w:tcBorders>
                    <w:top w:val="nil"/>
                    <w:left w:val="nil"/>
                    <w:bottom w:val="single" w:sz="8" w:space="0" w:color="auto"/>
                    <w:right w:val="single" w:sz="8" w:space="0" w:color="auto"/>
                  </w:tcBorders>
                  <w:shd w:val="clear" w:color="auto" w:fill="C6D9F1"/>
                  <w:tcMar>
                    <w:top w:w="15" w:type="dxa"/>
                    <w:left w:w="108" w:type="dxa"/>
                    <w:bottom w:w="0" w:type="dxa"/>
                    <w:right w:w="108" w:type="dxa"/>
                  </w:tcMar>
                  <w:hideMark/>
                </w:tcPr>
                <w:p w:rsidR="00C15657" w:rsidRPr="00AC6DE8" w:rsidRDefault="00C15657" w:rsidP="00C15657">
                  <w:pPr>
                    <w:jc w:val="center"/>
                    <w:textAlignment w:val="baseline"/>
                    <w:rPr>
                      <w:szCs w:val="24"/>
                      <w:lang w:eastAsia="lt-LT"/>
                    </w:rPr>
                  </w:pPr>
                  <w:r w:rsidRPr="00AC6DE8">
                    <w:rPr>
                      <w:szCs w:val="24"/>
                      <w:lang w:eastAsia="lt-LT"/>
                    </w:rPr>
                    <w:t>-9,3</w:t>
                  </w:r>
                </w:p>
              </w:tc>
              <w:tc>
                <w:tcPr>
                  <w:tcW w:w="1003" w:type="dxa"/>
                  <w:tcBorders>
                    <w:top w:val="nil"/>
                    <w:left w:val="nil"/>
                    <w:bottom w:val="single" w:sz="8" w:space="0" w:color="auto"/>
                    <w:right w:val="single" w:sz="8" w:space="0" w:color="auto"/>
                  </w:tcBorders>
                  <w:shd w:val="clear" w:color="auto" w:fill="92D050"/>
                  <w:tcMar>
                    <w:top w:w="15" w:type="dxa"/>
                    <w:left w:w="108" w:type="dxa"/>
                    <w:bottom w:w="0" w:type="dxa"/>
                    <w:right w:w="108" w:type="dxa"/>
                  </w:tcMar>
                  <w:hideMark/>
                </w:tcPr>
                <w:p w:rsidR="00C15657" w:rsidRPr="00AC6DE8" w:rsidRDefault="00C15657" w:rsidP="00C15657">
                  <w:pPr>
                    <w:jc w:val="center"/>
                    <w:textAlignment w:val="baseline"/>
                    <w:rPr>
                      <w:szCs w:val="24"/>
                      <w:lang w:eastAsia="lt-LT"/>
                    </w:rPr>
                  </w:pPr>
                  <w:r w:rsidRPr="00AC6DE8">
                    <w:rPr>
                      <w:szCs w:val="24"/>
                      <w:lang w:eastAsia="lt-LT"/>
                    </w:rPr>
                    <w:t>54,3</w:t>
                  </w:r>
                </w:p>
              </w:tc>
              <w:tc>
                <w:tcPr>
                  <w:tcW w:w="1456" w:type="dxa"/>
                  <w:tcBorders>
                    <w:top w:val="nil"/>
                    <w:left w:val="nil"/>
                    <w:bottom w:val="single" w:sz="8" w:space="0" w:color="auto"/>
                    <w:right w:val="single" w:sz="8" w:space="0" w:color="auto"/>
                  </w:tcBorders>
                  <w:shd w:val="clear" w:color="auto" w:fill="92D050"/>
                  <w:tcMar>
                    <w:top w:w="15" w:type="dxa"/>
                    <w:left w:w="108" w:type="dxa"/>
                    <w:bottom w:w="0" w:type="dxa"/>
                    <w:right w:w="108" w:type="dxa"/>
                  </w:tcMar>
                  <w:hideMark/>
                </w:tcPr>
                <w:p w:rsidR="00C15657" w:rsidRPr="00AC6DE8" w:rsidRDefault="00C15657" w:rsidP="00C15657">
                  <w:pPr>
                    <w:jc w:val="center"/>
                    <w:textAlignment w:val="baseline"/>
                    <w:rPr>
                      <w:szCs w:val="24"/>
                      <w:lang w:eastAsia="lt-LT"/>
                    </w:rPr>
                  </w:pPr>
                  <w:r w:rsidRPr="00AC6DE8">
                    <w:rPr>
                      <w:szCs w:val="24"/>
                      <w:lang w:eastAsia="lt-LT"/>
                    </w:rPr>
                    <w:t>+3</w:t>
                  </w:r>
                </w:p>
              </w:tc>
              <w:tc>
                <w:tcPr>
                  <w:tcW w:w="1007" w:type="dxa"/>
                  <w:tcBorders>
                    <w:top w:val="nil"/>
                    <w:left w:val="nil"/>
                    <w:bottom w:val="single" w:sz="8" w:space="0" w:color="auto"/>
                    <w:right w:val="single" w:sz="8" w:space="0" w:color="auto"/>
                  </w:tcBorders>
                  <w:shd w:val="clear" w:color="auto" w:fill="92D050"/>
                  <w:tcMar>
                    <w:top w:w="15" w:type="dxa"/>
                    <w:left w:w="108" w:type="dxa"/>
                    <w:bottom w:w="0" w:type="dxa"/>
                    <w:right w:w="108" w:type="dxa"/>
                  </w:tcMar>
                  <w:hideMark/>
                </w:tcPr>
                <w:p w:rsidR="00C15657" w:rsidRPr="00AC6DE8" w:rsidRDefault="00C15657" w:rsidP="00C15657">
                  <w:pPr>
                    <w:jc w:val="center"/>
                    <w:textAlignment w:val="baseline"/>
                    <w:rPr>
                      <w:szCs w:val="24"/>
                      <w:lang w:eastAsia="lt-LT"/>
                    </w:rPr>
                  </w:pPr>
                  <w:r w:rsidRPr="00AC6DE8">
                    <w:rPr>
                      <w:szCs w:val="24"/>
                      <w:lang w:eastAsia="lt-LT"/>
                    </w:rPr>
                    <w:t>53,2</w:t>
                  </w:r>
                </w:p>
              </w:tc>
              <w:tc>
                <w:tcPr>
                  <w:tcW w:w="1456" w:type="dxa"/>
                  <w:tcBorders>
                    <w:top w:val="nil"/>
                    <w:left w:val="nil"/>
                    <w:bottom w:val="single" w:sz="8" w:space="0" w:color="auto"/>
                    <w:right w:val="single" w:sz="8" w:space="0" w:color="auto"/>
                  </w:tcBorders>
                  <w:shd w:val="clear" w:color="auto" w:fill="92D050"/>
                  <w:tcMar>
                    <w:top w:w="15" w:type="dxa"/>
                    <w:left w:w="108" w:type="dxa"/>
                    <w:bottom w:w="0" w:type="dxa"/>
                    <w:right w:w="108" w:type="dxa"/>
                  </w:tcMar>
                  <w:hideMark/>
                </w:tcPr>
                <w:p w:rsidR="00C15657" w:rsidRPr="00AC6DE8" w:rsidRDefault="00C15657" w:rsidP="00C15657">
                  <w:pPr>
                    <w:jc w:val="center"/>
                    <w:textAlignment w:val="baseline"/>
                    <w:rPr>
                      <w:szCs w:val="24"/>
                      <w:lang w:eastAsia="lt-LT"/>
                    </w:rPr>
                  </w:pPr>
                  <w:r w:rsidRPr="00AC6DE8">
                    <w:rPr>
                      <w:szCs w:val="24"/>
                      <w:lang w:eastAsia="lt-LT"/>
                    </w:rPr>
                    <w:t>+1,4</w:t>
                  </w:r>
                </w:p>
              </w:tc>
            </w:tr>
            <w:tr w:rsidR="00C15657" w:rsidRPr="00AC6DE8" w:rsidTr="006D3EF5">
              <w:trPr>
                <w:trHeight w:val="519"/>
              </w:trPr>
              <w:tc>
                <w:tcPr>
                  <w:tcW w:w="1975" w:type="dxa"/>
                  <w:tcBorders>
                    <w:top w:val="nil"/>
                    <w:left w:val="single" w:sz="8" w:space="0" w:color="auto"/>
                    <w:bottom w:val="single" w:sz="8" w:space="0" w:color="auto"/>
                    <w:right w:val="single" w:sz="8" w:space="0" w:color="auto"/>
                  </w:tcBorders>
                  <w:shd w:val="clear" w:color="auto" w:fill="5B9BD5"/>
                  <w:tcMar>
                    <w:top w:w="15" w:type="dxa"/>
                    <w:left w:w="108" w:type="dxa"/>
                    <w:bottom w:w="0" w:type="dxa"/>
                    <w:right w:w="108" w:type="dxa"/>
                  </w:tcMar>
                  <w:hideMark/>
                </w:tcPr>
                <w:p w:rsidR="00C15657" w:rsidRPr="00665248" w:rsidRDefault="00C15657" w:rsidP="00C15657">
                  <w:pPr>
                    <w:jc w:val="both"/>
                    <w:textAlignment w:val="baseline"/>
                    <w:rPr>
                      <w:szCs w:val="24"/>
                      <w:lang w:eastAsia="lt-LT"/>
                    </w:rPr>
                  </w:pPr>
                  <w:r w:rsidRPr="00665248">
                    <w:rPr>
                      <w:bCs/>
                      <w:szCs w:val="24"/>
                      <w:lang w:eastAsia="lt-LT"/>
                    </w:rPr>
                    <w:t>Rašymas (teksto kūrimas)</w:t>
                  </w:r>
                </w:p>
              </w:tc>
              <w:tc>
                <w:tcPr>
                  <w:tcW w:w="1004" w:type="dxa"/>
                  <w:tcBorders>
                    <w:top w:val="nil"/>
                    <w:left w:val="nil"/>
                    <w:bottom w:val="single" w:sz="8" w:space="0" w:color="auto"/>
                    <w:right w:val="single" w:sz="8" w:space="0" w:color="auto"/>
                  </w:tcBorders>
                  <w:shd w:val="clear" w:color="auto" w:fill="92D050"/>
                  <w:tcMar>
                    <w:top w:w="15" w:type="dxa"/>
                    <w:left w:w="108" w:type="dxa"/>
                    <w:bottom w:w="0" w:type="dxa"/>
                    <w:right w:w="108" w:type="dxa"/>
                  </w:tcMar>
                  <w:hideMark/>
                </w:tcPr>
                <w:p w:rsidR="00C15657" w:rsidRPr="00AC6DE8" w:rsidRDefault="00C15657" w:rsidP="00C15657">
                  <w:pPr>
                    <w:jc w:val="center"/>
                    <w:textAlignment w:val="baseline"/>
                    <w:rPr>
                      <w:szCs w:val="24"/>
                      <w:lang w:eastAsia="lt-LT"/>
                    </w:rPr>
                  </w:pPr>
                  <w:r w:rsidRPr="00AC6DE8">
                    <w:rPr>
                      <w:szCs w:val="24"/>
                      <w:lang w:eastAsia="lt-LT"/>
                    </w:rPr>
                    <w:t>74,7</w:t>
                  </w:r>
                </w:p>
              </w:tc>
              <w:tc>
                <w:tcPr>
                  <w:tcW w:w="1456" w:type="dxa"/>
                  <w:tcBorders>
                    <w:top w:val="nil"/>
                    <w:left w:val="nil"/>
                    <w:bottom w:val="single" w:sz="8" w:space="0" w:color="auto"/>
                    <w:right w:val="single" w:sz="8" w:space="0" w:color="auto"/>
                  </w:tcBorders>
                  <w:shd w:val="clear" w:color="auto" w:fill="92D050"/>
                  <w:tcMar>
                    <w:top w:w="15" w:type="dxa"/>
                    <w:left w:w="108" w:type="dxa"/>
                    <w:bottom w:w="0" w:type="dxa"/>
                    <w:right w:w="108" w:type="dxa"/>
                  </w:tcMar>
                  <w:hideMark/>
                </w:tcPr>
                <w:p w:rsidR="00C15657" w:rsidRPr="00AC6DE8" w:rsidRDefault="00C15657" w:rsidP="00C15657">
                  <w:pPr>
                    <w:jc w:val="center"/>
                    <w:textAlignment w:val="baseline"/>
                    <w:rPr>
                      <w:szCs w:val="24"/>
                      <w:lang w:eastAsia="lt-LT"/>
                    </w:rPr>
                  </w:pPr>
                  <w:r w:rsidRPr="00AC6DE8">
                    <w:rPr>
                      <w:szCs w:val="24"/>
                      <w:lang w:eastAsia="lt-LT"/>
                    </w:rPr>
                    <w:t>+0,1</w:t>
                  </w:r>
                </w:p>
              </w:tc>
              <w:tc>
                <w:tcPr>
                  <w:tcW w:w="1003" w:type="dxa"/>
                  <w:tcBorders>
                    <w:top w:val="nil"/>
                    <w:left w:val="nil"/>
                    <w:bottom w:val="single" w:sz="8" w:space="0" w:color="auto"/>
                    <w:right w:val="single" w:sz="8" w:space="0" w:color="auto"/>
                  </w:tcBorders>
                  <w:shd w:val="clear" w:color="auto" w:fill="C6D9F1"/>
                  <w:tcMar>
                    <w:top w:w="15" w:type="dxa"/>
                    <w:left w:w="108" w:type="dxa"/>
                    <w:bottom w:w="0" w:type="dxa"/>
                    <w:right w:w="108" w:type="dxa"/>
                  </w:tcMar>
                  <w:hideMark/>
                </w:tcPr>
                <w:p w:rsidR="00C15657" w:rsidRPr="00AC6DE8" w:rsidRDefault="00C15657" w:rsidP="00C15657">
                  <w:pPr>
                    <w:jc w:val="center"/>
                    <w:textAlignment w:val="baseline"/>
                    <w:rPr>
                      <w:szCs w:val="24"/>
                      <w:lang w:eastAsia="lt-LT"/>
                    </w:rPr>
                  </w:pPr>
                  <w:r w:rsidRPr="00AC6DE8">
                    <w:rPr>
                      <w:szCs w:val="24"/>
                      <w:lang w:eastAsia="lt-LT"/>
                    </w:rPr>
                    <w:t>51,0</w:t>
                  </w:r>
                </w:p>
              </w:tc>
              <w:tc>
                <w:tcPr>
                  <w:tcW w:w="1456" w:type="dxa"/>
                  <w:tcBorders>
                    <w:top w:val="nil"/>
                    <w:left w:val="nil"/>
                    <w:bottom w:val="single" w:sz="8" w:space="0" w:color="auto"/>
                    <w:right w:val="single" w:sz="8" w:space="0" w:color="auto"/>
                  </w:tcBorders>
                  <w:shd w:val="clear" w:color="auto" w:fill="C6D9F1"/>
                  <w:tcMar>
                    <w:top w:w="15" w:type="dxa"/>
                    <w:left w:w="108" w:type="dxa"/>
                    <w:bottom w:w="0" w:type="dxa"/>
                    <w:right w:w="108" w:type="dxa"/>
                  </w:tcMar>
                  <w:hideMark/>
                </w:tcPr>
                <w:p w:rsidR="00C15657" w:rsidRPr="00AC6DE8" w:rsidRDefault="00C15657" w:rsidP="00C15657">
                  <w:pPr>
                    <w:jc w:val="center"/>
                    <w:textAlignment w:val="baseline"/>
                    <w:rPr>
                      <w:szCs w:val="24"/>
                      <w:lang w:eastAsia="lt-LT"/>
                    </w:rPr>
                  </w:pPr>
                  <w:r w:rsidRPr="00AC6DE8">
                    <w:rPr>
                      <w:szCs w:val="24"/>
                      <w:lang w:eastAsia="lt-LT"/>
                    </w:rPr>
                    <w:t>-4,4</w:t>
                  </w:r>
                </w:p>
              </w:tc>
              <w:tc>
                <w:tcPr>
                  <w:tcW w:w="1007" w:type="dxa"/>
                  <w:tcBorders>
                    <w:top w:val="nil"/>
                    <w:left w:val="nil"/>
                    <w:bottom w:val="single" w:sz="8" w:space="0" w:color="auto"/>
                    <w:right w:val="single" w:sz="8" w:space="0" w:color="auto"/>
                  </w:tcBorders>
                  <w:shd w:val="clear" w:color="auto" w:fill="92D050"/>
                  <w:tcMar>
                    <w:top w:w="15" w:type="dxa"/>
                    <w:left w:w="108" w:type="dxa"/>
                    <w:bottom w:w="0" w:type="dxa"/>
                    <w:right w:w="108" w:type="dxa"/>
                  </w:tcMar>
                  <w:hideMark/>
                </w:tcPr>
                <w:p w:rsidR="00C15657" w:rsidRPr="00AC6DE8" w:rsidRDefault="00C15657" w:rsidP="00C15657">
                  <w:pPr>
                    <w:jc w:val="center"/>
                    <w:textAlignment w:val="baseline"/>
                    <w:rPr>
                      <w:szCs w:val="24"/>
                      <w:lang w:eastAsia="lt-LT"/>
                    </w:rPr>
                  </w:pPr>
                  <w:r w:rsidRPr="00AC6DE8">
                    <w:rPr>
                      <w:szCs w:val="24"/>
                      <w:lang w:eastAsia="lt-LT"/>
                    </w:rPr>
                    <w:t>44,6</w:t>
                  </w:r>
                </w:p>
              </w:tc>
              <w:tc>
                <w:tcPr>
                  <w:tcW w:w="1456" w:type="dxa"/>
                  <w:tcBorders>
                    <w:top w:val="nil"/>
                    <w:left w:val="nil"/>
                    <w:bottom w:val="single" w:sz="8" w:space="0" w:color="auto"/>
                    <w:right w:val="single" w:sz="8" w:space="0" w:color="auto"/>
                  </w:tcBorders>
                  <w:shd w:val="clear" w:color="auto" w:fill="92D050"/>
                  <w:tcMar>
                    <w:top w:w="15" w:type="dxa"/>
                    <w:left w:w="108" w:type="dxa"/>
                    <w:bottom w:w="0" w:type="dxa"/>
                    <w:right w:w="108" w:type="dxa"/>
                  </w:tcMar>
                  <w:hideMark/>
                </w:tcPr>
                <w:p w:rsidR="00C15657" w:rsidRPr="00AC6DE8" w:rsidRDefault="00C15657" w:rsidP="00C15657">
                  <w:pPr>
                    <w:jc w:val="center"/>
                    <w:textAlignment w:val="baseline"/>
                    <w:rPr>
                      <w:szCs w:val="24"/>
                      <w:lang w:eastAsia="lt-LT"/>
                    </w:rPr>
                  </w:pPr>
                  <w:r w:rsidRPr="00AC6DE8">
                    <w:rPr>
                      <w:szCs w:val="24"/>
                      <w:lang w:eastAsia="lt-LT"/>
                    </w:rPr>
                    <w:t>+2,3</w:t>
                  </w:r>
                </w:p>
              </w:tc>
            </w:tr>
            <w:tr w:rsidR="00C15657" w:rsidRPr="00AC6DE8" w:rsidTr="006D3EF5">
              <w:trPr>
                <w:trHeight w:val="813"/>
              </w:trPr>
              <w:tc>
                <w:tcPr>
                  <w:tcW w:w="1975" w:type="dxa"/>
                  <w:tcBorders>
                    <w:top w:val="nil"/>
                    <w:left w:val="single" w:sz="8" w:space="0" w:color="auto"/>
                    <w:bottom w:val="single" w:sz="8" w:space="0" w:color="auto"/>
                    <w:right w:val="single" w:sz="8" w:space="0" w:color="auto"/>
                  </w:tcBorders>
                  <w:shd w:val="clear" w:color="auto" w:fill="5B9BD5"/>
                  <w:tcMar>
                    <w:top w:w="15" w:type="dxa"/>
                    <w:left w:w="108" w:type="dxa"/>
                    <w:bottom w:w="0" w:type="dxa"/>
                    <w:right w:w="108" w:type="dxa"/>
                  </w:tcMar>
                  <w:hideMark/>
                </w:tcPr>
                <w:p w:rsidR="00C15657" w:rsidRPr="00665248" w:rsidRDefault="00C15657" w:rsidP="00C15657">
                  <w:pPr>
                    <w:jc w:val="both"/>
                    <w:textAlignment w:val="baseline"/>
                    <w:rPr>
                      <w:szCs w:val="24"/>
                      <w:lang w:eastAsia="lt-LT"/>
                    </w:rPr>
                  </w:pPr>
                  <w:r w:rsidRPr="00665248">
                    <w:rPr>
                      <w:bCs/>
                      <w:szCs w:val="24"/>
                      <w:lang w:eastAsia="lt-LT"/>
                    </w:rPr>
                    <w:t>Rašymas (kalbos sandaros pažin</w:t>
                  </w:r>
                  <w:r w:rsidRPr="00665248">
                    <w:rPr>
                      <w:bCs/>
                      <w:szCs w:val="24"/>
                      <w:lang w:eastAsia="lt-LT"/>
                    </w:rPr>
                    <w:t>i</w:t>
                  </w:r>
                  <w:r w:rsidRPr="00665248">
                    <w:rPr>
                      <w:bCs/>
                      <w:szCs w:val="24"/>
                      <w:lang w:eastAsia="lt-LT"/>
                    </w:rPr>
                    <w:t>mas)</w:t>
                  </w:r>
                </w:p>
              </w:tc>
              <w:tc>
                <w:tcPr>
                  <w:tcW w:w="1004" w:type="dxa"/>
                  <w:tcBorders>
                    <w:top w:val="nil"/>
                    <w:left w:val="nil"/>
                    <w:bottom w:val="single" w:sz="8" w:space="0" w:color="auto"/>
                    <w:right w:val="single" w:sz="8" w:space="0" w:color="auto"/>
                  </w:tcBorders>
                  <w:shd w:val="clear" w:color="auto" w:fill="C6D9F1"/>
                  <w:tcMar>
                    <w:top w:w="15" w:type="dxa"/>
                    <w:left w:w="108" w:type="dxa"/>
                    <w:bottom w:w="0" w:type="dxa"/>
                    <w:right w:w="108" w:type="dxa"/>
                  </w:tcMar>
                  <w:hideMark/>
                </w:tcPr>
                <w:p w:rsidR="00C15657" w:rsidRPr="00AC6DE8" w:rsidRDefault="00C15657" w:rsidP="00C15657">
                  <w:pPr>
                    <w:jc w:val="center"/>
                    <w:textAlignment w:val="baseline"/>
                    <w:rPr>
                      <w:szCs w:val="24"/>
                      <w:lang w:eastAsia="lt-LT"/>
                    </w:rPr>
                  </w:pPr>
                  <w:r w:rsidRPr="00AC6DE8">
                    <w:rPr>
                      <w:szCs w:val="24"/>
                      <w:lang w:eastAsia="lt-LT"/>
                    </w:rPr>
                    <w:t>74,3</w:t>
                  </w:r>
                </w:p>
              </w:tc>
              <w:tc>
                <w:tcPr>
                  <w:tcW w:w="1456" w:type="dxa"/>
                  <w:tcBorders>
                    <w:top w:val="nil"/>
                    <w:left w:val="nil"/>
                    <w:bottom w:val="single" w:sz="8" w:space="0" w:color="auto"/>
                    <w:right w:val="single" w:sz="8" w:space="0" w:color="auto"/>
                  </w:tcBorders>
                  <w:shd w:val="clear" w:color="auto" w:fill="C6D9F1"/>
                  <w:tcMar>
                    <w:top w:w="15" w:type="dxa"/>
                    <w:left w:w="108" w:type="dxa"/>
                    <w:bottom w:w="0" w:type="dxa"/>
                    <w:right w:w="108" w:type="dxa"/>
                  </w:tcMar>
                  <w:hideMark/>
                </w:tcPr>
                <w:p w:rsidR="00C15657" w:rsidRPr="00AC6DE8" w:rsidRDefault="00C15657" w:rsidP="00C15657">
                  <w:pPr>
                    <w:jc w:val="center"/>
                    <w:textAlignment w:val="baseline"/>
                    <w:rPr>
                      <w:szCs w:val="24"/>
                      <w:lang w:eastAsia="lt-LT"/>
                    </w:rPr>
                  </w:pPr>
                  <w:r w:rsidRPr="00AC6DE8">
                    <w:rPr>
                      <w:szCs w:val="24"/>
                      <w:lang w:eastAsia="lt-LT"/>
                    </w:rPr>
                    <w:t>-4,9</w:t>
                  </w:r>
                </w:p>
              </w:tc>
              <w:tc>
                <w:tcPr>
                  <w:tcW w:w="1003" w:type="dxa"/>
                  <w:tcBorders>
                    <w:top w:val="nil"/>
                    <w:left w:val="nil"/>
                    <w:bottom w:val="single" w:sz="8" w:space="0" w:color="auto"/>
                    <w:right w:val="single" w:sz="8" w:space="0" w:color="auto"/>
                  </w:tcBorders>
                  <w:shd w:val="clear" w:color="auto" w:fill="C6D9F1"/>
                  <w:hideMark/>
                </w:tcPr>
                <w:p w:rsidR="00C15657" w:rsidRPr="00AC6DE8" w:rsidRDefault="00C15657" w:rsidP="00C15657">
                  <w:pPr>
                    <w:jc w:val="center"/>
                    <w:textAlignment w:val="baseline"/>
                    <w:rPr>
                      <w:szCs w:val="24"/>
                      <w:lang w:eastAsia="lt-LT"/>
                    </w:rPr>
                  </w:pPr>
                  <w:r w:rsidRPr="00AC6DE8">
                    <w:rPr>
                      <w:szCs w:val="24"/>
                      <w:lang w:eastAsia="lt-LT"/>
                    </w:rPr>
                    <w:t>-</w:t>
                  </w:r>
                </w:p>
              </w:tc>
              <w:tc>
                <w:tcPr>
                  <w:tcW w:w="1456" w:type="dxa"/>
                  <w:tcBorders>
                    <w:top w:val="nil"/>
                    <w:left w:val="nil"/>
                    <w:bottom w:val="single" w:sz="8" w:space="0" w:color="auto"/>
                    <w:right w:val="single" w:sz="8" w:space="0" w:color="auto"/>
                  </w:tcBorders>
                  <w:shd w:val="clear" w:color="auto" w:fill="C6D9F1"/>
                  <w:hideMark/>
                </w:tcPr>
                <w:p w:rsidR="00C15657" w:rsidRPr="00AC6DE8" w:rsidRDefault="00C15657" w:rsidP="00C15657">
                  <w:pPr>
                    <w:jc w:val="center"/>
                    <w:textAlignment w:val="baseline"/>
                    <w:rPr>
                      <w:szCs w:val="24"/>
                      <w:lang w:eastAsia="lt-LT"/>
                    </w:rPr>
                  </w:pPr>
                  <w:r w:rsidRPr="00AC6DE8">
                    <w:rPr>
                      <w:szCs w:val="24"/>
                      <w:lang w:eastAsia="lt-LT"/>
                    </w:rPr>
                    <w:t>-</w:t>
                  </w:r>
                </w:p>
              </w:tc>
              <w:tc>
                <w:tcPr>
                  <w:tcW w:w="1007" w:type="dxa"/>
                  <w:tcBorders>
                    <w:top w:val="nil"/>
                    <w:left w:val="nil"/>
                    <w:bottom w:val="single" w:sz="8" w:space="0" w:color="auto"/>
                    <w:right w:val="single" w:sz="8" w:space="0" w:color="auto"/>
                  </w:tcBorders>
                  <w:shd w:val="clear" w:color="auto" w:fill="C6D9F1"/>
                  <w:hideMark/>
                </w:tcPr>
                <w:p w:rsidR="00C15657" w:rsidRPr="00AC6DE8" w:rsidRDefault="00C15657" w:rsidP="00C15657">
                  <w:pPr>
                    <w:jc w:val="center"/>
                    <w:textAlignment w:val="baseline"/>
                    <w:rPr>
                      <w:szCs w:val="24"/>
                      <w:lang w:eastAsia="lt-LT"/>
                    </w:rPr>
                  </w:pPr>
                  <w:r w:rsidRPr="00AC6DE8">
                    <w:rPr>
                      <w:szCs w:val="24"/>
                      <w:lang w:eastAsia="lt-LT"/>
                    </w:rPr>
                    <w:t>-</w:t>
                  </w:r>
                </w:p>
              </w:tc>
              <w:tc>
                <w:tcPr>
                  <w:tcW w:w="1456" w:type="dxa"/>
                  <w:tcBorders>
                    <w:top w:val="nil"/>
                    <w:left w:val="nil"/>
                    <w:bottom w:val="single" w:sz="8" w:space="0" w:color="auto"/>
                    <w:right w:val="single" w:sz="8" w:space="0" w:color="auto"/>
                  </w:tcBorders>
                  <w:shd w:val="clear" w:color="auto" w:fill="C6D9F1"/>
                  <w:hideMark/>
                </w:tcPr>
                <w:p w:rsidR="00C15657" w:rsidRPr="00AC6DE8" w:rsidRDefault="00C15657" w:rsidP="00C15657">
                  <w:pPr>
                    <w:jc w:val="center"/>
                    <w:textAlignment w:val="baseline"/>
                    <w:rPr>
                      <w:szCs w:val="24"/>
                      <w:lang w:eastAsia="lt-LT"/>
                    </w:rPr>
                  </w:pPr>
                  <w:r w:rsidRPr="00AC6DE8">
                    <w:rPr>
                      <w:szCs w:val="24"/>
                      <w:lang w:eastAsia="lt-LT"/>
                    </w:rPr>
                    <w:t>-</w:t>
                  </w:r>
                </w:p>
              </w:tc>
            </w:tr>
            <w:tr w:rsidR="00C15657" w:rsidRPr="00AC6DE8" w:rsidTr="006D3EF5">
              <w:trPr>
                <w:trHeight w:val="511"/>
              </w:trPr>
              <w:tc>
                <w:tcPr>
                  <w:tcW w:w="1975" w:type="dxa"/>
                  <w:tcBorders>
                    <w:top w:val="nil"/>
                    <w:left w:val="single" w:sz="8" w:space="0" w:color="auto"/>
                    <w:bottom w:val="single" w:sz="8" w:space="0" w:color="auto"/>
                    <w:right w:val="single" w:sz="8" w:space="0" w:color="auto"/>
                  </w:tcBorders>
                  <w:shd w:val="clear" w:color="auto" w:fill="5B9BD5"/>
                  <w:tcMar>
                    <w:top w:w="15" w:type="dxa"/>
                    <w:left w:w="108" w:type="dxa"/>
                    <w:bottom w:w="0" w:type="dxa"/>
                    <w:right w:w="108" w:type="dxa"/>
                  </w:tcMar>
                  <w:hideMark/>
                </w:tcPr>
                <w:p w:rsidR="00C15657" w:rsidRPr="00665248" w:rsidRDefault="00C15657" w:rsidP="00C15657">
                  <w:pPr>
                    <w:jc w:val="both"/>
                    <w:textAlignment w:val="baseline"/>
                    <w:rPr>
                      <w:szCs w:val="24"/>
                      <w:lang w:eastAsia="lt-LT"/>
                    </w:rPr>
                  </w:pPr>
                  <w:r w:rsidRPr="00665248">
                    <w:rPr>
                      <w:bCs/>
                      <w:szCs w:val="24"/>
                      <w:lang w:eastAsia="lt-LT"/>
                    </w:rPr>
                    <w:t>Pasaulio pažin</w:t>
                  </w:r>
                  <w:r w:rsidRPr="00665248">
                    <w:rPr>
                      <w:bCs/>
                      <w:szCs w:val="24"/>
                      <w:lang w:eastAsia="lt-LT"/>
                    </w:rPr>
                    <w:t>i</w:t>
                  </w:r>
                  <w:r w:rsidRPr="00665248">
                    <w:rPr>
                      <w:bCs/>
                      <w:szCs w:val="24"/>
                      <w:lang w:eastAsia="lt-LT"/>
                    </w:rPr>
                    <w:t>mas</w:t>
                  </w:r>
                </w:p>
              </w:tc>
              <w:tc>
                <w:tcPr>
                  <w:tcW w:w="1004" w:type="dxa"/>
                  <w:tcBorders>
                    <w:top w:val="nil"/>
                    <w:left w:val="nil"/>
                    <w:bottom w:val="single" w:sz="8" w:space="0" w:color="auto"/>
                    <w:right w:val="single" w:sz="8" w:space="0" w:color="auto"/>
                  </w:tcBorders>
                  <w:shd w:val="clear" w:color="auto" w:fill="C6D9F1"/>
                  <w:tcMar>
                    <w:top w:w="15" w:type="dxa"/>
                    <w:left w:w="108" w:type="dxa"/>
                    <w:bottom w:w="0" w:type="dxa"/>
                    <w:right w:w="108" w:type="dxa"/>
                  </w:tcMar>
                  <w:hideMark/>
                </w:tcPr>
                <w:p w:rsidR="00C15657" w:rsidRPr="00AC6DE8" w:rsidRDefault="00C15657" w:rsidP="00C15657">
                  <w:pPr>
                    <w:jc w:val="center"/>
                    <w:textAlignment w:val="baseline"/>
                    <w:rPr>
                      <w:szCs w:val="24"/>
                      <w:lang w:eastAsia="lt-LT"/>
                    </w:rPr>
                  </w:pPr>
                  <w:r w:rsidRPr="00AC6DE8">
                    <w:rPr>
                      <w:szCs w:val="24"/>
                      <w:lang w:eastAsia="lt-LT"/>
                    </w:rPr>
                    <w:t>-</w:t>
                  </w:r>
                </w:p>
              </w:tc>
              <w:tc>
                <w:tcPr>
                  <w:tcW w:w="1456" w:type="dxa"/>
                  <w:tcBorders>
                    <w:top w:val="nil"/>
                    <w:left w:val="nil"/>
                    <w:bottom w:val="single" w:sz="8" w:space="0" w:color="auto"/>
                    <w:right w:val="single" w:sz="8" w:space="0" w:color="auto"/>
                  </w:tcBorders>
                  <w:shd w:val="clear" w:color="auto" w:fill="C6D9F1"/>
                  <w:tcMar>
                    <w:top w:w="15" w:type="dxa"/>
                    <w:left w:w="108" w:type="dxa"/>
                    <w:bottom w:w="0" w:type="dxa"/>
                    <w:right w:w="108" w:type="dxa"/>
                  </w:tcMar>
                  <w:hideMark/>
                </w:tcPr>
                <w:p w:rsidR="00C15657" w:rsidRPr="00AC6DE8" w:rsidRDefault="00C15657" w:rsidP="00C15657">
                  <w:pPr>
                    <w:jc w:val="center"/>
                    <w:textAlignment w:val="baseline"/>
                    <w:rPr>
                      <w:szCs w:val="24"/>
                      <w:lang w:eastAsia="lt-LT"/>
                    </w:rPr>
                  </w:pPr>
                  <w:r w:rsidRPr="00AC6DE8">
                    <w:rPr>
                      <w:szCs w:val="24"/>
                      <w:lang w:eastAsia="lt-LT"/>
                    </w:rPr>
                    <w:t>-</w:t>
                  </w:r>
                </w:p>
              </w:tc>
              <w:tc>
                <w:tcPr>
                  <w:tcW w:w="1003" w:type="dxa"/>
                  <w:tcBorders>
                    <w:top w:val="nil"/>
                    <w:left w:val="nil"/>
                    <w:bottom w:val="single" w:sz="8" w:space="0" w:color="auto"/>
                    <w:right w:val="single" w:sz="8" w:space="0" w:color="auto"/>
                  </w:tcBorders>
                  <w:shd w:val="clear" w:color="auto" w:fill="92D050"/>
                  <w:tcMar>
                    <w:top w:w="15" w:type="dxa"/>
                    <w:left w:w="108" w:type="dxa"/>
                    <w:bottom w:w="0" w:type="dxa"/>
                    <w:right w:w="108" w:type="dxa"/>
                  </w:tcMar>
                  <w:hideMark/>
                </w:tcPr>
                <w:p w:rsidR="00C15657" w:rsidRPr="00AC6DE8" w:rsidRDefault="00C15657" w:rsidP="00C15657">
                  <w:pPr>
                    <w:jc w:val="center"/>
                    <w:textAlignment w:val="baseline"/>
                    <w:rPr>
                      <w:szCs w:val="24"/>
                      <w:lang w:eastAsia="lt-LT"/>
                    </w:rPr>
                  </w:pPr>
                  <w:r w:rsidRPr="00AC6DE8">
                    <w:rPr>
                      <w:szCs w:val="24"/>
                      <w:lang w:eastAsia="lt-LT"/>
                    </w:rPr>
                    <w:t>60,8</w:t>
                  </w:r>
                </w:p>
              </w:tc>
              <w:tc>
                <w:tcPr>
                  <w:tcW w:w="1456" w:type="dxa"/>
                  <w:tcBorders>
                    <w:top w:val="nil"/>
                    <w:left w:val="nil"/>
                    <w:bottom w:val="single" w:sz="8" w:space="0" w:color="auto"/>
                    <w:right w:val="single" w:sz="8" w:space="0" w:color="auto"/>
                  </w:tcBorders>
                  <w:shd w:val="clear" w:color="auto" w:fill="92D050"/>
                  <w:tcMar>
                    <w:top w:w="15" w:type="dxa"/>
                    <w:left w:w="108" w:type="dxa"/>
                    <w:bottom w:w="0" w:type="dxa"/>
                    <w:right w:w="108" w:type="dxa"/>
                  </w:tcMar>
                  <w:hideMark/>
                </w:tcPr>
                <w:p w:rsidR="00C15657" w:rsidRPr="00AC6DE8" w:rsidRDefault="00C15657" w:rsidP="00C15657">
                  <w:pPr>
                    <w:jc w:val="center"/>
                    <w:textAlignment w:val="baseline"/>
                    <w:rPr>
                      <w:szCs w:val="24"/>
                      <w:lang w:eastAsia="lt-LT"/>
                    </w:rPr>
                  </w:pPr>
                  <w:r w:rsidRPr="00AC6DE8">
                    <w:rPr>
                      <w:szCs w:val="24"/>
                      <w:lang w:eastAsia="lt-LT"/>
                    </w:rPr>
                    <w:t>+13,7</w:t>
                  </w:r>
                </w:p>
              </w:tc>
              <w:tc>
                <w:tcPr>
                  <w:tcW w:w="1007" w:type="dxa"/>
                  <w:tcBorders>
                    <w:top w:val="nil"/>
                    <w:left w:val="nil"/>
                    <w:bottom w:val="single" w:sz="8" w:space="0" w:color="auto"/>
                    <w:right w:val="single" w:sz="8" w:space="0" w:color="auto"/>
                  </w:tcBorders>
                  <w:shd w:val="clear" w:color="auto" w:fill="C6D9F1"/>
                  <w:tcMar>
                    <w:top w:w="15" w:type="dxa"/>
                    <w:left w:w="108" w:type="dxa"/>
                    <w:bottom w:w="0" w:type="dxa"/>
                    <w:right w:w="108" w:type="dxa"/>
                  </w:tcMar>
                  <w:hideMark/>
                </w:tcPr>
                <w:p w:rsidR="00C15657" w:rsidRPr="00AC6DE8" w:rsidRDefault="00C15657" w:rsidP="00C15657">
                  <w:pPr>
                    <w:jc w:val="center"/>
                    <w:textAlignment w:val="baseline"/>
                    <w:rPr>
                      <w:szCs w:val="24"/>
                      <w:lang w:eastAsia="lt-LT"/>
                    </w:rPr>
                  </w:pPr>
                  <w:r w:rsidRPr="00AC6DE8">
                    <w:rPr>
                      <w:szCs w:val="24"/>
                      <w:lang w:eastAsia="lt-LT"/>
                    </w:rPr>
                    <w:t>-</w:t>
                  </w:r>
                </w:p>
              </w:tc>
              <w:tc>
                <w:tcPr>
                  <w:tcW w:w="1456" w:type="dxa"/>
                  <w:tcBorders>
                    <w:top w:val="nil"/>
                    <w:left w:val="nil"/>
                    <w:bottom w:val="single" w:sz="8" w:space="0" w:color="auto"/>
                    <w:right w:val="single" w:sz="8" w:space="0" w:color="auto"/>
                  </w:tcBorders>
                  <w:shd w:val="clear" w:color="auto" w:fill="C6D9F1"/>
                  <w:tcMar>
                    <w:top w:w="15" w:type="dxa"/>
                    <w:left w:w="108" w:type="dxa"/>
                    <w:bottom w:w="0" w:type="dxa"/>
                    <w:right w:w="108" w:type="dxa"/>
                  </w:tcMar>
                  <w:hideMark/>
                </w:tcPr>
                <w:p w:rsidR="00C15657" w:rsidRPr="00AC6DE8" w:rsidRDefault="00C15657" w:rsidP="00C15657">
                  <w:pPr>
                    <w:jc w:val="center"/>
                    <w:textAlignment w:val="baseline"/>
                    <w:rPr>
                      <w:szCs w:val="24"/>
                      <w:lang w:eastAsia="lt-LT"/>
                    </w:rPr>
                  </w:pPr>
                  <w:r w:rsidRPr="00AC6DE8">
                    <w:rPr>
                      <w:szCs w:val="24"/>
                      <w:lang w:eastAsia="lt-LT"/>
                    </w:rPr>
                    <w:t>-</w:t>
                  </w:r>
                </w:p>
              </w:tc>
            </w:tr>
          </w:tbl>
          <w:p w:rsidR="00C15657" w:rsidRPr="006D3EF5" w:rsidRDefault="00C15657" w:rsidP="00C15657">
            <w:pPr>
              <w:jc w:val="both"/>
              <w:textAlignment w:val="baseline"/>
              <w:rPr>
                <w:sz w:val="8"/>
                <w:szCs w:val="8"/>
                <w:lang w:eastAsia="lt-LT"/>
              </w:rPr>
            </w:pPr>
          </w:p>
          <w:p w:rsidR="00C15657" w:rsidRPr="00AC6DE8" w:rsidRDefault="00C15657" w:rsidP="00C15657">
            <w:pPr>
              <w:ind w:firstLine="601"/>
              <w:jc w:val="both"/>
              <w:textAlignment w:val="baseline"/>
              <w:rPr>
                <w:szCs w:val="24"/>
                <w:lang w:eastAsia="lt-LT"/>
              </w:rPr>
            </w:pPr>
            <w:r w:rsidRPr="00AC6DE8">
              <w:rPr>
                <w:szCs w:val="24"/>
                <w:lang w:eastAsia="lt-LT"/>
              </w:rPr>
              <w:t xml:space="preserve">Pagrindinio ugdymo pasiekimų patikrinime (PUPP) dalyvavo 23 gimnazijos II klasės mokiniai. Abiejų PUPP rezultatai aukštesni už Gimnazijos praeitų metų rezultatus: lietuvių kalbos ir literatūros – 1,01 balo, matematikos – 1,57 balo. </w:t>
            </w:r>
          </w:p>
          <w:p w:rsidR="006D3EF5" w:rsidRPr="006D3EF5" w:rsidRDefault="00C15657" w:rsidP="00954429">
            <w:pPr>
              <w:ind w:firstLine="601"/>
              <w:jc w:val="both"/>
              <w:textAlignment w:val="baseline"/>
              <w:rPr>
                <w:szCs w:val="24"/>
                <w:lang w:eastAsia="lt-LT"/>
              </w:rPr>
            </w:pPr>
            <w:r w:rsidRPr="00AC6DE8">
              <w:rPr>
                <w:szCs w:val="24"/>
                <w:lang w:eastAsia="lt-LT"/>
              </w:rPr>
              <w:t>Lyginant 2019 m. valstybinių brandos egzaminų rezultatus su praeitų mokslo metų rezultatais, tik geogr</w:t>
            </w:r>
            <w:r w:rsidR="006D3EF5">
              <w:rPr>
                <w:szCs w:val="24"/>
                <w:lang w:eastAsia="lt-LT"/>
              </w:rPr>
              <w:t>afijos VBE balai yra aukštesni.</w:t>
            </w:r>
          </w:p>
        </w:tc>
      </w:tr>
    </w:tbl>
    <w:p w:rsidR="00E32EE0" w:rsidRPr="001B3092" w:rsidRDefault="00E32EE0" w:rsidP="00722D08">
      <w:pPr>
        <w:overflowPunct w:val="0"/>
        <w:jc w:val="center"/>
        <w:textAlignment w:val="baseline"/>
        <w:rPr>
          <w:b/>
          <w:szCs w:val="24"/>
          <w:lang w:eastAsia="lt-LT"/>
        </w:rPr>
      </w:pPr>
    </w:p>
    <w:p w:rsidR="00722D08" w:rsidRDefault="00722D08" w:rsidP="00722D08">
      <w:pPr>
        <w:overflowPunct w:val="0"/>
        <w:jc w:val="center"/>
        <w:textAlignment w:val="baseline"/>
        <w:rPr>
          <w:b/>
          <w:szCs w:val="24"/>
          <w:lang w:eastAsia="lt-LT"/>
        </w:rPr>
      </w:pPr>
      <w:r>
        <w:rPr>
          <w:b/>
          <w:szCs w:val="24"/>
          <w:lang w:eastAsia="lt-LT"/>
        </w:rPr>
        <w:t>I SKYRIUS</w:t>
      </w:r>
    </w:p>
    <w:p w:rsidR="00722D08" w:rsidRPr="00267A6D" w:rsidRDefault="00265A7F" w:rsidP="00722D08">
      <w:pPr>
        <w:overflowPunct w:val="0"/>
        <w:jc w:val="center"/>
        <w:textAlignment w:val="baseline"/>
        <w:rPr>
          <w:b/>
          <w:szCs w:val="24"/>
          <w:lang w:eastAsia="lt-LT"/>
        </w:rPr>
      </w:pPr>
      <w:r w:rsidRPr="00267A6D">
        <w:rPr>
          <w:b/>
          <w:szCs w:val="24"/>
          <w:lang w:eastAsia="lt-LT"/>
        </w:rPr>
        <w:t xml:space="preserve">STRATEGINIO PLANO, </w:t>
      </w:r>
      <w:r w:rsidR="00722D08" w:rsidRPr="00267A6D">
        <w:rPr>
          <w:b/>
          <w:szCs w:val="24"/>
          <w:lang w:eastAsia="lt-LT"/>
        </w:rPr>
        <w:t xml:space="preserve">METINIO VEIKLOS PLANO </w:t>
      </w:r>
      <w:r w:rsidRPr="00267A6D">
        <w:rPr>
          <w:b/>
          <w:szCs w:val="24"/>
          <w:lang w:eastAsia="lt-LT"/>
        </w:rPr>
        <w:t>BEI PRIEMONIŲ MOKINIŲ P</w:t>
      </w:r>
      <w:r w:rsidRPr="00267A6D">
        <w:rPr>
          <w:b/>
          <w:szCs w:val="24"/>
          <w:lang w:eastAsia="lt-LT"/>
        </w:rPr>
        <w:t>A</w:t>
      </w:r>
      <w:r w:rsidRPr="00267A6D">
        <w:rPr>
          <w:b/>
          <w:szCs w:val="24"/>
          <w:lang w:eastAsia="lt-LT"/>
        </w:rPr>
        <w:t xml:space="preserve">SIEKIMAMS GERINTI </w:t>
      </w:r>
      <w:r w:rsidR="00722D08" w:rsidRPr="00267A6D">
        <w:rPr>
          <w:b/>
          <w:szCs w:val="24"/>
          <w:lang w:eastAsia="lt-LT"/>
        </w:rPr>
        <w:t>ĮGYVENDINIMAS</w:t>
      </w:r>
    </w:p>
    <w:p w:rsidR="00722D08" w:rsidRDefault="00722D08" w:rsidP="00722D08">
      <w:pPr>
        <w:overflowPunct w:val="0"/>
        <w:jc w:val="center"/>
        <w:textAlignment w:val="baseline"/>
        <w:rPr>
          <w:b/>
          <w:sz w:val="20"/>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76"/>
      </w:tblGrid>
      <w:tr w:rsidR="00722D08" w:rsidTr="00C54995">
        <w:tc>
          <w:tcPr>
            <w:tcW w:w="9776" w:type="dxa"/>
          </w:tcPr>
          <w:p w:rsidR="00722D08" w:rsidRPr="00B56B09" w:rsidRDefault="003E3E2D" w:rsidP="009B6CB5">
            <w:pPr>
              <w:overflowPunct w:val="0"/>
              <w:jc w:val="center"/>
              <w:textAlignment w:val="baseline"/>
              <w:rPr>
                <w:b/>
                <w:i/>
                <w:sz w:val="20"/>
                <w:lang w:eastAsia="lt-LT"/>
              </w:rPr>
            </w:pPr>
            <w:r w:rsidRPr="00B56B09">
              <w:rPr>
                <w:b/>
                <w:i/>
                <w:sz w:val="20"/>
                <w:lang w:eastAsia="lt-LT"/>
              </w:rPr>
              <w:t>(Trumpai aptariam</w:t>
            </w:r>
            <w:r w:rsidRPr="006C429E">
              <w:rPr>
                <w:b/>
                <w:i/>
                <w:sz w:val="20"/>
                <w:lang w:eastAsia="lt-LT"/>
              </w:rPr>
              <w:t>a</w:t>
            </w:r>
            <w:r w:rsidR="008B5647">
              <w:rPr>
                <w:b/>
                <w:i/>
                <w:sz w:val="20"/>
                <w:lang w:eastAsia="lt-LT"/>
              </w:rPr>
              <w:t xml:space="preserve"> </w:t>
            </w:r>
            <w:r w:rsidR="0059435B" w:rsidRPr="00B56B09">
              <w:rPr>
                <w:b/>
                <w:i/>
                <w:sz w:val="20"/>
                <w:lang w:eastAsia="lt-LT"/>
              </w:rPr>
              <w:t>švietimo įstaigos</w:t>
            </w:r>
            <w:r w:rsidR="008B5647">
              <w:rPr>
                <w:b/>
                <w:i/>
                <w:sz w:val="20"/>
                <w:lang w:eastAsia="lt-LT"/>
              </w:rPr>
              <w:t xml:space="preserve"> </w:t>
            </w:r>
            <w:r w:rsidRPr="00B56B09">
              <w:rPr>
                <w:b/>
                <w:i/>
                <w:sz w:val="20"/>
                <w:lang w:eastAsia="lt-LT"/>
              </w:rPr>
              <w:t>strateginio</w:t>
            </w:r>
            <w:r w:rsidR="0059435B" w:rsidRPr="00B56B09">
              <w:rPr>
                <w:b/>
                <w:i/>
                <w:sz w:val="20"/>
                <w:lang w:eastAsia="lt-LT"/>
              </w:rPr>
              <w:t xml:space="preserve"> plano ir</w:t>
            </w:r>
            <w:r w:rsidR="008B5647">
              <w:rPr>
                <w:b/>
                <w:i/>
                <w:sz w:val="20"/>
                <w:lang w:eastAsia="lt-LT"/>
              </w:rPr>
              <w:t xml:space="preserve"> </w:t>
            </w:r>
            <w:r w:rsidR="00722D08" w:rsidRPr="00B56B09">
              <w:rPr>
                <w:b/>
                <w:i/>
                <w:sz w:val="20"/>
                <w:lang w:eastAsia="lt-LT"/>
              </w:rPr>
              <w:t>metinio veiklos plano įgyvendinimo kryptys ir pateikiami svariausi rezultatai bei rodikliai</w:t>
            </w:r>
            <w:r w:rsidR="008B5647">
              <w:rPr>
                <w:b/>
                <w:i/>
                <w:sz w:val="20"/>
                <w:lang w:eastAsia="lt-LT"/>
              </w:rPr>
              <w:t xml:space="preserve">, </w:t>
            </w:r>
            <w:r w:rsidR="006B381D" w:rsidRPr="00B56B09">
              <w:rPr>
                <w:b/>
                <w:i/>
                <w:sz w:val="20"/>
                <w:lang w:eastAsia="lt-LT"/>
              </w:rPr>
              <w:t>priemonės mokinių pasiekimams gerinti bei jų rezultatai</w:t>
            </w:r>
            <w:r w:rsidR="00722D08" w:rsidRPr="00B56B09">
              <w:rPr>
                <w:b/>
                <w:i/>
                <w:sz w:val="20"/>
                <w:lang w:eastAsia="lt-LT"/>
              </w:rPr>
              <w:t>)</w:t>
            </w:r>
          </w:p>
          <w:p w:rsidR="00C15657" w:rsidRPr="00AC6DE8" w:rsidRDefault="00C15657" w:rsidP="00C15657">
            <w:pPr>
              <w:ind w:firstLine="454"/>
              <w:jc w:val="both"/>
              <w:textAlignment w:val="baseline"/>
              <w:rPr>
                <w:szCs w:val="24"/>
                <w:lang w:eastAsia="lt-LT"/>
              </w:rPr>
            </w:pPr>
            <w:r w:rsidRPr="00AC6DE8">
              <w:rPr>
                <w:b/>
                <w:bCs/>
                <w:szCs w:val="24"/>
                <w:lang w:eastAsia="lt-LT"/>
              </w:rPr>
              <w:t>Strateginio plano ir metinio veiklos plano įgyvendinimo kryptys ir svariausi rezultatai bei rodikliai</w:t>
            </w:r>
            <w:r w:rsidRPr="00AC6DE8">
              <w:rPr>
                <w:b/>
                <w:bCs/>
                <w:i/>
                <w:iCs/>
                <w:sz w:val="20"/>
                <w:lang w:eastAsia="lt-LT"/>
              </w:rPr>
              <w:t xml:space="preserve">. </w:t>
            </w:r>
            <w:r w:rsidRPr="00AC6DE8">
              <w:rPr>
                <w:szCs w:val="24"/>
                <w:lang w:eastAsia="lt-LT"/>
              </w:rPr>
              <w:t> Jiezno gimnazijos 2016–2018 m. strateginio plano pažangos rodiklių galutinį vert</w:t>
            </w:r>
            <w:r w:rsidRPr="00AC6DE8">
              <w:rPr>
                <w:szCs w:val="24"/>
                <w:lang w:eastAsia="lt-LT"/>
              </w:rPr>
              <w:t>i</w:t>
            </w:r>
            <w:r w:rsidRPr="00AC6DE8">
              <w:rPr>
                <w:szCs w:val="24"/>
                <w:lang w:eastAsia="lt-LT"/>
              </w:rPr>
              <w:t>nimą sudaryta grupė atliko ir pristatė 2019-02-04 Mokytojų tarybos posėdyje ir 2019-02-06 Gi</w:t>
            </w:r>
            <w:r w:rsidRPr="00AC6DE8">
              <w:rPr>
                <w:szCs w:val="24"/>
                <w:lang w:eastAsia="lt-LT"/>
              </w:rPr>
              <w:t>m</w:t>
            </w:r>
            <w:r w:rsidRPr="00AC6DE8">
              <w:rPr>
                <w:szCs w:val="24"/>
                <w:lang w:eastAsia="lt-LT"/>
              </w:rPr>
              <w:t xml:space="preserve">nazijos tarybos posėdyje. Įvertinus </w:t>
            </w:r>
            <w:r w:rsidRPr="006C429E">
              <w:rPr>
                <w:szCs w:val="24"/>
                <w:lang w:eastAsia="lt-LT"/>
              </w:rPr>
              <w:t xml:space="preserve">per strateginį laikotarpį </w:t>
            </w:r>
            <w:r w:rsidR="006C429E" w:rsidRPr="006C429E">
              <w:rPr>
                <w:szCs w:val="24"/>
                <w:lang w:eastAsia="lt-LT"/>
              </w:rPr>
              <w:t xml:space="preserve">pamatuotus </w:t>
            </w:r>
            <w:r w:rsidRPr="006C429E">
              <w:rPr>
                <w:szCs w:val="24"/>
                <w:lang w:eastAsia="lt-LT"/>
              </w:rPr>
              <w:t>pažangos rodiklius</w:t>
            </w:r>
            <w:r w:rsidRPr="00AC6DE8">
              <w:rPr>
                <w:szCs w:val="24"/>
                <w:lang w:eastAsia="lt-LT"/>
              </w:rPr>
              <w:t>, nustat</w:t>
            </w:r>
            <w:r w:rsidRPr="00AC6DE8">
              <w:rPr>
                <w:szCs w:val="24"/>
                <w:lang w:eastAsia="lt-LT"/>
              </w:rPr>
              <w:t>y</w:t>
            </w:r>
            <w:r w:rsidRPr="00AC6DE8">
              <w:rPr>
                <w:szCs w:val="24"/>
                <w:lang w:eastAsia="lt-LT"/>
              </w:rPr>
              <w:t>ta, kad pavyko pasiekti 81,3</w:t>
            </w:r>
            <w:r w:rsidR="00665248" w:rsidRPr="00AC6DE8">
              <w:rPr>
                <w:szCs w:val="24"/>
                <w:lang w:eastAsia="lt-LT"/>
              </w:rPr>
              <w:t>proc.</w:t>
            </w:r>
            <w:r w:rsidRPr="00AC6DE8">
              <w:rPr>
                <w:szCs w:val="24"/>
                <w:lang w:eastAsia="lt-LT"/>
              </w:rPr>
              <w:t xml:space="preserve"> (26 rodikliai) visų rodiklių planuotą pasiekimų lygmenį, 18,7</w:t>
            </w:r>
            <w:r w:rsidR="00665248" w:rsidRPr="00AC6DE8">
              <w:rPr>
                <w:szCs w:val="24"/>
                <w:lang w:eastAsia="lt-LT"/>
              </w:rPr>
              <w:t>proc.</w:t>
            </w:r>
            <w:r w:rsidRPr="00AC6DE8">
              <w:rPr>
                <w:szCs w:val="24"/>
                <w:lang w:eastAsia="lt-LT"/>
              </w:rPr>
              <w:t xml:space="preserve"> – pasiekta iš dalies (6 rodikliai), nė vienas rodiklis nebuvo įvertintas „nepasiekta“ (iš 32 pažangos rodiklių). Atsižvelgiant į strateginio plano daugumos pažangos rodiklių planuotą pasi</w:t>
            </w:r>
            <w:r w:rsidRPr="00AC6DE8">
              <w:rPr>
                <w:szCs w:val="24"/>
                <w:lang w:eastAsia="lt-LT"/>
              </w:rPr>
              <w:t>e</w:t>
            </w:r>
            <w:r w:rsidRPr="00AC6DE8">
              <w:rPr>
                <w:szCs w:val="24"/>
                <w:lang w:eastAsia="lt-LT"/>
              </w:rPr>
              <w:t>kimų lygmenį „pasiekta“ arba „iš dalies pasiekta“, strateginio plano įgyvendinimas minėtų tarybų posėdžiuose buvo vertinamas „labai gerai“. Jiezno gimnazijos 2019–20</w:t>
            </w:r>
            <w:r w:rsidRPr="00AC6DE8">
              <w:rPr>
                <w:szCs w:val="24"/>
                <w:lang w:val="en-US" w:eastAsia="lt-LT"/>
              </w:rPr>
              <w:t>2</w:t>
            </w:r>
            <w:r w:rsidRPr="00AC6DE8">
              <w:rPr>
                <w:szCs w:val="24"/>
                <w:lang w:eastAsia="lt-LT"/>
              </w:rPr>
              <w:t>1 m. strateginiame plane numatytos trys st</w:t>
            </w:r>
            <w:r w:rsidR="00165259">
              <w:rPr>
                <w:szCs w:val="24"/>
                <w:lang w:eastAsia="lt-LT"/>
              </w:rPr>
              <w:t>r</w:t>
            </w:r>
            <w:r w:rsidRPr="00AC6DE8">
              <w:rPr>
                <w:szCs w:val="24"/>
                <w:lang w:eastAsia="lt-LT"/>
              </w:rPr>
              <w:t>ateginės kryptys (tikslai): 1. Užtikrinti saugios ir šiuolaikiškos ugdymo(si) apli</w:t>
            </w:r>
            <w:r w:rsidRPr="00AC6DE8">
              <w:rPr>
                <w:szCs w:val="24"/>
                <w:lang w:eastAsia="lt-LT"/>
              </w:rPr>
              <w:t>n</w:t>
            </w:r>
            <w:r w:rsidRPr="00AC6DE8">
              <w:rPr>
                <w:szCs w:val="24"/>
                <w:lang w:eastAsia="lt-LT"/>
              </w:rPr>
              <w:t>kos tvarumą, kuri tenkintų Gimnazijos bendruomenės poreikius; 2. Drąsinti kiekvieno bendruom</w:t>
            </w:r>
            <w:r w:rsidRPr="00AC6DE8">
              <w:rPr>
                <w:szCs w:val="24"/>
                <w:lang w:eastAsia="lt-LT"/>
              </w:rPr>
              <w:t>e</w:t>
            </w:r>
            <w:r w:rsidRPr="00AC6DE8">
              <w:rPr>
                <w:szCs w:val="24"/>
                <w:lang w:eastAsia="lt-LT"/>
              </w:rPr>
              <w:t>nės nario augimą ir sėkmę, kuriant savitą veiklos ritmą; 3. Keisti pedagogų metodinio bendrada</w:t>
            </w:r>
            <w:r w:rsidRPr="00AC6DE8">
              <w:rPr>
                <w:szCs w:val="24"/>
                <w:lang w:eastAsia="lt-LT"/>
              </w:rPr>
              <w:t>r</w:t>
            </w:r>
            <w:r w:rsidRPr="00AC6DE8">
              <w:rPr>
                <w:szCs w:val="24"/>
                <w:lang w:eastAsia="lt-LT"/>
              </w:rPr>
              <w:lastRenderedPageBreak/>
              <w:t xml:space="preserve">biavimo praktikas, palaikant dalijimąsi intelektualiniais resursais bei patirtimi. Po vienerių metų strategijos įgyvendinimo laikotarpio pažangos rodiklių vertinimui atlikti sudarytos darbo grupės, kurios pagal turimus duomenis (2019 m. plačiojo įsivertinimo ataskaitą, giluminio vertinimo sričių išvadas, tėvų, mokinių klausimynų duomenis IQES </w:t>
            </w:r>
            <w:proofErr w:type="spellStart"/>
            <w:r w:rsidRPr="00AC6DE8">
              <w:rPr>
                <w:szCs w:val="24"/>
                <w:lang w:eastAsia="lt-LT"/>
              </w:rPr>
              <w:t>online</w:t>
            </w:r>
            <w:proofErr w:type="spellEnd"/>
            <w:r w:rsidRPr="00AC6DE8">
              <w:rPr>
                <w:szCs w:val="24"/>
                <w:lang w:eastAsia="lt-LT"/>
              </w:rPr>
              <w:t xml:space="preserve"> sistemoje, surinktus tikslingai Mokyklos pažangos anketai pildyti bei kitais būdais rinktus Gimnazijos bendruomenės nuomonę iliustruoja</w:t>
            </w:r>
            <w:r w:rsidRPr="00AC6DE8">
              <w:rPr>
                <w:szCs w:val="24"/>
                <w:lang w:eastAsia="lt-LT"/>
              </w:rPr>
              <w:t>n</w:t>
            </w:r>
            <w:r w:rsidRPr="00AC6DE8">
              <w:rPr>
                <w:szCs w:val="24"/>
                <w:lang w:eastAsia="lt-LT"/>
              </w:rPr>
              <w:t>čius įvertinimus) nuo 2020 m. sausio 2 d. pradėjo rodiklių vertinimą ir apibendrintas išvadas prist</w:t>
            </w:r>
            <w:r w:rsidRPr="00AC6DE8">
              <w:rPr>
                <w:szCs w:val="24"/>
                <w:lang w:eastAsia="lt-LT"/>
              </w:rPr>
              <w:t>a</w:t>
            </w:r>
            <w:r w:rsidRPr="00AC6DE8">
              <w:rPr>
                <w:szCs w:val="24"/>
                <w:lang w:eastAsia="lt-LT"/>
              </w:rPr>
              <w:t xml:space="preserve">tys 2020 m. vasario mėnesį Mokytojų tarybos posėdyje. </w:t>
            </w:r>
          </w:p>
          <w:p w:rsidR="00C15657" w:rsidRPr="0014389E" w:rsidRDefault="00C15657" w:rsidP="00C15657">
            <w:pPr>
              <w:ind w:firstLine="567"/>
              <w:jc w:val="both"/>
              <w:textAlignment w:val="baseline"/>
              <w:rPr>
                <w:szCs w:val="24"/>
                <w:lang w:eastAsia="lt-LT"/>
              </w:rPr>
            </w:pPr>
            <w:r w:rsidRPr="00AC6DE8">
              <w:rPr>
                <w:szCs w:val="24"/>
                <w:lang w:eastAsia="lt-LT"/>
              </w:rPr>
              <w:t>Prienų r. Jiezno gimnazijos 2018–2019 mokslo metų veiklos plano išsami įgyvendinimo an</w:t>
            </w:r>
            <w:r w:rsidRPr="00AC6DE8">
              <w:rPr>
                <w:szCs w:val="24"/>
                <w:lang w:eastAsia="lt-LT"/>
              </w:rPr>
              <w:t>a</w:t>
            </w:r>
            <w:r w:rsidRPr="00AC6DE8">
              <w:rPr>
                <w:szCs w:val="24"/>
                <w:lang w:eastAsia="lt-LT"/>
              </w:rPr>
              <w:t>lizė pateikiama Prienų r. Jiezno gimnazijos</w:t>
            </w:r>
            <w:r>
              <w:rPr>
                <w:szCs w:val="24"/>
                <w:lang w:eastAsia="lt-LT"/>
              </w:rPr>
              <w:t xml:space="preserve"> 2019–2020 </w:t>
            </w:r>
            <w:r w:rsidRPr="00AC6DE8">
              <w:rPr>
                <w:szCs w:val="24"/>
                <w:lang w:eastAsia="lt-LT"/>
              </w:rPr>
              <w:t xml:space="preserve">mokslo metų veiklos plane </w:t>
            </w:r>
            <w:r w:rsidR="00EC4F11" w:rsidRPr="00AC6DE8">
              <w:rPr>
                <w:szCs w:val="24"/>
                <w:lang w:eastAsia="lt-LT"/>
              </w:rPr>
              <w:t xml:space="preserve">6-19 psl. </w:t>
            </w:r>
            <w:r w:rsidRPr="00EC4F11">
              <w:rPr>
                <w:sz w:val="21"/>
                <w:szCs w:val="21"/>
                <w:lang w:eastAsia="lt-LT"/>
              </w:rPr>
              <w:t>(</w:t>
            </w:r>
            <w:hyperlink r:id="rId9" w:history="1">
              <w:r w:rsidRPr="00EC4F11">
                <w:rPr>
                  <w:color w:val="0000FF"/>
                  <w:sz w:val="21"/>
                  <w:szCs w:val="21"/>
                  <w:u w:val="single"/>
                  <w:lang w:eastAsia="lt-LT"/>
                </w:rPr>
                <w:t>http://jieznogimnazija.lt/wp-content/uploads/2019/12/Veiklos-planas_2019_2020_%C4%AESAKYMUI.pdf</w:t>
              </w:r>
            </w:hyperlink>
            <w:r w:rsidRPr="00EC4F11">
              <w:rPr>
                <w:sz w:val="21"/>
                <w:szCs w:val="21"/>
                <w:lang w:eastAsia="lt-LT"/>
              </w:rPr>
              <w:t>)</w:t>
            </w:r>
            <w:r w:rsidR="00EC4F11">
              <w:rPr>
                <w:sz w:val="21"/>
                <w:szCs w:val="21"/>
                <w:lang w:eastAsia="lt-LT"/>
              </w:rPr>
              <w:t>.</w:t>
            </w:r>
            <w:r w:rsidRPr="00AC6DE8">
              <w:rPr>
                <w:szCs w:val="24"/>
                <w:lang w:eastAsia="lt-LT"/>
              </w:rPr>
              <w:t xml:space="preserve">Mokytojų tarybos nuomone, 2018–2019 </w:t>
            </w:r>
            <w:proofErr w:type="spellStart"/>
            <w:r w:rsidRPr="00AC6DE8">
              <w:rPr>
                <w:szCs w:val="24"/>
                <w:lang w:eastAsia="lt-LT"/>
              </w:rPr>
              <w:t>m.m</w:t>
            </w:r>
            <w:proofErr w:type="spellEnd"/>
            <w:r w:rsidRPr="00AC6DE8">
              <w:rPr>
                <w:szCs w:val="24"/>
                <w:lang w:eastAsia="lt-LT"/>
              </w:rPr>
              <w:t>. veiklos tikslų ir uždavinių įgyvendinimas vertinamas labai gerai. Prienų r. Jiezno gimnazijos</w:t>
            </w:r>
            <w:r>
              <w:rPr>
                <w:szCs w:val="24"/>
                <w:lang w:eastAsia="lt-LT"/>
              </w:rPr>
              <w:t xml:space="preserve"> 2019–2020 </w:t>
            </w:r>
            <w:r w:rsidRPr="00AC6DE8">
              <w:rPr>
                <w:szCs w:val="24"/>
                <w:lang w:eastAsia="lt-LT"/>
              </w:rPr>
              <w:t xml:space="preserve">mokslo metų veiklos plane fiksuojami du Gimnazijos bendruomenės susitarimai dėl veiklos tikslų: 1. Gerinti mokinių pasiekimus, taikant </w:t>
            </w:r>
            <w:proofErr w:type="spellStart"/>
            <w:r w:rsidRPr="00AC6DE8">
              <w:rPr>
                <w:szCs w:val="24"/>
                <w:lang w:eastAsia="lt-LT"/>
              </w:rPr>
              <w:t>inovatyvias</w:t>
            </w:r>
            <w:proofErr w:type="spellEnd"/>
            <w:r w:rsidRPr="00AC6DE8">
              <w:rPr>
                <w:szCs w:val="24"/>
                <w:lang w:eastAsia="lt-LT"/>
              </w:rPr>
              <w:t xml:space="preserve"> bei socialines ir emocines ugdymosi praktikas; 2. Puoselėti gimnazijos vertybes, taikant vis pažangesnes profesinio dialogo bei mokinių saviva</w:t>
            </w:r>
            <w:r w:rsidRPr="00AC6DE8">
              <w:rPr>
                <w:szCs w:val="24"/>
                <w:lang w:eastAsia="lt-LT"/>
              </w:rPr>
              <w:t>l</w:t>
            </w:r>
            <w:r w:rsidRPr="00AC6DE8">
              <w:rPr>
                <w:szCs w:val="24"/>
                <w:lang w:eastAsia="lt-LT"/>
              </w:rPr>
              <w:t xml:space="preserve">dos formas. </w:t>
            </w:r>
            <w:r w:rsidR="0014389E">
              <w:rPr>
                <w:szCs w:val="24"/>
                <w:lang w:eastAsia="lt-LT"/>
              </w:rPr>
              <w:t xml:space="preserve">Abiejų tikslų </w:t>
            </w:r>
            <w:r w:rsidRPr="0014389E">
              <w:rPr>
                <w:szCs w:val="24"/>
                <w:lang w:eastAsia="lt-LT"/>
              </w:rPr>
              <w:t>išsikeltų uždavinių sėkmingumas ir priemonių kokybė bei veiksming</w:t>
            </w:r>
            <w:r w:rsidRPr="0014389E">
              <w:rPr>
                <w:szCs w:val="24"/>
                <w:lang w:eastAsia="lt-LT"/>
              </w:rPr>
              <w:t>u</w:t>
            </w:r>
            <w:r w:rsidRPr="0014389E">
              <w:rPr>
                <w:szCs w:val="24"/>
                <w:lang w:eastAsia="lt-LT"/>
              </w:rPr>
              <w:t>mas bus matuojamas, kaip ir kasmet, atliekant tarpinę analizę Mokytojų tarybos posėdyje 2020 m. vasario mėn. ir galutinę analizę Mokytojų tarybos ir Gimnazijos tarybos posėdžiuose 2020 m. bi</w:t>
            </w:r>
            <w:r w:rsidRPr="0014389E">
              <w:rPr>
                <w:szCs w:val="24"/>
                <w:lang w:eastAsia="lt-LT"/>
              </w:rPr>
              <w:t>r</w:t>
            </w:r>
            <w:r w:rsidRPr="0014389E">
              <w:rPr>
                <w:szCs w:val="24"/>
                <w:lang w:eastAsia="lt-LT"/>
              </w:rPr>
              <w:t xml:space="preserve">želio mėn. </w:t>
            </w:r>
          </w:p>
          <w:p w:rsidR="00C15657" w:rsidRDefault="00C15657" w:rsidP="00C15657">
            <w:pPr>
              <w:ind w:firstLine="567"/>
              <w:jc w:val="both"/>
              <w:textAlignment w:val="baseline"/>
              <w:rPr>
                <w:szCs w:val="24"/>
                <w:lang w:eastAsia="lt-LT"/>
              </w:rPr>
            </w:pPr>
            <w:r w:rsidRPr="0014389E">
              <w:rPr>
                <w:b/>
                <w:bCs/>
                <w:szCs w:val="24"/>
                <w:lang w:eastAsia="lt-LT"/>
              </w:rPr>
              <w:t xml:space="preserve">Priemonės  mokinių pasiekimams gerinti bei jų rezultatai. </w:t>
            </w:r>
            <w:r w:rsidRPr="0014389E">
              <w:rPr>
                <w:szCs w:val="24"/>
                <w:lang w:eastAsia="lt-LT"/>
              </w:rPr>
              <w:t>Mokinių pasiekimams gerinti Gimnazijoje yra priimti bendri susitarimai. Jie užfiksuoti Prienų r. Jiezno gimnazijos mokinių m</w:t>
            </w:r>
            <w:r w:rsidRPr="0014389E">
              <w:rPr>
                <w:szCs w:val="24"/>
                <w:lang w:eastAsia="lt-LT"/>
              </w:rPr>
              <w:t>o</w:t>
            </w:r>
            <w:r w:rsidRPr="0014389E">
              <w:rPr>
                <w:szCs w:val="24"/>
                <w:lang w:eastAsia="lt-LT"/>
              </w:rPr>
              <w:t>kymosi pasiekimų gerinimo plane 2018–2019 mokslo metams, patvirtintame 2018 m. rugpjūčio 31 d. direktoriaus įsakymu Nr. (1.3.)-V1-237. Šio plan</w:t>
            </w:r>
            <w:r w:rsidR="00665248" w:rsidRPr="0014389E">
              <w:rPr>
                <w:szCs w:val="24"/>
                <w:lang w:eastAsia="lt-LT"/>
              </w:rPr>
              <w:t>o</w:t>
            </w:r>
            <w:r w:rsidRPr="0014389E">
              <w:rPr>
                <w:szCs w:val="24"/>
                <w:lang w:eastAsia="lt-LT"/>
              </w:rPr>
              <w:t xml:space="preserve"> efektyvumas buvo aptartas 2019 m. vasario 4 d. Mokytojų tarybos posėdyje (protokolas Nr. 1). Direktoriaus pavaduotoja ugdymui </w:t>
            </w:r>
            <w:proofErr w:type="spellStart"/>
            <w:r w:rsidRPr="0014389E">
              <w:rPr>
                <w:szCs w:val="24"/>
                <w:lang w:eastAsia="lt-LT"/>
              </w:rPr>
              <w:t>D.Mazuronienė</w:t>
            </w:r>
            <w:proofErr w:type="spellEnd"/>
            <w:r w:rsidRPr="0014389E">
              <w:rPr>
                <w:szCs w:val="24"/>
                <w:lang w:eastAsia="lt-LT"/>
              </w:rPr>
              <w:t xml:space="preserve"> posėdyje pristatė mokinių per IQES </w:t>
            </w:r>
            <w:proofErr w:type="spellStart"/>
            <w:r w:rsidRPr="0014389E">
              <w:rPr>
                <w:szCs w:val="24"/>
                <w:lang w:eastAsia="lt-LT"/>
              </w:rPr>
              <w:t>online</w:t>
            </w:r>
            <w:proofErr w:type="spellEnd"/>
            <w:r w:rsidRPr="0014389E">
              <w:rPr>
                <w:szCs w:val="24"/>
                <w:lang w:eastAsia="lt-LT"/>
              </w:rPr>
              <w:t xml:space="preserve"> platformą </w:t>
            </w:r>
            <w:r w:rsidRPr="006C429E">
              <w:rPr>
                <w:szCs w:val="24"/>
                <w:lang w:eastAsia="lt-LT"/>
              </w:rPr>
              <w:t>atlikto klausimyno apie ta</w:t>
            </w:r>
            <w:r w:rsidRPr="006C429E">
              <w:rPr>
                <w:szCs w:val="24"/>
                <w:lang w:eastAsia="lt-LT"/>
              </w:rPr>
              <w:t>i</w:t>
            </w:r>
            <w:r w:rsidRPr="006C429E">
              <w:rPr>
                <w:szCs w:val="24"/>
                <w:lang w:eastAsia="lt-LT"/>
              </w:rPr>
              <w:t>komų mokymosi gerinimo priemonių efektyvumą rezultatus, išryškino aukščiausių ir žemiausių verčių priemones. Pagal pateiktas išvadas priimti konkretūs susitarimai:</w:t>
            </w:r>
            <w:r w:rsidRPr="0014389E">
              <w:rPr>
                <w:szCs w:val="24"/>
                <w:lang w:eastAsia="lt-LT"/>
              </w:rPr>
              <w:t xml:space="preserve"> 1. Kas antrą mėnesį org</w:t>
            </w:r>
            <w:r w:rsidRPr="0014389E">
              <w:rPr>
                <w:szCs w:val="24"/>
                <w:lang w:eastAsia="lt-LT"/>
              </w:rPr>
              <w:t>a</w:t>
            </w:r>
            <w:r w:rsidRPr="0014389E">
              <w:rPr>
                <w:szCs w:val="24"/>
                <w:lang w:eastAsia="lt-LT"/>
              </w:rPr>
              <w:t xml:space="preserve">nizuoti toje pačioje klasėje dirbančių mokytojų ir pagalbos mokiniui specialistų susirinkimus; 2. Pagal sudarytus grafikus vesti refleksinius ugdytinių, jų tėvų ir klasių auklėtojų pokalbius (pagal Prienų rajono savivaldybės lyderystės plėtros modelį). </w:t>
            </w:r>
            <w:r w:rsidR="00665248" w:rsidRPr="0014389E">
              <w:rPr>
                <w:szCs w:val="24"/>
                <w:lang w:eastAsia="lt-LT"/>
              </w:rPr>
              <w:t>Šiais s</w:t>
            </w:r>
            <w:r w:rsidRPr="0014389E">
              <w:rPr>
                <w:szCs w:val="24"/>
                <w:lang w:eastAsia="lt-LT"/>
              </w:rPr>
              <w:t xml:space="preserve">usitarimais </w:t>
            </w:r>
            <w:r w:rsidRPr="0014389E">
              <w:rPr>
                <w:szCs w:val="24"/>
                <w:lang w:val="en-US" w:eastAsia="lt-LT"/>
              </w:rPr>
              <w:t xml:space="preserve">2019 m. </w:t>
            </w:r>
            <w:proofErr w:type="spellStart"/>
            <w:proofErr w:type="gramStart"/>
            <w:r w:rsidRPr="0014389E">
              <w:rPr>
                <w:szCs w:val="24"/>
                <w:lang w:val="en-US" w:eastAsia="lt-LT"/>
              </w:rPr>
              <w:t>vasario</w:t>
            </w:r>
            <w:proofErr w:type="spellEnd"/>
            <w:proofErr w:type="gramEnd"/>
            <w:r w:rsidRPr="0014389E">
              <w:rPr>
                <w:szCs w:val="24"/>
                <w:lang w:val="en-US" w:eastAsia="lt-LT"/>
              </w:rPr>
              <w:t xml:space="preserve"> 7 d. </w:t>
            </w:r>
            <w:proofErr w:type="spellStart"/>
            <w:r w:rsidRPr="0014389E">
              <w:rPr>
                <w:szCs w:val="24"/>
                <w:lang w:val="en-US" w:eastAsia="lt-LT"/>
              </w:rPr>
              <w:t>direktoriaus</w:t>
            </w:r>
            <w:proofErr w:type="spellEnd"/>
            <w:r w:rsidRPr="0014389E">
              <w:rPr>
                <w:szCs w:val="24"/>
                <w:lang w:val="en-US" w:eastAsia="lt-LT"/>
              </w:rPr>
              <w:t xml:space="preserve"> </w:t>
            </w:r>
            <w:r w:rsidRPr="0014389E">
              <w:rPr>
                <w:szCs w:val="24"/>
                <w:lang w:eastAsia="lt-LT"/>
              </w:rPr>
              <w:t>įsakymu Nr. (</w:t>
            </w:r>
            <w:r w:rsidRPr="0014389E">
              <w:rPr>
                <w:szCs w:val="24"/>
                <w:lang w:val="en-US" w:eastAsia="lt-LT"/>
              </w:rPr>
              <w:t xml:space="preserve">1.3.)-V1-49 </w:t>
            </w:r>
            <w:r w:rsidRPr="0014389E">
              <w:rPr>
                <w:szCs w:val="24"/>
                <w:lang w:eastAsia="lt-LT"/>
              </w:rPr>
              <w:t>papildytas minėtas pasiekimų gerinimo planas. Atkakliai siekiant padaryti proveržį rezultatuose</w:t>
            </w:r>
            <w:r w:rsidR="003977D3" w:rsidRPr="0014389E">
              <w:rPr>
                <w:szCs w:val="24"/>
                <w:lang w:eastAsia="lt-LT"/>
              </w:rPr>
              <w:t>,</w:t>
            </w:r>
            <w:r w:rsidRPr="0014389E">
              <w:rPr>
                <w:szCs w:val="24"/>
                <w:lang w:eastAsia="lt-LT"/>
              </w:rPr>
              <w:t xml:space="preserve"> visus 2019 m. administracija </w:t>
            </w:r>
            <w:r w:rsidRPr="0014389E">
              <w:rPr>
                <w:szCs w:val="24"/>
                <w:shd w:val="clear" w:color="auto" w:fill="FFFFFF"/>
                <w:lang w:eastAsia="lt-LT"/>
              </w:rPr>
              <w:t>nuosekliai</w:t>
            </w:r>
            <w:r w:rsidRPr="0014389E">
              <w:rPr>
                <w:szCs w:val="24"/>
                <w:lang w:eastAsia="lt-LT"/>
              </w:rPr>
              <w:t xml:space="preserve"> organizavo toje pačioje klasėje dirbančių mokytojų ir pagalbos mokiniui specialistų susirinkimus, kuriuose apt</w:t>
            </w:r>
            <w:r w:rsidRPr="0014389E">
              <w:rPr>
                <w:szCs w:val="24"/>
                <w:lang w:eastAsia="lt-LT"/>
              </w:rPr>
              <w:t>a</w:t>
            </w:r>
            <w:r w:rsidRPr="0014389E">
              <w:rPr>
                <w:szCs w:val="24"/>
                <w:lang w:eastAsia="lt-LT"/>
              </w:rPr>
              <w:t xml:space="preserve">riamos mokinių ugdymosi ar lankomumo problemos ir priimami </w:t>
            </w:r>
            <w:r w:rsidRPr="0014389E">
              <w:rPr>
                <w:szCs w:val="24"/>
                <w:shd w:val="clear" w:color="auto" w:fill="FFFFFF"/>
                <w:lang w:eastAsia="lt-LT"/>
              </w:rPr>
              <w:t xml:space="preserve">konkretūs susitarimai, susitariama dėl atsakomybių už juos. </w:t>
            </w:r>
            <w:r w:rsidRPr="0014389E">
              <w:rPr>
                <w:szCs w:val="24"/>
                <w:lang w:eastAsia="lt-LT"/>
              </w:rPr>
              <w:t>Didelė dalis atsakomybės buvo priskirta Gimnazijos projekto ,,Pagauk pamoką“ valdymo komandai: ji kas mėnesį atliko</w:t>
            </w:r>
            <w:r w:rsidRPr="0014389E">
              <w:rPr>
                <w:szCs w:val="24"/>
                <w:shd w:val="clear" w:color="auto" w:fill="FFFFFF"/>
                <w:lang w:eastAsia="lt-LT"/>
              </w:rPr>
              <w:t xml:space="preserve"> mokinių pamokų nelankymo rodiklių </w:t>
            </w:r>
            <w:proofErr w:type="spellStart"/>
            <w:r w:rsidRPr="0014389E">
              <w:rPr>
                <w:szCs w:val="24"/>
                <w:lang w:eastAsia="lt-LT"/>
              </w:rPr>
              <w:t>stebėseną</w:t>
            </w:r>
            <w:proofErr w:type="spellEnd"/>
            <w:r w:rsidRPr="0014389E">
              <w:rPr>
                <w:szCs w:val="24"/>
                <w:lang w:eastAsia="lt-LT"/>
              </w:rPr>
              <w:t>, priežasčių analizę, nusimatė konkrečius veiksmus, juos įgyvendino. Ryškiausias visų taikytų pri</w:t>
            </w:r>
            <w:r w:rsidRPr="0014389E">
              <w:rPr>
                <w:szCs w:val="24"/>
                <w:lang w:eastAsia="lt-LT"/>
              </w:rPr>
              <w:t>e</w:t>
            </w:r>
            <w:r w:rsidRPr="0014389E">
              <w:rPr>
                <w:szCs w:val="24"/>
                <w:lang w:eastAsia="lt-LT"/>
              </w:rPr>
              <w:t>monių poveikio rezultatas – ženkliai sumažintas mokinių praleidžiamų pamokų skaičius. Lyginant pastarųjų 2 metų laikotarpį, 36,6</w:t>
            </w:r>
            <w:r w:rsidR="00665248" w:rsidRPr="0014389E">
              <w:rPr>
                <w:szCs w:val="24"/>
                <w:lang w:eastAsia="lt-LT"/>
              </w:rPr>
              <w:t xml:space="preserve"> proc.</w:t>
            </w:r>
            <w:r w:rsidRPr="0014389E">
              <w:rPr>
                <w:szCs w:val="24"/>
                <w:lang w:eastAsia="lt-LT"/>
              </w:rPr>
              <w:t xml:space="preserve"> sumažėjo nepateisintų pamokų skaičius vienam mokiniui: 5-8 klasių </w:t>
            </w:r>
            <w:proofErr w:type="spellStart"/>
            <w:r w:rsidRPr="0014389E">
              <w:rPr>
                <w:szCs w:val="24"/>
                <w:lang w:eastAsia="lt-LT"/>
              </w:rPr>
              <w:t>koncentre</w:t>
            </w:r>
            <w:proofErr w:type="spellEnd"/>
            <w:r w:rsidRPr="0014389E">
              <w:rPr>
                <w:szCs w:val="24"/>
                <w:lang w:eastAsia="lt-LT"/>
              </w:rPr>
              <w:t xml:space="preserve"> nepateisintų pamokų skaičius, tenkantis vienam mokiniui, sumažintas 43,56</w:t>
            </w:r>
            <w:r w:rsidR="00665248" w:rsidRPr="0014389E">
              <w:rPr>
                <w:szCs w:val="24"/>
                <w:lang w:eastAsia="lt-LT"/>
              </w:rPr>
              <w:t xml:space="preserve"> proc.</w:t>
            </w:r>
            <w:r w:rsidRPr="0014389E">
              <w:rPr>
                <w:szCs w:val="24"/>
                <w:lang w:eastAsia="lt-LT"/>
              </w:rPr>
              <w:t xml:space="preserve">, o gimnazijos I-IV </w:t>
            </w:r>
            <w:proofErr w:type="spellStart"/>
            <w:r w:rsidRPr="0014389E">
              <w:rPr>
                <w:szCs w:val="24"/>
                <w:lang w:eastAsia="lt-LT"/>
              </w:rPr>
              <w:t>kl</w:t>
            </w:r>
            <w:proofErr w:type="spellEnd"/>
            <w:r w:rsidRPr="0014389E">
              <w:rPr>
                <w:szCs w:val="24"/>
                <w:lang w:eastAsia="lt-LT"/>
              </w:rPr>
              <w:t xml:space="preserve">. </w:t>
            </w:r>
            <w:proofErr w:type="spellStart"/>
            <w:r w:rsidRPr="0014389E">
              <w:rPr>
                <w:szCs w:val="24"/>
                <w:lang w:eastAsia="lt-LT"/>
              </w:rPr>
              <w:t>koncentre</w:t>
            </w:r>
            <w:proofErr w:type="spellEnd"/>
            <w:r w:rsidRPr="0014389E">
              <w:rPr>
                <w:szCs w:val="24"/>
                <w:lang w:eastAsia="lt-LT"/>
              </w:rPr>
              <w:t xml:space="preserve"> – 29,64</w:t>
            </w:r>
            <w:r w:rsidR="00665248" w:rsidRPr="0014389E">
              <w:rPr>
                <w:szCs w:val="24"/>
                <w:lang w:eastAsia="lt-LT"/>
              </w:rPr>
              <w:t xml:space="preserve"> proc.</w:t>
            </w:r>
          </w:p>
          <w:p w:rsidR="0047133A" w:rsidRDefault="0014389E" w:rsidP="00954429">
            <w:pPr>
              <w:ind w:firstLine="567"/>
              <w:jc w:val="both"/>
              <w:textAlignment w:val="baseline"/>
              <w:rPr>
                <w:szCs w:val="24"/>
                <w:lang w:eastAsia="lt-LT"/>
              </w:rPr>
            </w:pPr>
            <w:r>
              <w:rPr>
                <w:szCs w:val="24"/>
                <w:lang w:eastAsia="lt-LT"/>
              </w:rPr>
              <w:t>Prienų r</w:t>
            </w:r>
            <w:r w:rsidR="0063009D">
              <w:rPr>
                <w:szCs w:val="24"/>
                <w:lang w:eastAsia="lt-LT"/>
              </w:rPr>
              <w:t>.</w:t>
            </w:r>
            <w:r>
              <w:rPr>
                <w:szCs w:val="24"/>
                <w:lang w:eastAsia="lt-LT"/>
              </w:rPr>
              <w:t>, Jiezno gimnazijos mokinių mokymosi pasiekimų gerinimo planas 2019–2020 mokslo metams Mokytojų taryboje rengtas 2019 m. spalio 22 d. (protoko</w:t>
            </w:r>
            <w:r w:rsidRPr="006C429E">
              <w:rPr>
                <w:szCs w:val="24"/>
                <w:lang w:eastAsia="lt-LT"/>
              </w:rPr>
              <w:t>lo</w:t>
            </w:r>
            <w:r>
              <w:rPr>
                <w:szCs w:val="24"/>
                <w:lang w:eastAsia="lt-LT"/>
              </w:rPr>
              <w:t xml:space="preserve"> Nr. 10). </w:t>
            </w:r>
            <w:r w:rsidR="00C15657" w:rsidRPr="0014389E">
              <w:rPr>
                <w:szCs w:val="24"/>
                <w:lang w:val="en-US" w:eastAsia="lt-LT"/>
              </w:rPr>
              <w:t xml:space="preserve">Jo </w:t>
            </w:r>
            <w:proofErr w:type="spellStart"/>
            <w:r w:rsidR="00C15657" w:rsidRPr="0014389E">
              <w:rPr>
                <w:szCs w:val="24"/>
                <w:lang w:val="en-US" w:eastAsia="lt-LT"/>
              </w:rPr>
              <w:t>efektyvumo</w:t>
            </w:r>
            <w:proofErr w:type="spellEnd"/>
            <w:r w:rsidR="00C15657" w:rsidRPr="0014389E">
              <w:rPr>
                <w:szCs w:val="24"/>
                <w:lang w:val="en-US" w:eastAsia="lt-LT"/>
              </w:rPr>
              <w:t xml:space="preserve"> </w:t>
            </w:r>
            <w:proofErr w:type="spellStart"/>
            <w:r w:rsidR="00C15657" w:rsidRPr="0014389E">
              <w:rPr>
                <w:szCs w:val="24"/>
                <w:lang w:val="en-US" w:eastAsia="lt-LT"/>
              </w:rPr>
              <w:t>steb</w:t>
            </w:r>
            <w:proofErr w:type="spellEnd"/>
            <w:r w:rsidR="00C15657" w:rsidRPr="0014389E">
              <w:rPr>
                <w:szCs w:val="24"/>
                <w:lang w:eastAsia="lt-LT"/>
              </w:rPr>
              <w:t xml:space="preserve">ėsena numatyta vykdyti </w:t>
            </w:r>
            <w:r w:rsidR="00C15657" w:rsidRPr="0014389E">
              <w:rPr>
                <w:szCs w:val="24"/>
                <w:lang w:val="en-US" w:eastAsia="lt-LT"/>
              </w:rPr>
              <w:t xml:space="preserve">2020 m. </w:t>
            </w:r>
            <w:proofErr w:type="spellStart"/>
            <w:r w:rsidR="00C15657" w:rsidRPr="0014389E">
              <w:rPr>
                <w:szCs w:val="24"/>
                <w:lang w:val="en-US" w:eastAsia="lt-LT"/>
              </w:rPr>
              <w:t>vasario</w:t>
            </w:r>
            <w:proofErr w:type="spellEnd"/>
            <w:r w:rsidR="00C15657" w:rsidRPr="0014389E">
              <w:rPr>
                <w:szCs w:val="24"/>
                <w:lang w:val="en-US" w:eastAsia="lt-LT"/>
              </w:rPr>
              <w:t xml:space="preserve"> m</w:t>
            </w:r>
            <w:proofErr w:type="spellStart"/>
            <w:r w:rsidR="00C15657" w:rsidRPr="0014389E">
              <w:rPr>
                <w:szCs w:val="24"/>
                <w:lang w:eastAsia="lt-LT"/>
              </w:rPr>
              <w:t>ėn</w:t>
            </w:r>
            <w:proofErr w:type="spellEnd"/>
            <w:r w:rsidR="00C15657" w:rsidRPr="0014389E">
              <w:rPr>
                <w:szCs w:val="24"/>
                <w:lang w:eastAsia="lt-LT"/>
              </w:rPr>
              <w:t>.</w:t>
            </w:r>
          </w:p>
          <w:p w:rsidR="00954429" w:rsidRPr="00954429" w:rsidRDefault="00954429" w:rsidP="00954429">
            <w:pPr>
              <w:ind w:firstLine="567"/>
              <w:jc w:val="both"/>
              <w:textAlignment w:val="baseline"/>
              <w:rPr>
                <w:szCs w:val="24"/>
                <w:lang w:eastAsia="lt-LT"/>
              </w:rPr>
            </w:pPr>
          </w:p>
        </w:tc>
      </w:tr>
    </w:tbl>
    <w:p w:rsidR="00F23ED5" w:rsidRDefault="00F23ED5" w:rsidP="00EC4F11">
      <w:pPr>
        <w:overflowPunct w:val="0"/>
        <w:textAlignment w:val="baseline"/>
        <w:rPr>
          <w:b/>
          <w:sz w:val="20"/>
          <w:lang w:eastAsia="lt-LT"/>
        </w:rPr>
      </w:pPr>
    </w:p>
    <w:p w:rsidR="00F23ED5" w:rsidRPr="00F23ED5" w:rsidRDefault="00E808A3" w:rsidP="00E808A3">
      <w:pPr>
        <w:overflowPunct w:val="0"/>
        <w:jc w:val="center"/>
        <w:textAlignment w:val="baseline"/>
        <w:rPr>
          <w:szCs w:val="24"/>
          <w:lang w:eastAsia="lt-LT"/>
        </w:rPr>
      </w:pPr>
      <w:r>
        <w:rPr>
          <w:szCs w:val="24"/>
          <w:lang w:eastAsia="lt-LT"/>
        </w:rPr>
        <w:t>___________________________________</w:t>
      </w:r>
    </w:p>
    <w:sectPr w:rsidR="00F23ED5" w:rsidRPr="00F23ED5" w:rsidSect="006D3EF5">
      <w:headerReference w:type="default" r:id="rId10"/>
      <w:headerReference w:type="first" r:id="rId11"/>
      <w:pgSz w:w="11906" w:h="16838" w:code="9"/>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2248" w:rsidRDefault="004A2248" w:rsidP="002267B9">
      <w:r>
        <w:separator/>
      </w:r>
    </w:p>
  </w:endnote>
  <w:endnote w:type="continuationSeparator" w:id="0">
    <w:p w:rsidR="004A2248" w:rsidRDefault="004A2248" w:rsidP="002267B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2248" w:rsidRDefault="004A2248" w:rsidP="002267B9">
      <w:r>
        <w:separator/>
      </w:r>
    </w:p>
  </w:footnote>
  <w:footnote w:type="continuationSeparator" w:id="0">
    <w:p w:rsidR="004A2248" w:rsidRDefault="004A2248" w:rsidP="002267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3583344"/>
      <w:docPartObj>
        <w:docPartGallery w:val="Page Numbers (Top of Page)"/>
        <w:docPartUnique/>
      </w:docPartObj>
    </w:sdtPr>
    <w:sdtContent>
      <w:p w:rsidR="00C754D9" w:rsidRDefault="00ED77E4">
        <w:pPr>
          <w:pStyle w:val="Header"/>
          <w:jc w:val="center"/>
        </w:pPr>
        <w:r>
          <w:fldChar w:fldCharType="begin"/>
        </w:r>
        <w:r w:rsidR="00C754D9">
          <w:instrText xml:space="preserve"> PAGE   \* MERGEFORMAT </w:instrText>
        </w:r>
        <w:r>
          <w:fldChar w:fldCharType="separate"/>
        </w:r>
        <w:r w:rsidR="00E808A3">
          <w:rPr>
            <w:noProof/>
          </w:rPr>
          <w:t>3</w:t>
        </w:r>
        <w:r>
          <w:rPr>
            <w:noProof/>
          </w:rPr>
          <w:fldChar w:fldCharType="end"/>
        </w:r>
      </w:p>
    </w:sdtContent>
  </w:sdt>
  <w:p w:rsidR="00C754D9" w:rsidRDefault="00C754D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2D9" w:rsidRPr="008B72D9" w:rsidRDefault="008B72D9" w:rsidP="008B72D9">
    <w:pPr>
      <w:tabs>
        <w:tab w:val="left" w:pos="1296"/>
        <w:tab w:val="left" w:pos="2592"/>
        <w:tab w:val="left" w:pos="3888"/>
        <w:tab w:val="left" w:pos="5184"/>
        <w:tab w:val="left" w:pos="6480"/>
        <w:tab w:val="left" w:pos="7840"/>
      </w:tabs>
      <w:ind w:left="5184" w:firstLine="345"/>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D7B83"/>
    <w:multiLevelType w:val="hybridMultilevel"/>
    <w:tmpl w:val="663C6C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3CF54660"/>
    <w:multiLevelType w:val="hybridMultilevel"/>
    <w:tmpl w:val="50D0D216"/>
    <w:lvl w:ilvl="0" w:tplc="190E82AC">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6669173C"/>
    <w:multiLevelType w:val="hybridMultilevel"/>
    <w:tmpl w:val="8AE4C5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6DE7794E"/>
    <w:multiLevelType w:val="multilevel"/>
    <w:tmpl w:val="CCF0CF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attachedTemplate r:id="rId1"/>
  <w:defaultTabStop w:val="1296"/>
  <w:autoHyphenation/>
  <w:hyphenationZone w:val="396"/>
  <w:drawingGridHorizontalSpacing w:val="120"/>
  <w:displayHorizontalDrawingGridEvery w:val="2"/>
  <w:characterSpacingControl w:val="doNotCompress"/>
  <w:footnotePr>
    <w:footnote w:id="-1"/>
    <w:footnote w:id="0"/>
  </w:footnotePr>
  <w:endnotePr>
    <w:endnote w:id="-1"/>
    <w:endnote w:id="0"/>
  </w:endnotePr>
  <w:compat/>
  <w:rsids>
    <w:rsidRoot w:val="00722D08"/>
    <w:rsid w:val="00001A80"/>
    <w:rsid w:val="00004B9E"/>
    <w:rsid w:val="00013B58"/>
    <w:rsid w:val="000566FF"/>
    <w:rsid w:val="000635B1"/>
    <w:rsid w:val="00066D7E"/>
    <w:rsid w:val="0007334C"/>
    <w:rsid w:val="0007409A"/>
    <w:rsid w:val="00077217"/>
    <w:rsid w:val="00086626"/>
    <w:rsid w:val="000B2100"/>
    <w:rsid w:val="000B50FF"/>
    <w:rsid w:val="000C3051"/>
    <w:rsid w:val="000D4140"/>
    <w:rsid w:val="000D611D"/>
    <w:rsid w:val="001229F3"/>
    <w:rsid w:val="0014389E"/>
    <w:rsid w:val="001536F4"/>
    <w:rsid w:val="001573F4"/>
    <w:rsid w:val="00162B70"/>
    <w:rsid w:val="00165259"/>
    <w:rsid w:val="0019126D"/>
    <w:rsid w:val="001A54C8"/>
    <w:rsid w:val="001B3092"/>
    <w:rsid w:val="001D6767"/>
    <w:rsid w:val="00200248"/>
    <w:rsid w:val="002057C4"/>
    <w:rsid w:val="00216162"/>
    <w:rsid w:val="0022210E"/>
    <w:rsid w:val="00224681"/>
    <w:rsid w:val="002267B9"/>
    <w:rsid w:val="0023538F"/>
    <w:rsid w:val="00237A50"/>
    <w:rsid w:val="00265A7F"/>
    <w:rsid w:val="00267A6D"/>
    <w:rsid w:val="002966B1"/>
    <w:rsid w:val="002F2682"/>
    <w:rsid w:val="002F7A31"/>
    <w:rsid w:val="003037B2"/>
    <w:rsid w:val="00306AD5"/>
    <w:rsid w:val="003101F2"/>
    <w:rsid w:val="00321A2A"/>
    <w:rsid w:val="00345568"/>
    <w:rsid w:val="003877C9"/>
    <w:rsid w:val="003940D7"/>
    <w:rsid w:val="00395DD7"/>
    <w:rsid w:val="003977D3"/>
    <w:rsid w:val="003A32DB"/>
    <w:rsid w:val="003E3E2D"/>
    <w:rsid w:val="003F3D1B"/>
    <w:rsid w:val="003F7BDE"/>
    <w:rsid w:val="00413B56"/>
    <w:rsid w:val="00430693"/>
    <w:rsid w:val="00432CBE"/>
    <w:rsid w:val="00447281"/>
    <w:rsid w:val="00466BDC"/>
    <w:rsid w:val="00466F35"/>
    <w:rsid w:val="0047133A"/>
    <w:rsid w:val="004716A5"/>
    <w:rsid w:val="004751B8"/>
    <w:rsid w:val="004A2248"/>
    <w:rsid w:val="004E176B"/>
    <w:rsid w:val="00513B88"/>
    <w:rsid w:val="005201F4"/>
    <w:rsid w:val="00526BF9"/>
    <w:rsid w:val="005436A9"/>
    <w:rsid w:val="00565A2E"/>
    <w:rsid w:val="0059435B"/>
    <w:rsid w:val="005A4342"/>
    <w:rsid w:val="005C2E1B"/>
    <w:rsid w:val="005F1393"/>
    <w:rsid w:val="005F1631"/>
    <w:rsid w:val="00622253"/>
    <w:rsid w:val="0063009D"/>
    <w:rsid w:val="00635EE8"/>
    <w:rsid w:val="00665248"/>
    <w:rsid w:val="00683747"/>
    <w:rsid w:val="006912E4"/>
    <w:rsid w:val="006A3C58"/>
    <w:rsid w:val="006B381D"/>
    <w:rsid w:val="006C429E"/>
    <w:rsid w:val="006D3EF5"/>
    <w:rsid w:val="006F4C23"/>
    <w:rsid w:val="006F7B3E"/>
    <w:rsid w:val="007032A6"/>
    <w:rsid w:val="00717499"/>
    <w:rsid w:val="00722D08"/>
    <w:rsid w:val="00725F79"/>
    <w:rsid w:val="00746B4D"/>
    <w:rsid w:val="00771D1C"/>
    <w:rsid w:val="00785E93"/>
    <w:rsid w:val="007D7546"/>
    <w:rsid w:val="00833293"/>
    <w:rsid w:val="0083618A"/>
    <w:rsid w:val="00842C3D"/>
    <w:rsid w:val="0085297B"/>
    <w:rsid w:val="008660A1"/>
    <w:rsid w:val="00880490"/>
    <w:rsid w:val="00887A57"/>
    <w:rsid w:val="008B4267"/>
    <w:rsid w:val="008B5647"/>
    <w:rsid w:val="008B72D9"/>
    <w:rsid w:val="008E2AC5"/>
    <w:rsid w:val="009060AD"/>
    <w:rsid w:val="0091564D"/>
    <w:rsid w:val="009173B6"/>
    <w:rsid w:val="009207EB"/>
    <w:rsid w:val="009279C0"/>
    <w:rsid w:val="00954429"/>
    <w:rsid w:val="009609AE"/>
    <w:rsid w:val="00961BBA"/>
    <w:rsid w:val="00993E4D"/>
    <w:rsid w:val="009A2050"/>
    <w:rsid w:val="009B6CB5"/>
    <w:rsid w:val="009C4972"/>
    <w:rsid w:val="009D2960"/>
    <w:rsid w:val="009D412F"/>
    <w:rsid w:val="009D547F"/>
    <w:rsid w:val="009E38C7"/>
    <w:rsid w:val="009E6B79"/>
    <w:rsid w:val="009F52C9"/>
    <w:rsid w:val="00A03580"/>
    <w:rsid w:val="00A1268B"/>
    <w:rsid w:val="00A33ABC"/>
    <w:rsid w:val="00A37B9D"/>
    <w:rsid w:val="00AC22FC"/>
    <w:rsid w:val="00AC49F5"/>
    <w:rsid w:val="00AD7D86"/>
    <w:rsid w:val="00AE2420"/>
    <w:rsid w:val="00AE6FB9"/>
    <w:rsid w:val="00AF78B8"/>
    <w:rsid w:val="00B11817"/>
    <w:rsid w:val="00B24112"/>
    <w:rsid w:val="00B47C27"/>
    <w:rsid w:val="00B56B09"/>
    <w:rsid w:val="00B60ABE"/>
    <w:rsid w:val="00B75080"/>
    <w:rsid w:val="00B818D9"/>
    <w:rsid w:val="00BB17E0"/>
    <w:rsid w:val="00BD061A"/>
    <w:rsid w:val="00BD7BEB"/>
    <w:rsid w:val="00BF5DD0"/>
    <w:rsid w:val="00C15657"/>
    <w:rsid w:val="00C34EEA"/>
    <w:rsid w:val="00C54995"/>
    <w:rsid w:val="00C754D9"/>
    <w:rsid w:val="00C92DDB"/>
    <w:rsid w:val="00CA21DB"/>
    <w:rsid w:val="00CD1EBD"/>
    <w:rsid w:val="00CE3003"/>
    <w:rsid w:val="00CF0985"/>
    <w:rsid w:val="00D24425"/>
    <w:rsid w:val="00D46807"/>
    <w:rsid w:val="00D85802"/>
    <w:rsid w:val="00D90409"/>
    <w:rsid w:val="00D92C16"/>
    <w:rsid w:val="00D962B0"/>
    <w:rsid w:val="00DA0F96"/>
    <w:rsid w:val="00DB143D"/>
    <w:rsid w:val="00DB6875"/>
    <w:rsid w:val="00DC47EE"/>
    <w:rsid w:val="00DD5A69"/>
    <w:rsid w:val="00DD7196"/>
    <w:rsid w:val="00DE39AE"/>
    <w:rsid w:val="00DE39F9"/>
    <w:rsid w:val="00E32EE0"/>
    <w:rsid w:val="00E3497C"/>
    <w:rsid w:val="00E66322"/>
    <w:rsid w:val="00E70566"/>
    <w:rsid w:val="00E741F5"/>
    <w:rsid w:val="00E76118"/>
    <w:rsid w:val="00E808A3"/>
    <w:rsid w:val="00EA5009"/>
    <w:rsid w:val="00EB0F2A"/>
    <w:rsid w:val="00EC4F11"/>
    <w:rsid w:val="00ED46D9"/>
    <w:rsid w:val="00ED77E4"/>
    <w:rsid w:val="00EF0CBC"/>
    <w:rsid w:val="00EF4715"/>
    <w:rsid w:val="00F23ED5"/>
    <w:rsid w:val="00F2403F"/>
    <w:rsid w:val="00F36628"/>
    <w:rsid w:val="00FA6161"/>
    <w:rsid w:val="00FA6D8B"/>
    <w:rsid w:val="00FC5386"/>
    <w:rsid w:val="00FF098D"/>
    <w:rsid w:val="00FF51B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81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2E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267B9"/>
    <w:pPr>
      <w:tabs>
        <w:tab w:val="center" w:pos="4819"/>
        <w:tab w:val="right" w:pos="9638"/>
      </w:tabs>
    </w:pPr>
  </w:style>
  <w:style w:type="character" w:customStyle="1" w:styleId="HeaderChar">
    <w:name w:val="Header Char"/>
    <w:basedOn w:val="DefaultParagraphFont"/>
    <w:link w:val="Header"/>
    <w:uiPriority w:val="99"/>
    <w:rsid w:val="002267B9"/>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2267B9"/>
    <w:pPr>
      <w:tabs>
        <w:tab w:val="center" w:pos="4819"/>
        <w:tab w:val="right" w:pos="9638"/>
      </w:tabs>
    </w:pPr>
  </w:style>
  <w:style w:type="character" w:customStyle="1" w:styleId="FooterChar">
    <w:name w:val="Footer Char"/>
    <w:basedOn w:val="DefaultParagraphFont"/>
    <w:link w:val="Footer"/>
    <w:uiPriority w:val="99"/>
    <w:semiHidden/>
    <w:rsid w:val="002267B9"/>
    <w:rPr>
      <w:rFonts w:ascii="Times New Roman" w:eastAsia="Times New Roman" w:hAnsi="Times New Roman" w:cs="Times New Roman"/>
      <w:sz w:val="24"/>
      <w:szCs w:val="20"/>
    </w:rPr>
  </w:style>
  <w:style w:type="paragraph" w:styleId="ListParagraph">
    <w:name w:val="List Paragraph"/>
    <w:basedOn w:val="Normal"/>
    <w:uiPriority w:val="34"/>
    <w:qFormat/>
    <w:rsid w:val="009D2960"/>
    <w:pPr>
      <w:ind w:left="720"/>
      <w:contextualSpacing/>
    </w:pPr>
  </w:style>
  <w:style w:type="paragraph" w:styleId="BodyTextIndent">
    <w:name w:val="Body Text Indent"/>
    <w:basedOn w:val="Normal"/>
    <w:link w:val="BodyTextIndentChar"/>
    <w:rsid w:val="0091564D"/>
    <w:pPr>
      <w:spacing w:line="360" w:lineRule="auto"/>
      <w:ind w:firstLine="567"/>
      <w:jc w:val="both"/>
    </w:pPr>
    <w:rPr>
      <w:lang w:val="en-US" w:eastAsia="zh-CN"/>
    </w:rPr>
  </w:style>
  <w:style w:type="character" w:customStyle="1" w:styleId="BodyTextIndentChar">
    <w:name w:val="Body Text Indent Char"/>
    <w:basedOn w:val="DefaultParagraphFont"/>
    <w:link w:val="BodyTextIndent"/>
    <w:rsid w:val="0091564D"/>
    <w:rPr>
      <w:rFonts w:ascii="Times New Roman" w:eastAsia="Times New Roman" w:hAnsi="Times New Roman" w:cs="Times New Roman"/>
      <w:sz w:val="24"/>
      <w:szCs w:val="20"/>
      <w:lang w:val="en-US" w:eastAsia="zh-CN"/>
    </w:rPr>
  </w:style>
  <w:style w:type="character" w:styleId="Hyperlink">
    <w:name w:val="Hyperlink"/>
    <w:basedOn w:val="DefaultParagraphFont"/>
    <w:uiPriority w:val="99"/>
    <w:unhideWhenUsed/>
    <w:rsid w:val="0019126D"/>
    <w:rPr>
      <w:color w:val="0000FF" w:themeColor="hyperlink"/>
      <w:u w:val="single"/>
    </w:rPr>
  </w:style>
  <w:style w:type="character" w:styleId="FollowedHyperlink">
    <w:name w:val="FollowedHyperlink"/>
    <w:basedOn w:val="DefaultParagraphFont"/>
    <w:uiPriority w:val="99"/>
    <w:semiHidden/>
    <w:unhideWhenUsed/>
    <w:rsid w:val="00DE39F9"/>
    <w:rPr>
      <w:color w:val="800080" w:themeColor="followedHyperlink"/>
      <w:u w:val="single"/>
    </w:rPr>
  </w:style>
  <w:style w:type="character" w:styleId="Strong">
    <w:name w:val="Strong"/>
    <w:basedOn w:val="DefaultParagraphFont"/>
    <w:uiPriority w:val="22"/>
    <w:qFormat/>
    <w:rsid w:val="00785E93"/>
    <w:rPr>
      <w:b/>
      <w:bCs/>
    </w:rPr>
  </w:style>
  <w:style w:type="paragraph" w:styleId="BalloonText">
    <w:name w:val="Balloon Text"/>
    <w:basedOn w:val="Normal"/>
    <w:link w:val="BalloonTextChar"/>
    <w:uiPriority w:val="99"/>
    <w:semiHidden/>
    <w:unhideWhenUsed/>
    <w:rsid w:val="00F23ED5"/>
    <w:rPr>
      <w:rFonts w:ascii="Tahoma" w:hAnsi="Tahoma" w:cs="Tahoma"/>
      <w:sz w:val="16"/>
      <w:szCs w:val="16"/>
    </w:rPr>
  </w:style>
  <w:style w:type="character" w:customStyle="1" w:styleId="BalloonTextChar">
    <w:name w:val="Balloon Text Char"/>
    <w:basedOn w:val="DefaultParagraphFont"/>
    <w:link w:val="BalloonText"/>
    <w:uiPriority w:val="99"/>
    <w:semiHidden/>
    <w:rsid w:val="00F23ED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81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2E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267B9"/>
    <w:pPr>
      <w:tabs>
        <w:tab w:val="center" w:pos="4819"/>
        <w:tab w:val="right" w:pos="9638"/>
      </w:tabs>
    </w:pPr>
  </w:style>
  <w:style w:type="character" w:customStyle="1" w:styleId="HeaderChar">
    <w:name w:val="Header Char"/>
    <w:basedOn w:val="DefaultParagraphFont"/>
    <w:link w:val="Header"/>
    <w:uiPriority w:val="99"/>
    <w:rsid w:val="002267B9"/>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2267B9"/>
    <w:pPr>
      <w:tabs>
        <w:tab w:val="center" w:pos="4819"/>
        <w:tab w:val="right" w:pos="9638"/>
      </w:tabs>
    </w:pPr>
  </w:style>
  <w:style w:type="character" w:customStyle="1" w:styleId="FooterChar">
    <w:name w:val="Footer Char"/>
    <w:basedOn w:val="DefaultParagraphFont"/>
    <w:link w:val="Footer"/>
    <w:uiPriority w:val="99"/>
    <w:semiHidden/>
    <w:rsid w:val="002267B9"/>
    <w:rPr>
      <w:rFonts w:ascii="Times New Roman" w:eastAsia="Times New Roman" w:hAnsi="Times New Roman" w:cs="Times New Roman"/>
      <w:sz w:val="24"/>
      <w:szCs w:val="20"/>
    </w:rPr>
  </w:style>
  <w:style w:type="paragraph" w:styleId="ListParagraph">
    <w:name w:val="List Paragraph"/>
    <w:basedOn w:val="Normal"/>
    <w:uiPriority w:val="34"/>
    <w:qFormat/>
    <w:rsid w:val="009D2960"/>
    <w:pPr>
      <w:ind w:left="720"/>
      <w:contextualSpacing/>
    </w:pPr>
  </w:style>
  <w:style w:type="paragraph" w:styleId="BodyTextIndent">
    <w:name w:val="Body Text Indent"/>
    <w:basedOn w:val="Normal"/>
    <w:link w:val="BodyTextIndentChar"/>
    <w:rsid w:val="0091564D"/>
    <w:pPr>
      <w:spacing w:line="360" w:lineRule="auto"/>
      <w:ind w:firstLine="567"/>
      <w:jc w:val="both"/>
    </w:pPr>
    <w:rPr>
      <w:lang w:val="en-US" w:eastAsia="zh-CN"/>
    </w:rPr>
  </w:style>
  <w:style w:type="character" w:customStyle="1" w:styleId="BodyTextIndentChar">
    <w:name w:val="Body Text Indent Char"/>
    <w:basedOn w:val="DefaultParagraphFont"/>
    <w:link w:val="BodyTextIndent"/>
    <w:rsid w:val="0091564D"/>
    <w:rPr>
      <w:rFonts w:ascii="Times New Roman" w:eastAsia="Times New Roman" w:hAnsi="Times New Roman" w:cs="Times New Roman"/>
      <w:sz w:val="24"/>
      <w:szCs w:val="20"/>
      <w:lang w:val="en-US" w:eastAsia="zh-CN"/>
    </w:rPr>
  </w:style>
  <w:style w:type="character" w:styleId="Hyperlink">
    <w:name w:val="Hyperlink"/>
    <w:basedOn w:val="DefaultParagraphFont"/>
    <w:uiPriority w:val="99"/>
    <w:unhideWhenUsed/>
    <w:rsid w:val="0019126D"/>
    <w:rPr>
      <w:color w:val="0000FF" w:themeColor="hyperlink"/>
      <w:u w:val="single"/>
    </w:rPr>
  </w:style>
  <w:style w:type="character" w:styleId="FollowedHyperlink">
    <w:name w:val="FollowedHyperlink"/>
    <w:basedOn w:val="DefaultParagraphFont"/>
    <w:uiPriority w:val="99"/>
    <w:semiHidden/>
    <w:unhideWhenUsed/>
    <w:rsid w:val="00DE39F9"/>
    <w:rPr>
      <w:color w:val="800080" w:themeColor="followedHyperlink"/>
      <w:u w:val="single"/>
    </w:rPr>
  </w:style>
  <w:style w:type="character" w:styleId="Strong">
    <w:name w:val="Strong"/>
    <w:basedOn w:val="DefaultParagraphFont"/>
    <w:uiPriority w:val="22"/>
    <w:qFormat/>
    <w:rsid w:val="00785E93"/>
    <w:rPr>
      <w:b/>
      <w:bCs/>
    </w:rPr>
  </w:style>
  <w:style w:type="paragraph" w:styleId="BalloonText">
    <w:name w:val="Balloon Text"/>
    <w:basedOn w:val="Normal"/>
    <w:link w:val="BalloonTextChar"/>
    <w:uiPriority w:val="99"/>
    <w:semiHidden/>
    <w:unhideWhenUsed/>
    <w:rsid w:val="00F23ED5"/>
    <w:rPr>
      <w:rFonts w:ascii="Tahoma" w:hAnsi="Tahoma" w:cs="Tahoma"/>
      <w:sz w:val="16"/>
      <w:szCs w:val="16"/>
    </w:rPr>
  </w:style>
  <w:style w:type="character" w:customStyle="1" w:styleId="BalloonTextChar">
    <w:name w:val="Balloon Text Char"/>
    <w:basedOn w:val="DefaultParagraphFont"/>
    <w:link w:val="BalloonText"/>
    <w:uiPriority w:val="99"/>
    <w:semiHidden/>
    <w:rsid w:val="00F23ED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2016822">
      <w:bodyDiv w:val="1"/>
      <w:marLeft w:val="0"/>
      <w:marRight w:val="0"/>
      <w:marTop w:val="0"/>
      <w:marBottom w:val="0"/>
      <w:divBdr>
        <w:top w:val="none" w:sz="0" w:space="0" w:color="auto"/>
        <w:left w:val="none" w:sz="0" w:space="0" w:color="auto"/>
        <w:bottom w:val="none" w:sz="0" w:space="0" w:color="auto"/>
        <w:right w:val="none" w:sz="0" w:space="0" w:color="auto"/>
      </w:divBdr>
    </w:div>
    <w:div w:id="135399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jieznogimnazija.lt/wp-content/uploads/2019/12/Veiklos-planas_2019_2020_%C4%AESAKYMUI.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mvydas\Desktop\Naujas%20dokumentas.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lt-LT"/>
  <c:chart>
    <c:autoTitleDeleted val="1"/>
    <c:view3D>
      <c:hPercent val="29"/>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5.808477237048669E-2"/>
          <c:y val="6.194690265486727E-2"/>
          <c:w val="0.92621664050235353"/>
          <c:h val="0.6548672566371696"/>
        </c:manualLayout>
      </c:layout>
      <c:bar3DChart>
        <c:barDir val="col"/>
        <c:grouping val="clustered"/>
        <c:ser>
          <c:idx val="0"/>
          <c:order val="0"/>
          <c:tx>
            <c:strRef>
              <c:f>Sheet1!$A$2</c:f>
              <c:strCache>
                <c:ptCount val="1"/>
                <c:pt idx="0">
                  <c:v>Ugdytinių skaičius</c:v>
                </c:pt>
              </c:strCache>
            </c:strRef>
          </c:tx>
          <c:spPr>
            <a:solidFill>
              <a:srgbClr val="9999FF"/>
            </a:solidFill>
            <a:ln w="12680">
              <a:solidFill>
                <a:srgbClr val="000000"/>
              </a:solidFill>
              <a:prstDash val="solid"/>
            </a:ln>
          </c:spPr>
          <c:dLbls>
            <c:dLbl>
              <c:idx val="0"/>
              <c:layout>
                <c:manualLayout>
                  <c:x val="-2.0009842519685315E-3"/>
                  <c:y val="0.26557981388690088"/>
                </c:manualLayout>
              </c:layout>
              <c:spPr>
                <a:noFill/>
                <a:ln w="25360">
                  <a:noFill/>
                </a:ln>
              </c:spPr>
              <c:txPr>
                <a:bodyPr/>
                <a:lstStyle/>
                <a:p>
                  <a:pPr>
                    <a:defRPr lang="lt-LT" sz="998" b="1" i="0" u="none" strike="noStrike" baseline="0">
                      <a:solidFill>
                        <a:srgbClr val="000000"/>
                      </a:solidFill>
                      <a:latin typeface="Calibri"/>
                      <a:ea typeface="Calibri"/>
                      <a:cs typeface="Calibri"/>
                    </a:defRPr>
                  </a:pPr>
                  <a:endParaRPr lang="lt-LT"/>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6598-41C5-AAE8-7C934097C04B}"/>
                </c:ext>
              </c:extLst>
            </c:dLbl>
            <c:dLbl>
              <c:idx val="1"/>
              <c:layout>
                <c:manualLayout>
                  <c:x val="1.7060367454068284E-5"/>
                  <c:y val="0.21752207110474828"/>
                </c:manualLayout>
              </c:layout>
              <c:spPr>
                <a:noFill/>
                <a:ln w="25360">
                  <a:noFill/>
                </a:ln>
              </c:spPr>
              <c:txPr>
                <a:bodyPr/>
                <a:lstStyle/>
                <a:p>
                  <a:pPr>
                    <a:defRPr lang="lt-LT" sz="998" b="1" i="0" u="none" strike="noStrike" baseline="0">
                      <a:solidFill>
                        <a:srgbClr val="000000"/>
                      </a:solidFill>
                      <a:latin typeface="Calibri"/>
                      <a:ea typeface="Calibri"/>
                      <a:cs typeface="Calibri"/>
                    </a:defRPr>
                  </a:pPr>
                  <a:endParaRPr lang="lt-LT"/>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6598-41C5-AAE8-7C934097C04B}"/>
                </c:ext>
              </c:extLst>
            </c:dLbl>
            <c:dLbl>
              <c:idx val="2"/>
              <c:layout>
                <c:manualLayout>
                  <c:x val="3.0621719160105055E-3"/>
                  <c:y val="0.22315716217291023"/>
                </c:manualLayout>
              </c:layout>
              <c:spPr>
                <a:noFill/>
                <a:ln w="25360">
                  <a:noFill/>
                </a:ln>
              </c:spPr>
              <c:txPr>
                <a:bodyPr/>
                <a:lstStyle/>
                <a:p>
                  <a:pPr>
                    <a:defRPr lang="lt-LT" sz="998" b="1" i="0" u="none" strike="noStrike" baseline="0">
                      <a:solidFill>
                        <a:srgbClr val="000000"/>
                      </a:solidFill>
                      <a:latin typeface="Calibri"/>
                      <a:ea typeface="Calibri"/>
                      <a:cs typeface="Calibri"/>
                    </a:defRPr>
                  </a:pPr>
                  <a:endParaRPr lang="lt-LT"/>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6598-41C5-AAE8-7C934097C04B}"/>
                </c:ext>
              </c:extLst>
            </c:dLbl>
            <c:dLbl>
              <c:idx val="3"/>
              <c:layout>
                <c:manualLayout>
                  <c:x val="-2.1966863517060412E-3"/>
                  <c:y val="0.17952397995705083"/>
                </c:manualLayout>
              </c:layout>
              <c:spPr>
                <a:noFill/>
                <a:ln w="25360">
                  <a:noFill/>
                </a:ln>
              </c:spPr>
              <c:txPr>
                <a:bodyPr/>
                <a:lstStyle/>
                <a:p>
                  <a:pPr>
                    <a:defRPr lang="lt-LT" sz="998" b="1" i="0" u="none" strike="noStrike" baseline="0">
                      <a:solidFill>
                        <a:srgbClr val="000000"/>
                      </a:solidFill>
                      <a:latin typeface="Calibri"/>
                      <a:ea typeface="Calibri"/>
                      <a:cs typeface="Calibri"/>
                    </a:defRPr>
                  </a:pPr>
                  <a:endParaRPr lang="lt-LT"/>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6598-41C5-AAE8-7C934097C04B}"/>
                </c:ext>
              </c:extLst>
            </c:dLbl>
            <c:dLbl>
              <c:idx val="4"/>
              <c:layout>
                <c:manualLayout>
                  <c:x val="-2.261975065616879E-3"/>
                  <c:y val="0.17037660065219121"/>
                </c:manualLayout>
              </c:layout>
              <c:spPr>
                <a:noFill/>
                <a:ln w="25360">
                  <a:noFill/>
                </a:ln>
              </c:spPr>
              <c:txPr>
                <a:bodyPr/>
                <a:lstStyle/>
                <a:p>
                  <a:pPr>
                    <a:defRPr lang="lt-LT" sz="998" b="1" i="0" u="none" strike="noStrike" baseline="0">
                      <a:solidFill>
                        <a:srgbClr val="000000"/>
                      </a:solidFill>
                      <a:latin typeface="Calibri"/>
                      <a:ea typeface="Calibri"/>
                      <a:cs typeface="Calibri"/>
                    </a:defRPr>
                  </a:pPr>
                  <a:endParaRPr lang="lt-LT"/>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6598-41C5-AAE8-7C934097C04B}"/>
                </c:ext>
              </c:extLst>
            </c:dLbl>
            <c:dLbl>
              <c:idx val="5"/>
              <c:layout>
                <c:manualLayout>
                  <c:x val="2.6984908136482954E-4"/>
                  <c:y val="0.14765728147617946"/>
                </c:manualLayout>
              </c:layout>
              <c:spPr>
                <a:noFill/>
                <a:ln w="25360">
                  <a:noFill/>
                </a:ln>
              </c:spPr>
              <c:txPr>
                <a:bodyPr/>
                <a:lstStyle/>
                <a:p>
                  <a:pPr>
                    <a:defRPr lang="lt-LT" sz="998" b="1" i="0" u="none" strike="noStrike" baseline="0">
                      <a:solidFill>
                        <a:srgbClr val="000000"/>
                      </a:solidFill>
                      <a:latin typeface="Calibri"/>
                      <a:ea typeface="Calibri"/>
                      <a:cs typeface="Calibri"/>
                    </a:defRPr>
                  </a:pPr>
                  <a:endParaRPr lang="lt-LT"/>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6598-41C5-AAE8-7C934097C04B}"/>
                </c:ext>
              </c:extLst>
            </c:dLbl>
            <c:dLbl>
              <c:idx val="6"/>
              <c:layout>
                <c:manualLayout>
                  <c:x val="2.8013451443569598E-3"/>
                  <c:y val="0.13358904000636312"/>
                </c:manualLayout>
              </c:layout>
              <c:spPr>
                <a:noFill/>
                <a:ln w="25360">
                  <a:noFill/>
                </a:ln>
              </c:spPr>
              <c:txPr>
                <a:bodyPr/>
                <a:lstStyle/>
                <a:p>
                  <a:pPr>
                    <a:defRPr lang="lt-LT" sz="998" b="1" i="0" u="none" strike="noStrike" baseline="0">
                      <a:solidFill>
                        <a:srgbClr val="000000"/>
                      </a:solidFill>
                      <a:latin typeface="Calibri"/>
                      <a:ea typeface="Calibri"/>
                      <a:cs typeface="Calibri"/>
                    </a:defRPr>
                  </a:pPr>
                  <a:endParaRPr lang="lt-LT"/>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6598-41C5-AAE8-7C934097C04B}"/>
                </c:ext>
              </c:extLst>
            </c:dLbl>
            <c:dLbl>
              <c:idx val="7"/>
              <c:layout>
                <c:manualLayout>
                  <c:x val="6.5288713910761312E-4"/>
                  <c:y val="0.12696134574087353"/>
                </c:manualLayout>
              </c:layout>
              <c:spPr>
                <a:noFill/>
                <a:ln w="25360">
                  <a:noFill/>
                </a:ln>
              </c:spPr>
              <c:txPr>
                <a:bodyPr/>
                <a:lstStyle/>
                <a:p>
                  <a:pPr>
                    <a:defRPr lang="lt-LT" sz="998" b="1" i="0" u="none" strike="noStrike" baseline="0">
                      <a:solidFill>
                        <a:srgbClr val="000000"/>
                      </a:solidFill>
                      <a:latin typeface="Calibri"/>
                      <a:ea typeface="Calibri"/>
                      <a:cs typeface="Calibri"/>
                    </a:defRPr>
                  </a:pPr>
                  <a:endParaRPr lang="lt-LT"/>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6598-41C5-AAE8-7C934097C04B}"/>
                </c:ext>
              </c:extLst>
            </c:dLbl>
            <c:dLbl>
              <c:idx val="8"/>
              <c:layout>
                <c:manualLayout>
                  <c:x val="0"/>
                  <c:y val="0.1129943502824859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6598-41C5-AAE8-7C934097C04B}"/>
                </c:ext>
              </c:extLst>
            </c:dLbl>
            <c:spPr>
              <a:noFill/>
              <a:ln w="25360">
                <a:noFill/>
              </a:ln>
            </c:spPr>
            <c:txPr>
              <a:bodyPr wrap="square" lIns="38100" tIns="19050" rIns="38100" bIns="19050" anchor="ctr">
                <a:spAutoFit/>
              </a:bodyPr>
              <a:lstStyle/>
              <a:p>
                <a:pPr>
                  <a:defRPr lang="lt-LT" sz="998" b="1" i="0" u="none" strike="noStrike" baseline="0">
                    <a:solidFill>
                      <a:srgbClr val="000000"/>
                    </a:solidFill>
                    <a:latin typeface="Calibri"/>
                    <a:ea typeface="Calibri"/>
                    <a:cs typeface="Calibri"/>
                  </a:defRPr>
                </a:pPr>
                <a:endParaRPr lang="lt-LT"/>
              </a:p>
            </c:txPr>
            <c:showVal val="1"/>
            <c:extLst xmlns:c16r2="http://schemas.microsoft.com/office/drawing/2015/06/chart">
              <c:ext xmlns:c15="http://schemas.microsoft.com/office/drawing/2012/chart" uri="{CE6537A1-D6FC-4f65-9D91-7224C49458BB}">
                <c15:showLeaderLines val="0"/>
              </c:ext>
            </c:extLst>
          </c:dLbls>
          <c:cat>
            <c:numRef>
              <c:f>Sheet1!$B$1:$J$1</c:f>
              <c:numCache>
                <c:formatCode>General</c:formatCode>
                <c:ptCount val="9"/>
                <c:pt idx="0">
                  <c:v>2011</c:v>
                </c:pt>
                <c:pt idx="1">
                  <c:v>2012</c:v>
                </c:pt>
                <c:pt idx="2">
                  <c:v>2013</c:v>
                </c:pt>
                <c:pt idx="3">
                  <c:v>2014</c:v>
                </c:pt>
                <c:pt idx="4">
                  <c:v>2015</c:v>
                </c:pt>
                <c:pt idx="5">
                  <c:v>2016</c:v>
                </c:pt>
                <c:pt idx="6">
                  <c:v>2017</c:v>
                </c:pt>
                <c:pt idx="7">
                  <c:v>2018</c:v>
                </c:pt>
                <c:pt idx="8">
                  <c:v>2019</c:v>
                </c:pt>
              </c:numCache>
            </c:numRef>
          </c:cat>
          <c:val>
            <c:numRef>
              <c:f>Sheet1!$B$2:$J$2</c:f>
              <c:numCache>
                <c:formatCode>General</c:formatCode>
                <c:ptCount val="9"/>
                <c:pt idx="0">
                  <c:v>381</c:v>
                </c:pt>
                <c:pt idx="1">
                  <c:v>355</c:v>
                </c:pt>
                <c:pt idx="2">
                  <c:v>347</c:v>
                </c:pt>
                <c:pt idx="3">
                  <c:v>321</c:v>
                </c:pt>
                <c:pt idx="4">
                  <c:v>312</c:v>
                </c:pt>
                <c:pt idx="5">
                  <c:v>294</c:v>
                </c:pt>
                <c:pt idx="6">
                  <c:v>270</c:v>
                </c:pt>
                <c:pt idx="7">
                  <c:v>248</c:v>
                </c:pt>
                <c:pt idx="8">
                  <c:v>221</c:v>
                </c:pt>
              </c:numCache>
            </c:numRef>
          </c:val>
          <c:extLst xmlns:c16r2="http://schemas.microsoft.com/office/drawing/2015/06/chart">
            <c:ext xmlns:c16="http://schemas.microsoft.com/office/drawing/2014/chart" uri="{C3380CC4-5D6E-409C-BE32-E72D297353CC}">
              <c16:uniqueId val="{00000008-6598-41C5-AAE8-7C934097C04B}"/>
            </c:ext>
          </c:extLst>
        </c:ser>
        <c:dLbls>
          <c:showVal val="1"/>
        </c:dLbls>
        <c:gapDepth val="0"/>
        <c:shape val="box"/>
        <c:axId val="106067456"/>
        <c:axId val="106068992"/>
        <c:axId val="0"/>
      </c:bar3DChart>
      <c:catAx>
        <c:axId val="106067456"/>
        <c:scaling>
          <c:orientation val="minMax"/>
        </c:scaling>
        <c:axPos val="b"/>
        <c:numFmt formatCode="General" sourceLinked="1"/>
        <c:tickLblPos val="low"/>
        <c:spPr>
          <a:ln w="3170">
            <a:solidFill>
              <a:srgbClr val="000000"/>
            </a:solidFill>
            <a:prstDash val="solid"/>
          </a:ln>
        </c:spPr>
        <c:txPr>
          <a:bodyPr rot="0" vert="horz"/>
          <a:lstStyle/>
          <a:p>
            <a:pPr>
              <a:defRPr lang="lt-LT" sz="998" b="1" i="0" u="none" strike="noStrike" baseline="0">
                <a:solidFill>
                  <a:srgbClr val="000000"/>
                </a:solidFill>
                <a:latin typeface="Calibri"/>
                <a:ea typeface="Calibri"/>
                <a:cs typeface="Calibri"/>
              </a:defRPr>
            </a:pPr>
            <a:endParaRPr lang="lt-LT"/>
          </a:p>
        </c:txPr>
        <c:crossAx val="106068992"/>
        <c:crosses val="autoZero"/>
        <c:auto val="1"/>
        <c:lblAlgn val="ctr"/>
        <c:lblOffset val="100"/>
        <c:tickLblSkip val="1"/>
        <c:tickMarkSkip val="1"/>
      </c:catAx>
      <c:valAx>
        <c:axId val="106068992"/>
        <c:scaling>
          <c:orientation val="minMax"/>
        </c:scaling>
        <c:axPos val="l"/>
        <c:majorGridlines>
          <c:spPr>
            <a:ln w="3170">
              <a:solidFill>
                <a:srgbClr val="000000"/>
              </a:solidFill>
              <a:prstDash val="solid"/>
            </a:ln>
          </c:spPr>
        </c:majorGridlines>
        <c:numFmt formatCode="General" sourceLinked="1"/>
        <c:tickLblPos val="nextTo"/>
        <c:spPr>
          <a:ln w="3170">
            <a:solidFill>
              <a:srgbClr val="000000"/>
            </a:solidFill>
            <a:prstDash val="solid"/>
          </a:ln>
        </c:spPr>
        <c:txPr>
          <a:bodyPr rot="0" vert="horz"/>
          <a:lstStyle/>
          <a:p>
            <a:pPr>
              <a:defRPr lang="lt-LT" sz="998" b="0" i="0" u="none" strike="noStrike" baseline="0">
                <a:solidFill>
                  <a:srgbClr val="000000"/>
                </a:solidFill>
                <a:latin typeface="Calibri"/>
                <a:ea typeface="Calibri"/>
                <a:cs typeface="Calibri"/>
              </a:defRPr>
            </a:pPr>
            <a:endParaRPr lang="lt-LT"/>
          </a:p>
        </c:txPr>
        <c:crossAx val="106067456"/>
        <c:crosses val="autoZero"/>
        <c:crossBetween val="between"/>
      </c:valAx>
      <c:spPr>
        <a:noFill/>
        <a:ln w="25360">
          <a:noFill/>
        </a:ln>
      </c:spPr>
    </c:plotArea>
    <c:legend>
      <c:legendPos val="b"/>
      <c:layout>
        <c:manualLayout>
          <c:xMode val="edge"/>
          <c:yMode val="edge"/>
          <c:x val="0.40816326530612246"/>
          <c:y val="0.88053097345132758"/>
          <c:w val="0.18367346938775511"/>
          <c:h val="0.10619469026548699"/>
        </c:manualLayout>
      </c:layout>
      <c:spPr>
        <a:noFill/>
        <a:ln w="3170">
          <a:solidFill>
            <a:srgbClr val="000000"/>
          </a:solidFill>
          <a:prstDash val="solid"/>
        </a:ln>
      </c:spPr>
      <c:txPr>
        <a:bodyPr/>
        <a:lstStyle/>
        <a:p>
          <a:pPr>
            <a:defRPr lang="lt-LT" sz="919" b="1" i="0" u="none" strike="noStrike" baseline="0">
              <a:solidFill>
                <a:srgbClr val="000000"/>
              </a:solidFill>
              <a:latin typeface="Calibri"/>
              <a:ea typeface="Calibri"/>
              <a:cs typeface="Calibri"/>
            </a:defRPr>
          </a:pPr>
          <a:endParaRPr lang="lt-LT"/>
        </a:p>
      </c:txPr>
    </c:legend>
    <c:plotVisOnly val="1"/>
    <c:dispBlanksAs val="gap"/>
  </c:chart>
  <c:spPr>
    <a:noFill/>
    <a:ln>
      <a:noFill/>
    </a:ln>
  </c:spPr>
  <c:txPr>
    <a:bodyPr/>
    <a:lstStyle/>
    <a:p>
      <a:pPr>
        <a:defRPr sz="998" b="1" i="0" u="none" strike="noStrike" baseline="0">
          <a:solidFill>
            <a:srgbClr val="000000"/>
          </a:solidFill>
          <a:latin typeface="Calibri"/>
          <a:ea typeface="Calibri"/>
          <a:cs typeface="Calibri"/>
        </a:defRPr>
      </a:pPr>
      <a:endParaRPr lang="lt-LT"/>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B306B-6448-4156-99A2-047090499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Naujas dokumentas</Template>
  <TotalTime>3</TotalTime>
  <Pages>1</Pages>
  <Words>6245</Words>
  <Characters>3561</Characters>
  <Application>Microsoft Office Word</Application>
  <DocSecurity>0</DocSecurity>
  <Lines>29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User</cp:lastModifiedBy>
  <cp:revision>7</cp:revision>
  <cp:lastPrinted>2020-06-01T09:57:00Z</cp:lastPrinted>
  <dcterms:created xsi:type="dcterms:W3CDTF">2020-05-29T11:14:00Z</dcterms:created>
  <dcterms:modified xsi:type="dcterms:W3CDTF">2020-06-01T13:47:00Z</dcterms:modified>
</cp:coreProperties>
</file>