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91" w:rsidRPr="00253199" w:rsidRDefault="00876F91" w:rsidP="00876F91">
      <w:pPr>
        <w:tabs>
          <w:tab w:val="left" w:pos="14656"/>
        </w:tabs>
        <w:spacing w:after="0" w:line="240" w:lineRule="auto"/>
        <w:jc w:val="center"/>
        <w:rPr>
          <w:rFonts w:ascii="Times New Roman" w:eastAsia="Times New Roman" w:hAnsi="Times New Roman" w:cs="Times New Roman"/>
          <w:sz w:val="24"/>
          <w:szCs w:val="24"/>
          <w:lang w:eastAsia="lt-LT"/>
        </w:rPr>
      </w:pPr>
      <w:r w:rsidRPr="00F548E5">
        <w:rPr>
          <w:rFonts w:ascii="Times New Roman" w:eastAsia="Times New Roman" w:hAnsi="Times New Roman" w:cs="Times New Roman"/>
          <w:sz w:val="24"/>
          <w:szCs w:val="24"/>
          <w:u w:val="single"/>
          <w:lang w:eastAsia="lt-LT"/>
        </w:rPr>
        <w:t>Prienų „Žiburio“ gimnazijos</w:t>
      </w:r>
      <w:r w:rsidRPr="00253199">
        <w:rPr>
          <w:rFonts w:ascii="Times New Roman" w:eastAsia="Times New Roman" w:hAnsi="Times New Roman" w:cs="Times New Roman"/>
          <w:sz w:val="24"/>
          <w:szCs w:val="24"/>
          <w:lang w:eastAsia="lt-LT"/>
        </w:rPr>
        <w:t>___</w:t>
      </w:r>
      <w:r>
        <w:rPr>
          <w:rFonts w:ascii="Times New Roman" w:eastAsia="Times New Roman" w:hAnsi="Times New Roman" w:cs="Times New Roman"/>
          <w:sz w:val="24"/>
          <w:szCs w:val="24"/>
          <w:lang w:eastAsia="lt-LT"/>
        </w:rPr>
        <w:t>____________</w:t>
      </w:r>
    </w:p>
    <w:p w:rsidR="00876F91" w:rsidRPr="00253199" w:rsidRDefault="00876F91" w:rsidP="00876F91">
      <w:pPr>
        <w:tabs>
          <w:tab w:val="left" w:pos="14656"/>
        </w:tabs>
        <w:spacing w:after="0" w:line="240" w:lineRule="auto"/>
        <w:jc w:val="center"/>
        <w:rPr>
          <w:rFonts w:ascii="Times New Roman" w:eastAsia="Times New Roman" w:hAnsi="Times New Roman" w:cs="Times New Roman"/>
          <w:sz w:val="20"/>
          <w:szCs w:val="20"/>
          <w:lang w:eastAsia="lt-LT"/>
        </w:rPr>
      </w:pPr>
      <w:r w:rsidRPr="00253199">
        <w:rPr>
          <w:rFonts w:ascii="Times New Roman" w:eastAsia="Times New Roman" w:hAnsi="Times New Roman" w:cs="Times New Roman"/>
          <w:sz w:val="20"/>
          <w:szCs w:val="20"/>
          <w:lang w:eastAsia="lt-LT"/>
        </w:rPr>
        <w:t>(švietimo įstaigos pavadinimas)</w:t>
      </w:r>
    </w:p>
    <w:p w:rsidR="00876F91" w:rsidRPr="00253199" w:rsidRDefault="00876F91" w:rsidP="00876F91">
      <w:pPr>
        <w:tabs>
          <w:tab w:val="left" w:pos="14656"/>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w:t>
      </w:r>
      <w:r w:rsidRPr="00253199">
        <w:rPr>
          <w:rFonts w:ascii="Times New Roman" w:eastAsia="Times New Roman" w:hAnsi="Times New Roman" w:cs="Times New Roman"/>
          <w:sz w:val="24"/>
          <w:szCs w:val="24"/>
          <w:lang w:eastAsia="lt-LT"/>
        </w:rPr>
        <w:t>____________</w:t>
      </w:r>
      <w:r w:rsidRPr="00253199">
        <w:rPr>
          <w:rFonts w:ascii="Times New Roman" w:eastAsia="Times New Roman" w:hAnsi="Times New Roman" w:cs="Times New Roman"/>
          <w:sz w:val="24"/>
          <w:szCs w:val="24"/>
          <w:u w:val="single"/>
          <w:lang w:eastAsia="lt-LT"/>
        </w:rPr>
        <w:t>___</w:t>
      </w:r>
      <w:r w:rsidRPr="00F548E5">
        <w:rPr>
          <w:rFonts w:ascii="Times New Roman" w:eastAsia="Times New Roman" w:hAnsi="Times New Roman" w:cs="Times New Roman"/>
          <w:sz w:val="24"/>
          <w:szCs w:val="24"/>
          <w:u w:val="single"/>
          <w:lang w:eastAsia="lt-LT"/>
        </w:rPr>
        <w:t xml:space="preserve">Irma </w:t>
      </w:r>
      <w:proofErr w:type="spellStart"/>
      <w:r w:rsidRPr="00F548E5">
        <w:rPr>
          <w:rFonts w:ascii="Times New Roman" w:eastAsia="Times New Roman" w:hAnsi="Times New Roman" w:cs="Times New Roman"/>
          <w:sz w:val="24"/>
          <w:szCs w:val="24"/>
          <w:u w:val="single"/>
          <w:lang w:eastAsia="lt-LT"/>
        </w:rPr>
        <w:t>Kačinauskienė</w:t>
      </w:r>
      <w:proofErr w:type="spellEnd"/>
      <w:r w:rsidRPr="00253199">
        <w:rPr>
          <w:rFonts w:ascii="Times New Roman" w:eastAsia="Times New Roman" w:hAnsi="Times New Roman" w:cs="Times New Roman"/>
          <w:sz w:val="24"/>
          <w:szCs w:val="24"/>
          <w:lang w:eastAsia="lt-LT"/>
        </w:rPr>
        <w:t>____</w:t>
      </w:r>
      <w:r>
        <w:rPr>
          <w:rFonts w:ascii="Times New Roman" w:eastAsia="Times New Roman" w:hAnsi="Times New Roman" w:cs="Times New Roman"/>
          <w:sz w:val="24"/>
          <w:szCs w:val="24"/>
          <w:lang w:eastAsia="lt-LT"/>
        </w:rPr>
        <w:t>________________________</w:t>
      </w:r>
    </w:p>
    <w:p w:rsidR="00876F91" w:rsidRPr="00253199" w:rsidRDefault="00876F91" w:rsidP="00876F91">
      <w:pPr>
        <w:spacing w:after="0" w:line="240" w:lineRule="auto"/>
        <w:jc w:val="center"/>
        <w:rPr>
          <w:rFonts w:ascii="Times New Roman" w:eastAsia="Times New Roman" w:hAnsi="Times New Roman" w:cs="Times New Roman"/>
          <w:sz w:val="20"/>
          <w:szCs w:val="20"/>
          <w:lang w:eastAsia="lt-LT"/>
        </w:rPr>
      </w:pPr>
      <w:r w:rsidRPr="00253199">
        <w:rPr>
          <w:rFonts w:ascii="Times New Roman" w:eastAsia="Times New Roman" w:hAnsi="Times New Roman" w:cs="Times New Roman"/>
          <w:sz w:val="20"/>
          <w:szCs w:val="20"/>
          <w:lang w:eastAsia="lt-LT"/>
        </w:rPr>
        <w:t>(švietimo įstaigos vadovo vardas ir pavardė)</w:t>
      </w:r>
    </w:p>
    <w:p w:rsidR="00876F91" w:rsidRPr="00253199" w:rsidRDefault="00876F91" w:rsidP="00876F91">
      <w:pPr>
        <w:spacing w:after="0" w:line="240" w:lineRule="auto"/>
        <w:jc w:val="center"/>
        <w:rPr>
          <w:rFonts w:ascii="Times New Roman" w:eastAsia="Times New Roman" w:hAnsi="Times New Roman" w:cs="Times New Roman"/>
          <w:b/>
          <w:sz w:val="24"/>
          <w:szCs w:val="24"/>
          <w:lang w:eastAsia="lt-LT"/>
        </w:rPr>
      </w:pPr>
      <w:r w:rsidRPr="00253199">
        <w:rPr>
          <w:rFonts w:ascii="Times New Roman" w:eastAsia="Times New Roman" w:hAnsi="Times New Roman" w:cs="Times New Roman"/>
          <w:b/>
          <w:sz w:val="24"/>
          <w:szCs w:val="24"/>
          <w:lang w:eastAsia="lt-LT"/>
        </w:rPr>
        <w:t>METŲ VEIKLOS ATASKAITA</w:t>
      </w:r>
    </w:p>
    <w:p w:rsidR="00876F91" w:rsidRPr="00253199" w:rsidRDefault="00876F91" w:rsidP="00876F91">
      <w:pPr>
        <w:spacing w:after="0" w:line="240" w:lineRule="auto"/>
        <w:jc w:val="center"/>
        <w:rPr>
          <w:rFonts w:ascii="Times New Roman" w:eastAsia="Times New Roman" w:hAnsi="Times New Roman" w:cs="Times New Roman"/>
          <w:sz w:val="24"/>
          <w:szCs w:val="24"/>
          <w:lang w:eastAsia="lt-LT"/>
        </w:rPr>
      </w:pPr>
    </w:p>
    <w:p w:rsidR="00876F91" w:rsidRPr="00253199" w:rsidRDefault="00876F91" w:rsidP="00876F91">
      <w:pPr>
        <w:spacing w:after="0" w:line="240" w:lineRule="auto"/>
        <w:jc w:val="center"/>
        <w:rPr>
          <w:rFonts w:ascii="Times New Roman" w:eastAsia="Times New Roman" w:hAnsi="Times New Roman" w:cs="Times New Roman"/>
          <w:sz w:val="24"/>
          <w:szCs w:val="24"/>
          <w:lang w:eastAsia="lt-LT"/>
        </w:rPr>
      </w:pPr>
      <w:r w:rsidRPr="00253199">
        <w:rPr>
          <w:rFonts w:ascii="Times New Roman" w:eastAsia="Times New Roman" w:hAnsi="Times New Roman" w:cs="Times New Roman"/>
          <w:sz w:val="24"/>
          <w:szCs w:val="24"/>
          <w:u w:val="single"/>
          <w:lang w:eastAsia="lt-LT"/>
        </w:rPr>
        <w:t>__2021-01-19</w:t>
      </w:r>
      <w:r>
        <w:rPr>
          <w:rFonts w:ascii="Times New Roman" w:eastAsia="Times New Roman" w:hAnsi="Times New Roman" w:cs="Times New Roman"/>
          <w:sz w:val="24"/>
          <w:szCs w:val="24"/>
          <w:lang w:eastAsia="lt-LT"/>
        </w:rPr>
        <w:t>_</w:t>
      </w:r>
      <w:r w:rsidRPr="00253199">
        <w:rPr>
          <w:rFonts w:ascii="Times New Roman" w:eastAsia="Times New Roman" w:hAnsi="Times New Roman" w:cs="Times New Roman"/>
          <w:sz w:val="24"/>
          <w:szCs w:val="24"/>
          <w:lang w:eastAsia="lt-LT"/>
        </w:rPr>
        <w:t xml:space="preserve"> Nr. ___</w:t>
      </w:r>
      <w:r w:rsidRPr="00F548E5">
        <w:rPr>
          <w:rFonts w:ascii="Times New Roman" w:eastAsia="Times New Roman" w:hAnsi="Times New Roman" w:cs="Times New Roman"/>
          <w:sz w:val="24"/>
          <w:szCs w:val="24"/>
          <w:u w:val="single"/>
          <w:lang w:eastAsia="lt-LT"/>
        </w:rPr>
        <w:t>1</w:t>
      </w:r>
      <w:r w:rsidRPr="00253199">
        <w:rPr>
          <w:rFonts w:ascii="Times New Roman" w:eastAsia="Times New Roman" w:hAnsi="Times New Roman" w:cs="Times New Roman"/>
          <w:sz w:val="24"/>
          <w:szCs w:val="24"/>
          <w:lang w:eastAsia="lt-LT"/>
        </w:rPr>
        <w:t xml:space="preserve">_____ </w:t>
      </w:r>
    </w:p>
    <w:p w:rsidR="00876F91" w:rsidRPr="00253199" w:rsidRDefault="00876F91" w:rsidP="00876F91">
      <w:pPr>
        <w:spacing w:after="0" w:line="240" w:lineRule="auto"/>
        <w:jc w:val="center"/>
        <w:rPr>
          <w:rFonts w:ascii="Times New Roman" w:eastAsia="Times New Roman" w:hAnsi="Times New Roman" w:cs="Times New Roman"/>
          <w:sz w:val="24"/>
          <w:szCs w:val="20"/>
          <w:lang w:eastAsia="lt-LT"/>
        </w:rPr>
      </w:pPr>
      <w:r w:rsidRPr="00253199">
        <w:rPr>
          <w:rFonts w:ascii="Times New Roman" w:eastAsia="Times New Roman" w:hAnsi="Times New Roman" w:cs="Times New Roman"/>
          <w:sz w:val="24"/>
          <w:szCs w:val="20"/>
          <w:lang w:eastAsia="lt-LT"/>
        </w:rPr>
        <w:t>(data)</w:t>
      </w:r>
    </w:p>
    <w:p w:rsidR="00876F91" w:rsidRPr="00253199" w:rsidRDefault="00876F91" w:rsidP="00876F91">
      <w:pPr>
        <w:tabs>
          <w:tab w:val="left" w:pos="3828"/>
        </w:tabs>
        <w:spacing w:after="0" w:line="240" w:lineRule="auto"/>
        <w:jc w:val="center"/>
        <w:rPr>
          <w:rFonts w:ascii="Times New Roman" w:eastAsia="Times New Roman" w:hAnsi="Times New Roman" w:cs="Times New Roman"/>
          <w:sz w:val="24"/>
          <w:szCs w:val="24"/>
          <w:lang w:eastAsia="lt-LT"/>
        </w:rPr>
      </w:pPr>
      <w:r w:rsidRPr="00253199">
        <w:rPr>
          <w:rFonts w:ascii="Times New Roman" w:eastAsia="Times New Roman" w:hAnsi="Times New Roman" w:cs="Times New Roman"/>
          <w:sz w:val="24"/>
          <w:szCs w:val="24"/>
          <w:lang w:eastAsia="lt-LT"/>
        </w:rPr>
        <w:t>______</w:t>
      </w:r>
      <w:r w:rsidRPr="00F548E5">
        <w:rPr>
          <w:rFonts w:ascii="Times New Roman" w:eastAsia="Times New Roman" w:hAnsi="Times New Roman" w:cs="Times New Roman"/>
          <w:sz w:val="24"/>
          <w:szCs w:val="24"/>
          <w:u w:val="single"/>
          <w:lang w:eastAsia="lt-LT"/>
        </w:rPr>
        <w:t>Prienai</w:t>
      </w:r>
      <w:r w:rsidRPr="00253199">
        <w:rPr>
          <w:rFonts w:ascii="Times New Roman" w:eastAsia="Times New Roman" w:hAnsi="Times New Roman" w:cs="Times New Roman"/>
          <w:sz w:val="24"/>
          <w:szCs w:val="24"/>
          <w:lang w:eastAsia="lt-LT"/>
        </w:rPr>
        <w:t>___________</w:t>
      </w:r>
    </w:p>
    <w:p w:rsidR="00876F91" w:rsidRPr="00253199" w:rsidRDefault="00876F91" w:rsidP="00876F91">
      <w:pPr>
        <w:tabs>
          <w:tab w:val="left" w:pos="3828"/>
        </w:tabs>
        <w:spacing w:after="0" w:line="240" w:lineRule="auto"/>
        <w:jc w:val="center"/>
        <w:rPr>
          <w:rFonts w:ascii="Times New Roman" w:eastAsia="Times New Roman" w:hAnsi="Times New Roman" w:cs="Times New Roman"/>
          <w:sz w:val="24"/>
          <w:szCs w:val="20"/>
          <w:lang w:eastAsia="lt-LT"/>
        </w:rPr>
      </w:pPr>
      <w:r w:rsidRPr="00253199">
        <w:rPr>
          <w:rFonts w:ascii="Times New Roman" w:eastAsia="Times New Roman" w:hAnsi="Times New Roman" w:cs="Times New Roman"/>
          <w:sz w:val="24"/>
          <w:szCs w:val="20"/>
          <w:lang w:eastAsia="lt-LT"/>
        </w:rPr>
        <w:t>(sudarymo vieta)</w:t>
      </w:r>
    </w:p>
    <w:p w:rsidR="00876F91" w:rsidRPr="00253199" w:rsidRDefault="00876F91" w:rsidP="00876F91">
      <w:pPr>
        <w:spacing w:after="0" w:line="240" w:lineRule="auto"/>
        <w:jc w:val="center"/>
        <w:rPr>
          <w:rFonts w:ascii="Times New Roman" w:eastAsia="Times New Roman" w:hAnsi="Times New Roman" w:cs="Times New Roman"/>
          <w:sz w:val="24"/>
          <w:szCs w:val="20"/>
          <w:lang w:eastAsia="lt-LT"/>
        </w:rPr>
      </w:pPr>
    </w:p>
    <w:p w:rsidR="00876F91" w:rsidRPr="00253199" w:rsidRDefault="00876F91" w:rsidP="00876F91">
      <w:pPr>
        <w:spacing w:after="0" w:line="240" w:lineRule="auto"/>
        <w:jc w:val="center"/>
        <w:rPr>
          <w:rFonts w:ascii="Times New Roman" w:eastAsia="Times New Roman" w:hAnsi="Times New Roman" w:cs="Times New Roman"/>
          <w:b/>
          <w:sz w:val="24"/>
          <w:szCs w:val="24"/>
          <w:lang w:eastAsia="lt-LT"/>
        </w:rPr>
      </w:pPr>
      <w:r w:rsidRPr="00253199">
        <w:rPr>
          <w:rFonts w:ascii="Times New Roman" w:eastAsia="Times New Roman" w:hAnsi="Times New Roman" w:cs="Times New Roman"/>
          <w:b/>
          <w:sz w:val="24"/>
          <w:szCs w:val="24"/>
          <w:lang w:eastAsia="lt-LT"/>
        </w:rPr>
        <w:t>I SKYRIUS</w:t>
      </w:r>
    </w:p>
    <w:p w:rsidR="00876F91" w:rsidRPr="00253199" w:rsidRDefault="00876F91" w:rsidP="00876F91">
      <w:pPr>
        <w:spacing w:after="0" w:line="240" w:lineRule="auto"/>
        <w:jc w:val="center"/>
        <w:rPr>
          <w:rFonts w:ascii="Times New Roman" w:eastAsia="Times New Roman" w:hAnsi="Times New Roman" w:cs="Times New Roman"/>
          <w:b/>
          <w:sz w:val="24"/>
          <w:szCs w:val="24"/>
          <w:lang w:eastAsia="lt-LT"/>
        </w:rPr>
      </w:pPr>
      <w:r w:rsidRPr="00253199">
        <w:rPr>
          <w:rFonts w:ascii="Times New Roman" w:eastAsia="Times New Roman" w:hAnsi="Times New Roman" w:cs="Times New Roman"/>
          <w:b/>
          <w:sz w:val="24"/>
          <w:szCs w:val="24"/>
          <w:lang w:eastAsia="lt-LT"/>
        </w:rPr>
        <w:t>STRATEGINIO PLANO IR METINIO VEIKLOS PLANO ĮGYVENDINIMAS</w:t>
      </w:r>
    </w:p>
    <w:p w:rsidR="00876F91" w:rsidRPr="00253199" w:rsidRDefault="00876F91" w:rsidP="00876F91">
      <w:pPr>
        <w:spacing w:after="0" w:line="240" w:lineRule="auto"/>
        <w:jc w:val="center"/>
        <w:rPr>
          <w:rFonts w:ascii="Times New Roman" w:eastAsia="Times New Roman" w:hAnsi="Times New Roman" w:cs="Times New Roman"/>
          <w:b/>
          <w:sz w:val="24"/>
          <w:szCs w:val="20"/>
          <w:lang w:eastAsia="lt-LT"/>
        </w:rPr>
      </w:pPr>
    </w:p>
    <w:tbl>
      <w:tblPr>
        <w:tblStyle w:val="Lentelstinklelis1"/>
        <w:tblW w:w="0" w:type="auto"/>
        <w:tblInd w:w="-147" w:type="dxa"/>
        <w:tblLook w:val="04A0"/>
      </w:tblPr>
      <w:tblGrid>
        <w:gridCol w:w="10001"/>
      </w:tblGrid>
      <w:tr w:rsidR="00876F91" w:rsidRPr="00253199" w:rsidTr="00222313">
        <w:tc>
          <w:tcPr>
            <w:tcW w:w="9775" w:type="dxa"/>
          </w:tcPr>
          <w:p w:rsidR="00876F91" w:rsidRPr="00253199" w:rsidRDefault="00876F91" w:rsidP="00222313">
            <w:pPr>
              <w:jc w:val="center"/>
              <w:rPr>
                <w:rFonts w:ascii="Times New Roman" w:eastAsia="Calibri" w:hAnsi="Times New Roman" w:cs="Times New Roman"/>
                <w:sz w:val="20"/>
                <w:szCs w:val="20"/>
                <w:lang w:eastAsia="lt-LT"/>
              </w:rPr>
            </w:pPr>
          </w:p>
          <w:p w:rsidR="00876F91" w:rsidRDefault="00876F91" w:rsidP="00222313">
            <w:pPr>
              <w:jc w:val="center"/>
              <w:rPr>
                <w:rFonts w:ascii="Times New Roman" w:eastAsia="Calibri" w:hAnsi="Times New Roman" w:cs="Times New Roman"/>
                <w:sz w:val="20"/>
                <w:szCs w:val="20"/>
                <w:lang w:eastAsia="lt-LT"/>
              </w:rPr>
            </w:pPr>
            <w:r w:rsidRPr="00253199">
              <w:rPr>
                <w:rFonts w:ascii="Times New Roman" w:eastAsia="Calibri" w:hAnsi="Times New Roman" w:cs="Times New Roman"/>
                <w:sz w:val="20"/>
                <w:szCs w:val="20"/>
                <w:lang w:eastAsia="lt-LT"/>
              </w:rPr>
              <w:t>(Švietimo įstaigos strateginio plano ir metinio veiklos plano įgyvendinimo kryptys ir svariausi rezultatai bei rodikliai)</w:t>
            </w:r>
          </w:p>
          <w:p w:rsidR="00876F91" w:rsidRPr="006C3BC9" w:rsidRDefault="00876F91" w:rsidP="00222313">
            <w:pPr>
              <w:overflowPunct w:val="0"/>
              <w:jc w:val="both"/>
              <w:textAlignment w:val="baseline"/>
              <w:rPr>
                <w:rFonts w:ascii="Times New Roman" w:eastAsia="Times New Roman" w:hAnsi="Times New Roman" w:cs="Times New Roman"/>
              </w:rPr>
            </w:pPr>
            <w:r w:rsidRPr="006C3BC9">
              <w:rPr>
                <w:rFonts w:ascii="Times New Roman" w:eastAsia="Times New Roman" w:hAnsi="Times New Roman" w:cs="Times New Roman"/>
              </w:rPr>
              <w:t xml:space="preserve">Strateginio veiklos plano 2019-2021 m. prioritetai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4"/>
              <w:gridCol w:w="2391"/>
              <w:gridCol w:w="837"/>
              <w:gridCol w:w="1055"/>
              <w:gridCol w:w="483"/>
              <w:gridCol w:w="2208"/>
              <w:gridCol w:w="848"/>
            </w:tblGrid>
            <w:tr w:rsidR="00876F91" w:rsidRPr="006C3BC9" w:rsidTr="00222313">
              <w:tc>
                <w:tcPr>
                  <w:tcW w:w="9402" w:type="dxa"/>
                  <w:gridSpan w:val="8"/>
                  <w:shd w:val="clear" w:color="auto" w:fill="A8D08D"/>
                </w:tcPr>
                <w:p w:rsidR="00876F91" w:rsidRPr="006C3BC9" w:rsidRDefault="00876F91" w:rsidP="00222313">
                  <w:pPr>
                    <w:spacing w:after="0" w:line="360" w:lineRule="auto"/>
                    <w:jc w:val="center"/>
                    <w:rPr>
                      <w:rFonts w:ascii="Times New Roman" w:eastAsia="Times New Roman" w:hAnsi="Times New Roman" w:cs="Times New Roman"/>
                      <w:sz w:val="20"/>
                      <w:szCs w:val="20"/>
                    </w:rPr>
                  </w:pPr>
                  <w:r w:rsidRPr="006C3BC9">
                    <w:rPr>
                      <w:rFonts w:ascii="Times New Roman" w:eastAsia="Times New Roman" w:hAnsi="Times New Roman" w:cs="Times New Roman"/>
                      <w:b/>
                      <w:sz w:val="20"/>
                      <w:szCs w:val="20"/>
                    </w:rPr>
                    <w:t>BENDROJI STRATEGIJA – EFEKTYVUMO IR MOKYMOSI STRATEGIJA</w:t>
                  </w:r>
                </w:p>
              </w:tc>
            </w:tr>
            <w:tr w:rsidR="00876F91" w:rsidRPr="006C3BC9" w:rsidTr="00222313">
              <w:tc>
                <w:tcPr>
                  <w:tcW w:w="4808" w:type="dxa"/>
                  <w:gridSpan w:val="4"/>
                  <w:shd w:val="clear" w:color="auto" w:fill="9CC2E5"/>
                </w:tcPr>
                <w:p w:rsidR="00876F91" w:rsidRPr="006C3BC9" w:rsidRDefault="00876F91" w:rsidP="00222313">
                  <w:pPr>
                    <w:spacing w:after="0" w:line="240" w:lineRule="auto"/>
                    <w:jc w:val="center"/>
                    <w:rPr>
                      <w:rFonts w:ascii="Times New Roman" w:eastAsia="Times New Roman" w:hAnsi="Times New Roman" w:cs="Times New Roman"/>
                      <w:sz w:val="20"/>
                      <w:szCs w:val="20"/>
                    </w:rPr>
                  </w:pPr>
                  <w:r w:rsidRPr="006C3BC9">
                    <w:rPr>
                      <w:rFonts w:ascii="Times New Roman" w:eastAsia="Times New Roman" w:hAnsi="Times New Roman" w:cs="Times New Roman"/>
                      <w:b/>
                      <w:sz w:val="20"/>
                      <w:szCs w:val="20"/>
                      <w:shd w:val="clear" w:color="auto" w:fill="9CC2E5"/>
                    </w:rPr>
                    <w:t>KLIENTO PERSPE</w:t>
                  </w:r>
                  <w:r w:rsidRPr="006C3BC9">
                    <w:rPr>
                      <w:rFonts w:ascii="Times New Roman" w:eastAsia="Times New Roman" w:hAnsi="Times New Roman" w:cs="Times New Roman"/>
                      <w:b/>
                      <w:sz w:val="20"/>
                      <w:szCs w:val="20"/>
                    </w:rPr>
                    <w:t>KTYVA</w:t>
                  </w:r>
                </w:p>
              </w:tc>
              <w:tc>
                <w:tcPr>
                  <w:tcW w:w="4594" w:type="dxa"/>
                  <w:gridSpan w:val="4"/>
                  <w:shd w:val="clear" w:color="auto" w:fill="F7CAAC"/>
                </w:tcPr>
                <w:p w:rsidR="00876F91" w:rsidRPr="006C3BC9" w:rsidRDefault="00876F91" w:rsidP="00222313">
                  <w:pPr>
                    <w:spacing w:after="0" w:line="240" w:lineRule="auto"/>
                    <w:jc w:val="center"/>
                    <w:rPr>
                      <w:rFonts w:ascii="Times New Roman" w:eastAsia="Times New Roman" w:hAnsi="Times New Roman" w:cs="Times New Roman"/>
                      <w:sz w:val="20"/>
                      <w:szCs w:val="20"/>
                    </w:rPr>
                  </w:pPr>
                  <w:r w:rsidRPr="006C3BC9">
                    <w:rPr>
                      <w:rFonts w:ascii="Times New Roman" w:eastAsia="Times New Roman" w:hAnsi="Times New Roman" w:cs="Times New Roman"/>
                      <w:b/>
                      <w:sz w:val="20"/>
                      <w:szCs w:val="20"/>
                    </w:rPr>
                    <w:t>ORGANIZACINĖ PERSPEKTYVA</w:t>
                  </w:r>
                </w:p>
              </w:tc>
            </w:tr>
            <w:tr w:rsidR="00876F91" w:rsidRPr="006C3BC9" w:rsidTr="00222313">
              <w:tc>
                <w:tcPr>
                  <w:tcW w:w="1116" w:type="dxa"/>
                  <w:vMerge w:val="restart"/>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Išliekantys prioritetai</w:t>
                  </w:r>
                </w:p>
                <w:p w:rsidR="00876F91" w:rsidRPr="006C3BC9" w:rsidRDefault="00876F91" w:rsidP="00222313">
                  <w:pPr>
                    <w:spacing w:after="0" w:line="240" w:lineRule="auto"/>
                    <w:rPr>
                      <w:rFonts w:ascii="Times New Roman" w:eastAsia="Times New Roman" w:hAnsi="Times New Roman" w:cs="Times New Roman"/>
                      <w:sz w:val="18"/>
                      <w:szCs w:val="18"/>
                    </w:rPr>
                  </w:pPr>
                </w:p>
                <w:p w:rsidR="00876F91" w:rsidRPr="006C3BC9" w:rsidRDefault="00876F91" w:rsidP="00222313">
                  <w:pPr>
                    <w:spacing w:after="0" w:line="240" w:lineRule="auto"/>
                    <w:rPr>
                      <w:rFonts w:ascii="Times New Roman" w:eastAsia="Times New Roman" w:hAnsi="Times New Roman" w:cs="Times New Roman"/>
                      <w:sz w:val="18"/>
                      <w:szCs w:val="18"/>
                    </w:rPr>
                  </w:pPr>
                </w:p>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Nauji prioritetai</w:t>
                  </w: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K1</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Mokinio pasiekimai ir pažanga (1.2.1)</w:t>
                  </w:r>
                </w:p>
              </w:tc>
              <w:tc>
                <w:tcPr>
                  <w:tcW w:w="837"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val="restart"/>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Išliekantys prioritetai</w:t>
                  </w:r>
                </w:p>
              </w:tc>
              <w:tc>
                <w:tcPr>
                  <w:tcW w:w="483"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O1</w:t>
                  </w:r>
                </w:p>
              </w:tc>
              <w:tc>
                <w:tcPr>
                  <w:tcW w:w="220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Mokymosi organizavimas (2.2.2)</w:t>
                  </w:r>
                </w:p>
              </w:tc>
              <w:tc>
                <w:tcPr>
                  <w:tcW w:w="84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c>
                <w:tcPr>
                  <w:tcW w:w="1116"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K2</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Mokyklos pasiekimai ir pažanga (1.2.2)</w:t>
                  </w:r>
                </w:p>
              </w:tc>
              <w:tc>
                <w:tcPr>
                  <w:tcW w:w="837"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83"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O2</w:t>
                  </w:r>
                </w:p>
              </w:tc>
              <w:tc>
                <w:tcPr>
                  <w:tcW w:w="220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 xml:space="preserve">Mokyklos </w:t>
                  </w:r>
                  <w:proofErr w:type="spellStart"/>
                  <w:r w:rsidRPr="006C3BC9">
                    <w:rPr>
                      <w:rFonts w:ascii="Times New Roman" w:eastAsia="Times New Roman" w:hAnsi="Times New Roman" w:cs="Times New Roman"/>
                      <w:sz w:val="18"/>
                      <w:szCs w:val="18"/>
                    </w:rPr>
                    <w:t>tinklaveika</w:t>
                  </w:r>
                  <w:proofErr w:type="spellEnd"/>
                  <w:r w:rsidRPr="006C3BC9">
                    <w:rPr>
                      <w:rFonts w:ascii="Times New Roman" w:eastAsia="Times New Roman" w:hAnsi="Times New Roman" w:cs="Times New Roman"/>
                      <w:sz w:val="18"/>
                      <w:szCs w:val="18"/>
                    </w:rPr>
                    <w:t xml:space="preserve"> (4.2.3)</w:t>
                  </w:r>
                </w:p>
              </w:tc>
              <w:tc>
                <w:tcPr>
                  <w:tcW w:w="84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c>
                <w:tcPr>
                  <w:tcW w:w="1116"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K3</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Mokymosi lūkesčiai ir mokinių skatinimas (2.2.1)</w:t>
                  </w:r>
                </w:p>
              </w:tc>
              <w:tc>
                <w:tcPr>
                  <w:tcW w:w="837"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83"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O3</w:t>
                  </w:r>
                </w:p>
              </w:tc>
              <w:tc>
                <w:tcPr>
                  <w:tcW w:w="220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Orientavimasis į mokinių poreikius (2.1.3)</w:t>
                  </w:r>
                </w:p>
              </w:tc>
              <w:tc>
                <w:tcPr>
                  <w:tcW w:w="84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rPr>
                <w:trHeight w:val="533"/>
              </w:trPr>
              <w:tc>
                <w:tcPr>
                  <w:tcW w:w="1116"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Atkrintantys prioritetai</w:t>
                  </w: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K4</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bCs/>
                      <w:sz w:val="18"/>
                      <w:szCs w:val="18"/>
                    </w:rPr>
                  </w:pPr>
                  <w:r w:rsidRPr="006C3BC9">
                    <w:rPr>
                      <w:rFonts w:ascii="Times New Roman" w:eastAsia="Times New Roman" w:hAnsi="Times New Roman" w:cs="Times New Roman"/>
                      <w:bCs/>
                      <w:sz w:val="18"/>
                      <w:szCs w:val="18"/>
                    </w:rPr>
                    <w:t>Ugdymas mokyklos gyvenimu (2.3.2)</w:t>
                  </w:r>
                </w:p>
              </w:tc>
              <w:tc>
                <w:tcPr>
                  <w:tcW w:w="837"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83"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O4</w:t>
                  </w:r>
                </w:p>
              </w:tc>
              <w:tc>
                <w:tcPr>
                  <w:tcW w:w="2208"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Bendradarbiavimas su tėvais/globėjais (4.2.2.)</w:t>
                  </w:r>
                </w:p>
              </w:tc>
              <w:tc>
                <w:tcPr>
                  <w:tcW w:w="84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c>
                <w:tcPr>
                  <w:tcW w:w="4808" w:type="dxa"/>
                  <w:gridSpan w:val="4"/>
                  <w:shd w:val="clear" w:color="auto" w:fill="FFE599"/>
                </w:tcPr>
                <w:p w:rsidR="00876F91" w:rsidRPr="006C3BC9" w:rsidRDefault="00876F91" w:rsidP="00222313">
                  <w:pPr>
                    <w:tabs>
                      <w:tab w:val="left" w:pos="1026"/>
                    </w:tabs>
                    <w:spacing w:after="0" w:line="240" w:lineRule="auto"/>
                    <w:jc w:val="center"/>
                    <w:rPr>
                      <w:rFonts w:ascii="Times New Roman" w:eastAsia="Times New Roman" w:hAnsi="Times New Roman" w:cs="Times New Roman"/>
                      <w:b/>
                      <w:sz w:val="18"/>
                      <w:szCs w:val="18"/>
                    </w:rPr>
                  </w:pPr>
                  <w:r w:rsidRPr="006C3BC9">
                    <w:rPr>
                      <w:rFonts w:ascii="Times New Roman" w:eastAsia="Times New Roman" w:hAnsi="Times New Roman" w:cs="Times New Roman"/>
                      <w:b/>
                      <w:sz w:val="18"/>
                      <w:szCs w:val="18"/>
                    </w:rPr>
                    <w:t>PARAMOS PERSPEKTYVA</w:t>
                  </w:r>
                </w:p>
              </w:tc>
              <w:tc>
                <w:tcPr>
                  <w:tcW w:w="4594" w:type="dxa"/>
                  <w:gridSpan w:val="4"/>
                  <w:shd w:val="clear" w:color="auto" w:fill="D9D9D9"/>
                </w:tcPr>
                <w:p w:rsidR="00876F91" w:rsidRPr="006C3BC9" w:rsidRDefault="00876F91" w:rsidP="00222313">
                  <w:pPr>
                    <w:tabs>
                      <w:tab w:val="left" w:pos="1026"/>
                    </w:tabs>
                    <w:spacing w:after="0" w:line="240" w:lineRule="auto"/>
                    <w:jc w:val="center"/>
                    <w:rPr>
                      <w:rFonts w:ascii="Times New Roman" w:eastAsia="Times New Roman" w:hAnsi="Times New Roman" w:cs="Times New Roman"/>
                      <w:b/>
                      <w:sz w:val="18"/>
                      <w:szCs w:val="18"/>
                    </w:rPr>
                  </w:pPr>
                  <w:r w:rsidRPr="006C3BC9">
                    <w:rPr>
                      <w:rFonts w:ascii="Times New Roman" w:eastAsia="Times New Roman" w:hAnsi="Times New Roman" w:cs="Times New Roman"/>
                      <w:b/>
                      <w:sz w:val="18"/>
                      <w:szCs w:val="18"/>
                    </w:rPr>
                    <w:t>MOKYMOSI PERSPEKTYVA</w:t>
                  </w:r>
                </w:p>
              </w:tc>
            </w:tr>
            <w:tr w:rsidR="00876F91" w:rsidRPr="006C3BC9" w:rsidTr="00222313">
              <w:tc>
                <w:tcPr>
                  <w:tcW w:w="1116" w:type="dxa"/>
                  <w:vMerge w:val="restart"/>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bCs/>
                      <w:sz w:val="18"/>
                      <w:szCs w:val="18"/>
                    </w:rPr>
                    <w:t>Išliekantys prioritetai</w:t>
                  </w: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P1</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Įranga ir priemonės (3.1.1)</w:t>
                  </w:r>
                </w:p>
              </w:tc>
              <w:tc>
                <w:tcPr>
                  <w:tcW w:w="837"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val="restart"/>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Išliekantys prioritetai</w:t>
                  </w:r>
                </w:p>
              </w:tc>
              <w:tc>
                <w:tcPr>
                  <w:tcW w:w="483"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M1</w:t>
                  </w:r>
                </w:p>
              </w:tc>
              <w:tc>
                <w:tcPr>
                  <w:tcW w:w="220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Kompetencija (4.3.1)</w:t>
                  </w:r>
                </w:p>
              </w:tc>
              <w:tc>
                <w:tcPr>
                  <w:tcW w:w="84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c>
                <w:tcPr>
                  <w:tcW w:w="1116"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64"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P2</w:t>
                  </w:r>
                </w:p>
              </w:tc>
              <w:tc>
                <w:tcPr>
                  <w:tcW w:w="2391"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 xml:space="preserve">Aplinkų </w:t>
                  </w:r>
                  <w:proofErr w:type="spellStart"/>
                  <w:r w:rsidRPr="006C3BC9">
                    <w:rPr>
                      <w:rFonts w:ascii="Times New Roman" w:eastAsia="Times New Roman" w:hAnsi="Times New Roman" w:cs="Times New Roman"/>
                      <w:sz w:val="18"/>
                      <w:szCs w:val="18"/>
                    </w:rPr>
                    <w:t>bendrakūra</w:t>
                  </w:r>
                  <w:proofErr w:type="spellEnd"/>
                  <w:r w:rsidRPr="006C3BC9">
                    <w:rPr>
                      <w:rFonts w:ascii="Times New Roman" w:eastAsia="Times New Roman" w:hAnsi="Times New Roman" w:cs="Times New Roman"/>
                      <w:sz w:val="18"/>
                      <w:szCs w:val="18"/>
                    </w:rPr>
                    <w:t xml:space="preserve"> (3.1.3) </w:t>
                  </w:r>
                </w:p>
              </w:tc>
              <w:tc>
                <w:tcPr>
                  <w:tcW w:w="837"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83"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M2</w:t>
                  </w:r>
                </w:p>
              </w:tc>
              <w:tc>
                <w:tcPr>
                  <w:tcW w:w="220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Lyderystė (4.1.2)</w:t>
                  </w:r>
                </w:p>
              </w:tc>
              <w:tc>
                <w:tcPr>
                  <w:tcW w:w="84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r w:rsidR="00876F91" w:rsidRPr="006C3BC9" w:rsidTr="00222313">
              <w:trPr>
                <w:trHeight w:val="501"/>
              </w:trPr>
              <w:tc>
                <w:tcPr>
                  <w:tcW w:w="1116"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64"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P3</w:t>
                  </w:r>
                </w:p>
              </w:tc>
              <w:tc>
                <w:tcPr>
                  <w:tcW w:w="2391" w:type="dxa"/>
                </w:tcPr>
                <w:p w:rsidR="00876F91" w:rsidRPr="006C3BC9" w:rsidRDefault="00876F91" w:rsidP="00222313">
                  <w:pPr>
                    <w:tabs>
                      <w:tab w:val="left" w:pos="1026"/>
                    </w:tabs>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Pastatas ir jo aplinka (3.1.3)</w:t>
                  </w:r>
                </w:p>
              </w:tc>
              <w:tc>
                <w:tcPr>
                  <w:tcW w:w="837"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c>
                <w:tcPr>
                  <w:tcW w:w="1055" w:type="dxa"/>
                  <w:vMerge/>
                </w:tcPr>
                <w:p w:rsidR="00876F91" w:rsidRPr="006C3BC9" w:rsidRDefault="00876F91" w:rsidP="00222313">
                  <w:pPr>
                    <w:spacing w:after="0" w:line="240" w:lineRule="auto"/>
                    <w:rPr>
                      <w:rFonts w:ascii="Times New Roman" w:eastAsia="Times New Roman" w:hAnsi="Times New Roman" w:cs="Times New Roman"/>
                      <w:sz w:val="18"/>
                      <w:szCs w:val="18"/>
                    </w:rPr>
                  </w:pPr>
                </w:p>
              </w:tc>
              <w:tc>
                <w:tcPr>
                  <w:tcW w:w="483"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M3</w:t>
                  </w:r>
                </w:p>
              </w:tc>
              <w:tc>
                <w:tcPr>
                  <w:tcW w:w="220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Veikimas kartu (4.2.1)</w:t>
                  </w:r>
                </w:p>
              </w:tc>
              <w:tc>
                <w:tcPr>
                  <w:tcW w:w="848" w:type="dxa"/>
                </w:tcPr>
                <w:p w:rsidR="00876F91" w:rsidRPr="006C3BC9" w:rsidRDefault="00876F91" w:rsidP="00222313">
                  <w:pPr>
                    <w:spacing w:after="0" w:line="240" w:lineRule="auto"/>
                    <w:rPr>
                      <w:rFonts w:ascii="Times New Roman" w:eastAsia="Times New Roman" w:hAnsi="Times New Roman" w:cs="Times New Roman"/>
                      <w:sz w:val="18"/>
                      <w:szCs w:val="18"/>
                    </w:rPr>
                  </w:pPr>
                  <w:r w:rsidRPr="006C3BC9">
                    <w:rPr>
                      <w:rFonts w:ascii="Times New Roman" w:eastAsia="Times New Roman" w:hAnsi="Times New Roman" w:cs="Times New Roman"/>
                      <w:sz w:val="18"/>
                      <w:szCs w:val="18"/>
                    </w:rPr>
                    <w:t>2019-2021</w:t>
                  </w:r>
                </w:p>
              </w:tc>
            </w:tr>
          </w:tbl>
          <w:p w:rsidR="00876F91" w:rsidRPr="006C3BC9" w:rsidRDefault="00876F91" w:rsidP="00222313">
            <w:pPr>
              <w:overflowPunct w:val="0"/>
              <w:jc w:val="both"/>
              <w:textAlignment w:val="baseline"/>
              <w:rPr>
                <w:rFonts w:ascii="Times New Roman" w:eastAsia="Times New Roman" w:hAnsi="Times New Roman" w:cs="Times New Roman"/>
              </w:rPr>
            </w:pPr>
            <w:r w:rsidRPr="006C3BC9">
              <w:rPr>
                <w:rFonts w:ascii="Times New Roman" w:eastAsia="Times New Roman" w:hAnsi="Times New Roman" w:cs="Times New Roman"/>
              </w:rPr>
              <w:t>Siekiant įgyvendinti strateginius prioritetus išsikėlėme savo bendruomenei strateginius tikslus:</w:t>
            </w:r>
          </w:p>
          <w:p w:rsidR="00876F91" w:rsidRPr="006C3BC9" w:rsidRDefault="00876F91" w:rsidP="00222313">
            <w:pPr>
              <w:autoSpaceDE w:val="0"/>
              <w:autoSpaceDN w:val="0"/>
              <w:adjustRightInd w:val="0"/>
              <w:jc w:val="both"/>
              <w:rPr>
                <w:rFonts w:ascii="Times New Roman" w:eastAsia="Times New Roman" w:hAnsi="Times New Roman" w:cs="Times New Roman"/>
                <w:lang w:eastAsia="lt-LT"/>
              </w:rPr>
            </w:pPr>
            <w:r w:rsidRPr="006C3BC9">
              <w:rPr>
                <w:rFonts w:ascii="Times New Roman" w:eastAsia="Times New Roman" w:hAnsi="Times New Roman" w:cs="Times New Roman"/>
                <w:lang w:eastAsia="lt-LT"/>
              </w:rPr>
              <w:t>1. Užtikrinti ugdymo(si) kokybę ir veiksmingumą, siekiant sklandaus mokymosi ir gyvenimo ryšio; 2. Siekti iniciatyvumo, pasidalintosios lyderystės ir bendruomeniškumo darnos.</w:t>
            </w:r>
          </w:p>
          <w:p w:rsidR="00876F91" w:rsidRPr="00D86602" w:rsidRDefault="00876F91" w:rsidP="00222313">
            <w:pPr>
              <w:autoSpaceDE w:val="0"/>
              <w:autoSpaceDN w:val="0"/>
              <w:adjustRightInd w:val="0"/>
              <w:jc w:val="both"/>
              <w:rPr>
                <w:rFonts w:ascii="Times New Roman" w:eastAsia="Times New Roman" w:hAnsi="Times New Roman" w:cs="Times New Roman"/>
              </w:rPr>
            </w:pPr>
            <w:r w:rsidRPr="006C3BC9">
              <w:rPr>
                <w:rFonts w:ascii="Times New Roman" w:eastAsia="Times New Roman" w:hAnsi="Times New Roman" w:cs="Times New Roman"/>
              </w:rPr>
              <w:t>Šių tikslų įgyvendinimui pareng</w:t>
            </w:r>
            <w:r w:rsidRPr="00D86602">
              <w:rPr>
                <w:rFonts w:ascii="Times New Roman" w:eastAsia="Times New Roman" w:hAnsi="Times New Roman" w:cs="Times New Roman"/>
              </w:rPr>
              <w:t>tame mokyklos veiklos plane 2019-2020</w:t>
            </w:r>
            <w:r w:rsidRPr="006C3BC9">
              <w:rPr>
                <w:rFonts w:ascii="Times New Roman" w:eastAsia="Times New Roman" w:hAnsi="Times New Roman" w:cs="Times New Roman"/>
              </w:rPr>
              <w:t xml:space="preserve">m.m. buvo numatyti tikslai ir uždaviniai: </w:t>
            </w:r>
          </w:p>
          <w:p w:rsidR="00876F91" w:rsidRPr="006C3BC9" w:rsidRDefault="00876F91" w:rsidP="00222313">
            <w:pPr>
              <w:contextualSpacing/>
              <w:rPr>
                <w:rFonts w:ascii="Times New Roman" w:eastAsia="Calibri" w:hAnsi="Times New Roman" w:cs="Times New Roman"/>
                <w:b/>
              </w:rPr>
            </w:pPr>
            <w:r w:rsidRPr="00D86602">
              <w:rPr>
                <w:rFonts w:ascii="Times New Roman" w:eastAsia="Calibri" w:hAnsi="Times New Roman" w:cs="Times New Roman"/>
                <w:b/>
              </w:rPr>
              <w:t xml:space="preserve">1. </w:t>
            </w:r>
            <w:r w:rsidRPr="006C3BC9">
              <w:rPr>
                <w:rFonts w:ascii="Times New Roman" w:eastAsia="Calibri" w:hAnsi="Times New Roman" w:cs="Times New Roman"/>
                <w:b/>
              </w:rPr>
              <w:t xml:space="preserve">Siekti kokybiško ugdymo(si) - kiekvieno mokinio pažangos. </w:t>
            </w:r>
          </w:p>
          <w:p w:rsidR="00876F91" w:rsidRPr="006C3BC9" w:rsidRDefault="00876F91" w:rsidP="00222313">
            <w:pPr>
              <w:contextualSpacing/>
              <w:jc w:val="both"/>
              <w:rPr>
                <w:rFonts w:ascii="Times New Roman" w:eastAsia="Calibri" w:hAnsi="Times New Roman" w:cs="Times New Roman"/>
              </w:rPr>
            </w:pPr>
            <w:r w:rsidRPr="00D86602">
              <w:rPr>
                <w:rFonts w:ascii="Times New Roman" w:eastAsia="Calibri" w:hAnsi="Times New Roman" w:cs="Times New Roman"/>
              </w:rPr>
              <w:t xml:space="preserve">1.1. </w:t>
            </w:r>
            <w:r w:rsidRPr="006C3BC9">
              <w:rPr>
                <w:rFonts w:ascii="Times New Roman" w:eastAsia="Calibri" w:hAnsi="Times New Roman" w:cs="Times New Roman"/>
                <w:i/>
              </w:rPr>
              <w:t xml:space="preserve">Stiprinti mokėjimo mokytis kompetenciją, įgyvendinant Mokymosi paradigmą </w:t>
            </w:r>
            <w:proofErr w:type="spellStart"/>
            <w:r w:rsidRPr="006C3BC9">
              <w:rPr>
                <w:rFonts w:ascii="Times New Roman" w:eastAsia="Calibri" w:hAnsi="Times New Roman" w:cs="Times New Roman"/>
                <w:i/>
              </w:rPr>
              <w:t>pamokoje.</w:t>
            </w:r>
            <w:r>
              <w:rPr>
                <w:rFonts w:ascii="Times New Roman" w:eastAsia="Calibri" w:hAnsi="Times New Roman" w:cs="Times New Roman"/>
                <w:color w:val="000000"/>
              </w:rPr>
              <w:t>Buvo</w:t>
            </w:r>
            <w:proofErr w:type="spellEnd"/>
            <w:r>
              <w:rPr>
                <w:rFonts w:ascii="Times New Roman" w:eastAsia="Calibri" w:hAnsi="Times New Roman" w:cs="Times New Roman"/>
                <w:color w:val="000000"/>
              </w:rPr>
              <w:t xml:space="preserve"> vykdomas kolegialus pamokų stebėjimas, dalinamasi patirtimi. 80 proc. mokytojų lankėsi vienas kito pamokose. </w:t>
            </w:r>
            <w:r w:rsidRPr="00D86602">
              <w:rPr>
                <w:rFonts w:ascii="Times New Roman" w:eastAsia="Calibri" w:hAnsi="Times New Roman" w:cs="Times New Roman"/>
                <w:color w:val="000000"/>
              </w:rPr>
              <w:t>Gimnazijoje dirba 7 mokytojai ekspertai, kurie planavo pravesti po 2 atviras pamokas, kuriose pademonstruotų, kaip ugdo mokėjimo mokytis kompetenciją</w:t>
            </w:r>
            <w:r>
              <w:rPr>
                <w:rFonts w:ascii="Times New Roman" w:eastAsia="Calibri" w:hAnsi="Times New Roman" w:cs="Times New Roman"/>
                <w:color w:val="000000"/>
              </w:rPr>
              <w:t xml:space="preserve"> pamokoje</w:t>
            </w:r>
            <w:r w:rsidRPr="00D86602">
              <w:rPr>
                <w:rFonts w:ascii="Times New Roman" w:eastAsia="Calibri" w:hAnsi="Times New Roman" w:cs="Times New Roman"/>
                <w:color w:val="000000"/>
              </w:rPr>
              <w:t>.</w:t>
            </w:r>
            <w:r w:rsidRPr="00D86602">
              <w:rPr>
                <w:rFonts w:ascii="Times New Roman" w:eastAsia="Calibri" w:hAnsi="Times New Roman" w:cs="Times New Roman"/>
              </w:rPr>
              <w:t xml:space="preserve"> Tačiau užėjusi pandemija, planus pakoregavo. 50 proc. mokytojų pravedė tokias pamokas, kiti suplanavo pamokas pravesti nuotoliniu būdu. Ne mažiau nei 40 % mokytojų stebėjo ekspertų pamokas</w:t>
            </w:r>
            <w:r>
              <w:rPr>
                <w:rFonts w:ascii="Times New Roman" w:eastAsia="Calibri" w:hAnsi="Times New Roman" w:cs="Times New Roman"/>
              </w:rPr>
              <w:t xml:space="preserve">, beveik 100 proc. mokytojų dalyvavo įvairiuose </w:t>
            </w:r>
            <w:proofErr w:type="spellStart"/>
            <w:r>
              <w:rPr>
                <w:rFonts w:ascii="Times New Roman" w:eastAsia="Calibri" w:hAnsi="Times New Roman" w:cs="Times New Roman"/>
              </w:rPr>
              <w:t>vebinaruose</w:t>
            </w:r>
            <w:proofErr w:type="spellEnd"/>
            <w:r>
              <w:rPr>
                <w:rFonts w:ascii="Times New Roman" w:eastAsia="Calibri" w:hAnsi="Times New Roman" w:cs="Times New Roman"/>
              </w:rPr>
              <w:t>, nuotoliniuose mokymuose</w:t>
            </w:r>
            <w:r w:rsidRPr="00D86602">
              <w:rPr>
                <w:rFonts w:ascii="Times New Roman" w:eastAsia="Calibri" w:hAnsi="Times New Roman" w:cs="Times New Roman"/>
              </w:rPr>
              <w:t xml:space="preserve">, </w:t>
            </w:r>
            <w:r>
              <w:rPr>
                <w:rFonts w:ascii="Times New Roman" w:eastAsia="Calibri" w:hAnsi="Times New Roman" w:cs="Times New Roman"/>
              </w:rPr>
              <w:t xml:space="preserve">dalinosi gerąja patirtimi kaip stiprinti mokėjimo mokytis kompetencija dirbant nuotoliniu būdu. </w:t>
            </w:r>
            <w:r w:rsidRPr="00D86602">
              <w:rPr>
                <w:rFonts w:ascii="Times New Roman" w:eastAsia="Calibri" w:hAnsi="Times New Roman" w:cs="Times New Roman"/>
              </w:rPr>
              <w:t xml:space="preserve"> taikyti savo pamokose.</w:t>
            </w:r>
            <w:r>
              <w:rPr>
                <w:rFonts w:ascii="Times New Roman" w:eastAsia="Calibri" w:hAnsi="Times New Roman" w:cs="Times New Roman"/>
              </w:rPr>
              <w:t xml:space="preserve"> Buvo sukurta </w:t>
            </w:r>
            <w:proofErr w:type="spellStart"/>
            <w:r>
              <w:rPr>
                <w:rFonts w:ascii="Times New Roman" w:eastAsia="Calibri" w:hAnsi="Times New Roman" w:cs="Times New Roman"/>
              </w:rPr>
              <w:t>Moodle</w:t>
            </w:r>
            <w:proofErr w:type="spellEnd"/>
            <w:r>
              <w:rPr>
                <w:rFonts w:ascii="Times New Roman" w:eastAsia="Calibri" w:hAnsi="Times New Roman" w:cs="Times New Roman"/>
              </w:rPr>
              <w:t xml:space="preserve"> virtuali mokymosi </w:t>
            </w:r>
            <w:r w:rsidRPr="00C3623A">
              <w:rPr>
                <w:rFonts w:ascii="Times New Roman" w:eastAsia="Calibri" w:hAnsi="Times New Roman" w:cs="Times New Roman"/>
              </w:rPr>
              <w:t xml:space="preserve">platforma, kurioje dirbo visi mokytojai ir mokiniai. Beveik 90 proc. mokytojų dalyvavo mokymo  programoje ,,Ugdymo(si) kokybės ir veiksmingumo tobulinimas, siekiant sklandaus mokymosi ir gyvenimo ryšio“, programos įgyvendinimo metu praktiškai taikė įgytas žinias. </w:t>
            </w:r>
            <w:r w:rsidRPr="00C3623A">
              <w:rPr>
                <w:rFonts w:ascii="Times New Roman" w:eastAsia="Calibri" w:hAnsi="Times New Roman" w:cs="Times New Roman"/>
                <w:color w:val="000000"/>
              </w:rPr>
              <w:t xml:space="preserve">Buvo įgyvendinami 5 </w:t>
            </w:r>
            <w:r w:rsidRPr="00C3623A">
              <w:rPr>
                <w:rFonts w:ascii="Times New Roman" w:eastAsia="Calibri" w:hAnsi="Times New Roman" w:cs="Times New Roman"/>
              </w:rPr>
              <w:t>tarptautiniai projektai K1 ir K2. 8 mokytojai (anglų kalbos ir matematikos) ir 3 administracijos nariai tobulino dalykines kompetencijas stažuotėse užsienyje. Džiaugiamės, kad 5</w:t>
            </w:r>
            <w:r w:rsidRPr="00657B4A">
              <w:rPr>
                <w:rFonts w:ascii="Times New Roman" w:eastAsia="Calibri" w:hAnsi="Times New Roman" w:cs="Times New Roman"/>
              </w:rPr>
              <w:t xml:space="preserve">% </w:t>
            </w:r>
            <w:r w:rsidRPr="00C3623A">
              <w:rPr>
                <w:rFonts w:ascii="Times New Roman" w:eastAsia="Calibri" w:hAnsi="Times New Roman" w:cs="Times New Roman"/>
              </w:rPr>
              <w:t>pagerėjo mokinių anglų kalbos žinios.</w:t>
            </w:r>
          </w:p>
          <w:p w:rsidR="00876F91" w:rsidRPr="00C3623A" w:rsidRDefault="00876F91" w:rsidP="00222313">
            <w:pPr>
              <w:ind w:firstLine="680"/>
              <w:jc w:val="both"/>
              <w:rPr>
                <w:rFonts w:ascii="Times New Roman" w:eastAsia="Calibri" w:hAnsi="Times New Roman" w:cs="Times New Roman"/>
                <w:color w:val="000000"/>
              </w:rPr>
            </w:pPr>
            <w:r w:rsidRPr="00C3623A">
              <w:rPr>
                <w:rFonts w:ascii="Times New Roman" w:eastAsia="Times New Roman" w:hAnsi="Times New Roman" w:cs="Times New Roman"/>
                <w:color w:val="000000"/>
              </w:rPr>
              <w:t xml:space="preserve">Prienų „Žiburio“ gimnazijoje 2019-2020 m. m. visi abiturientai </w:t>
            </w:r>
            <w:r w:rsidRPr="006A66C8">
              <w:rPr>
                <w:rFonts w:ascii="Times New Roman" w:eastAsia="Times New Roman" w:hAnsi="Times New Roman" w:cs="Times New Roman"/>
                <w:color w:val="000000"/>
              </w:rPr>
              <w:t xml:space="preserve">sėkmingai baigė vidurinio ugdymo programą ir įgijo vidurinį išsilavinimą. </w:t>
            </w:r>
            <w:r w:rsidRPr="00C3623A">
              <w:rPr>
                <w:rFonts w:ascii="Times New Roman" w:eastAsia="Times New Roman" w:hAnsi="Times New Roman" w:cs="Times New Roman"/>
                <w:color w:val="000000"/>
              </w:rPr>
              <w:t xml:space="preserve">Abiturientai Povilas </w:t>
            </w:r>
            <w:proofErr w:type="spellStart"/>
            <w:r w:rsidRPr="00C3623A">
              <w:rPr>
                <w:rFonts w:ascii="Times New Roman" w:eastAsia="Times New Roman" w:hAnsi="Times New Roman" w:cs="Times New Roman"/>
                <w:color w:val="000000"/>
              </w:rPr>
              <w:t>Damynas</w:t>
            </w:r>
            <w:proofErr w:type="spellEnd"/>
            <w:r w:rsidRPr="00C3623A">
              <w:rPr>
                <w:rFonts w:ascii="Times New Roman" w:eastAsia="Times New Roman" w:hAnsi="Times New Roman" w:cs="Times New Roman"/>
                <w:color w:val="000000"/>
              </w:rPr>
              <w:t xml:space="preserve">, Ugnė </w:t>
            </w:r>
            <w:proofErr w:type="spellStart"/>
            <w:r w:rsidRPr="00C3623A">
              <w:rPr>
                <w:rFonts w:ascii="Times New Roman" w:eastAsia="Times New Roman" w:hAnsi="Times New Roman" w:cs="Times New Roman"/>
                <w:color w:val="000000"/>
              </w:rPr>
              <w:t>Orinaitė</w:t>
            </w:r>
            <w:proofErr w:type="spellEnd"/>
            <w:r w:rsidRPr="00C3623A">
              <w:rPr>
                <w:rFonts w:ascii="Times New Roman" w:eastAsia="Times New Roman" w:hAnsi="Times New Roman" w:cs="Times New Roman"/>
                <w:color w:val="000000"/>
              </w:rPr>
              <w:t xml:space="preserve">, </w:t>
            </w:r>
            <w:proofErr w:type="spellStart"/>
            <w:r w:rsidRPr="00C3623A">
              <w:rPr>
                <w:rFonts w:ascii="Times New Roman" w:eastAsia="Times New Roman" w:hAnsi="Times New Roman" w:cs="Times New Roman"/>
                <w:color w:val="000000"/>
              </w:rPr>
              <w:lastRenderedPageBreak/>
              <w:t>AiridaVaikšnytėgimnaziją</w:t>
            </w:r>
            <w:proofErr w:type="spellEnd"/>
            <w:r w:rsidRPr="00C3623A">
              <w:rPr>
                <w:rFonts w:ascii="Times New Roman" w:eastAsia="Times New Roman" w:hAnsi="Times New Roman" w:cs="Times New Roman"/>
                <w:color w:val="000000"/>
              </w:rPr>
              <w:t xml:space="preserve"> baigė su pagyrimu. Iš viso abiturientai laikė 370 valstybinius brandos egzaminus</w:t>
            </w:r>
            <w:r w:rsidRPr="00C3623A">
              <w:rPr>
                <w:rFonts w:ascii="Times New Roman" w:eastAsia="Times New Roman" w:hAnsi="Times New Roman" w:cs="Times New Roman"/>
                <w:b/>
                <w:bCs/>
                <w:color w:val="000000"/>
              </w:rPr>
              <w:t>. Gauta 11 šimtukų:  2 lietuvių kalbos ir literatūros, 8 anglų kalbos, 1 informacinių technologijų). 68-ių (18,4%) valstybinių brandos egzaminų rezultatai  atitinka aukštesnį pasiekimų lygį (įvertinti nuo 86 iki 100 balų).</w:t>
            </w:r>
            <w:r w:rsidRPr="00C3623A">
              <w:rPr>
                <w:rFonts w:ascii="Times New Roman" w:eastAsia="Times New Roman" w:hAnsi="Times New Roman" w:cs="Times New Roman"/>
                <w:color w:val="000000"/>
              </w:rPr>
              <w:t xml:space="preserve"> Beveik kas antras abiturientas (45%) anglų kalbos egzaminą išlaikė aukštesniuoju pasiekimų lygiu (įvertinti nuo 86 iki 100 balų). Sėkmingiausiai išlaikyti chemijos (vidurkis – 78,38), anglų kalbos (vidurkis – 73,9) ir  istorijos (vidurkis – 51,8) valstybiniai brandos egzaminai. Abiturientės Paulinos Mozūraitės parengtas biologijos dalyko brandos darbas „Sėjamosios petražolės (</w:t>
            </w:r>
            <w:proofErr w:type="spellStart"/>
            <w:r w:rsidRPr="00C3623A">
              <w:rPr>
                <w:rFonts w:ascii="Times New Roman" w:eastAsia="Times New Roman" w:hAnsi="Times New Roman" w:cs="Times New Roman"/>
                <w:color w:val="000000"/>
              </w:rPr>
              <w:t>petroselinumcrispum</w:t>
            </w:r>
            <w:proofErr w:type="spellEnd"/>
            <w:r w:rsidRPr="00C3623A">
              <w:rPr>
                <w:rFonts w:ascii="Times New Roman" w:eastAsia="Times New Roman" w:hAnsi="Times New Roman" w:cs="Times New Roman"/>
                <w:color w:val="000000"/>
              </w:rPr>
              <w:t>) cheminės sudėties kitimas paveikus valgomojo svogūno (</w:t>
            </w:r>
            <w:proofErr w:type="spellStart"/>
            <w:r w:rsidRPr="00C3623A">
              <w:rPr>
                <w:rFonts w:ascii="Times New Roman" w:eastAsia="Times New Roman" w:hAnsi="Times New Roman" w:cs="Times New Roman"/>
                <w:color w:val="000000"/>
              </w:rPr>
              <w:t>alliumcepa</w:t>
            </w:r>
            <w:proofErr w:type="spellEnd"/>
            <w:r w:rsidRPr="00C3623A">
              <w:rPr>
                <w:rFonts w:ascii="Times New Roman" w:eastAsia="Times New Roman" w:hAnsi="Times New Roman" w:cs="Times New Roman"/>
                <w:color w:val="000000"/>
              </w:rPr>
              <w:t>) ekstraktu“ įvertintas 10 balų. 22</w:t>
            </w:r>
            <w:r w:rsidRPr="00C3623A">
              <w:rPr>
                <w:rFonts w:ascii="Times New Roman" w:eastAsia="Calibri" w:hAnsi="Times New Roman" w:cs="Times New Roman"/>
                <w:color w:val="000000"/>
              </w:rPr>
              <w:t xml:space="preserve"> abiturientai </w:t>
            </w:r>
            <w:r w:rsidRPr="00C3623A">
              <w:rPr>
                <w:rFonts w:ascii="Times New Roman" w:eastAsia="Calibri" w:hAnsi="Times New Roman" w:cs="Times New Roman"/>
                <w:b/>
                <w:bCs/>
                <w:color w:val="000000"/>
              </w:rPr>
              <w:t>sėkmingai baigė dviejų metų VGTU klasės mokymus</w:t>
            </w:r>
            <w:r w:rsidRPr="00C3623A">
              <w:rPr>
                <w:rFonts w:ascii="Times New Roman" w:eastAsia="Calibri" w:hAnsi="Times New Roman" w:cs="Times New Roman"/>
                <w:color w:val="000000"/>
              </w:rPr>
              <w:t xml:space="preserve"> ir gavo pažymėjimus. Mokinių, kurie dalyvavo VGTU klasės veiklose VBE gamtos mokslų ir matematikos įvertinimų vidurkis didesnis už šalies pasiekimų vidurkį. </w:t>
            </w:r>
          </w:p>
          <w:p w:rsidR="00876F91" w:rsidRPr="00C3623A" w:rsidRDefault="00876F91" w:rsidP="00222313">
            <w:pPr>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color w:val="000000"/>
              </w:rPr>
              <w:t xml:space="preserve"> 74% 94 laidos abiturientų toliau tęs mokslus </w:t>
            </w:r>
            <w:r w:rsidRPr="00C3623A">
              <w:rPr>
                <w:rFonts w:ascii="Times New Roman" w:eastAsia="Calibri" w:hAnsi="Times New Roman" w:cs="Times New Roman"/>
                <w:bCs/>
                <w:color w:val="000000"/>
              </w:rPr>
              <w:t>įvairiose  švietimo ir mokslo įstaigose</w:t>
            </w:r>
            <w:r w:rsidRPr="00C3623A">
              <w:rPr>
                <w:rFonts w:ascii="Times New Roman" w:eastAsia="Times New Roman" w:hAnsi="Times New Roman" w:cs="Times New Roman"/>
                <w:color w:val="000000"/>
              </w:rPr>
              <w:t xml:space="preserve">. 60% abiturientų pasirinko universitetines ir kolegines studijas, 14% profesines studijas. </w:t>
            </w:r>
          </w:p>
          <w:p w:rsidR="00876F91" w:rsidRPr="00C3623A" w:rsidRDefault="00876F91" w:rsidP="00222313">
            <w:pPr>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color w:val="000000"/>
              </w:rPr>
              <w:t>Gimnazijos abiturientų, 2019-2020 m. m. laikiusių VBE, vidutinių VBE palyginimas su šalies mokyklų ir 2018-9019 m. m. vidutiniais VBE pagal dalykus:</w:t>
            </w:r>
          </w:p>
          <w:tbl>
            <w:tblPr>
              <w:tblStyle w:val="TableGrid"/>
              <w:tblW w:w="0" w:type="auto"/>
              <w:tblLook w:val="04A0"/>
            </w:tblPr>
            <w:tblGrid>
              <w:gridCol w:w="1586"/>
              <w:gridCol w:w="910"/>
              <w:gridCol w:w="910"/>
              <w:gridCol w:w="903"/>
              <w:gridCol w:w="911"/>
              <w:gridCol w:w="911"/>
              <w:gridCol w:w="911"/>
              <w:gridCol w:w="911"/>
              <w:gridCol w:w="911"/>
              <w:gridCol w:w="911"/>
            </w:tblGrid>
            <w:tr w:rsidR="00876F91" w:rsidRPr="00C3623A" w:rsidTr="00222313">
              <w:trPr>
                <w:cantSplit/>
                <w:trHeight w:val="789"/>
              </w:trPr>
              <w:tc>
                <w:tcPr>
                  <w:tcW w:w="1644" w:type="dxa"/>
                  <w:vAlign w:val="center"/>
                </w:tcPr>
                <w:p w:rsidR="00876F91" w:rsidRPr="00C3623A" w:rsidRDefault="00876F91" w:rsidP="00222313">
                  <w:pPr>
                    <w:jc w:val="center"/>
                    <w:rPr>
                      <w:rFonts w:ascii="Times New Roman" w:eastAsia="Calibri" w:hAnsi="Times New Roman" w:cs="Times New Roman"/>
                      <w:color w:val="000000"/>
                    </w:rPr>
                  </w:pP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Lietuvių kalba ir literatūra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Matematika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Anglų kalba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Biologija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Chemija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Fizika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Istorija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Geografija</w:t>
                  </w:r>
                </w:p>
              </w:tc>
              <w:tc>
                <w:tcPr>
                  <w:tcW w:w="931" w:type="dxa"/>
                  <w:textDirection w:val="btLr"/>
                  <w:vAlign w:val="center"/>
                </w:tcPr>
                <w:p w:rsidR="00876F91" w:rsidRPr="006A66C8" w:rsidRDefault="00876F91" w:rsidP="00222313">
                  <w:pPr>
                    <w:ind w:left="113" w:right="113"/>
                    <w:jc w:val="center"/>
                    <w:rPr>
                      <w:rFonts w:ascii="Times New Roman" w:eastAsia="Calibri" w:hAnsi="Times New Roman" w:cs="Times New Roman"/>
                      <w:color w:val="000000"/>
                      <w:sz w:val="16"/>
                      <w:szCs w:val="16"/>
                    </w:rPr>
                  </w:pPr>
                  <w:r w:rsidRPr="006A66C8">
                    <w:rPr>
                      <w:rFonts w:ascii="Times New Roman" w:eastAsia="Calibri" w:hAnsi="Times New Roman" w:cs="Times New Roman"/>
                      <w:color w:val="000000"/>
                      <w:sz w:val="16"/>
                      <w:szCs w:val="16"/>
                    </w:rPr>
                    <w:t>IT</w:t>
                  </w:r>
                </w:p>
              </w:tc>
            </w:tr>
            <w:tr w:rsidR="00876F91" w:rsidRPr="00C3623A" w:rsidTr="00222313">
              <w:trPr>
                <w:trHeight w:val="57"/>
              </w:trPr>
              <w:tc>
                <w:tcPr>
                  <w:tcW w:w="1644" w:type="dxa"/>
                  <w:vAlign w:val="center"/>
                </w:tcPr>
                <w:p w:rsidR="00876F91" w:rsidRPr="006A66C8" w:rsidRDefault="00876F91" w:rsidP="00222313">
                  <w:pPr>
                    <w:jc w:val="center"/>
                    <w:rPr>
                      <w:rFonts w:ascii="Times New Roman" w:eastAsia="Calibri" w:hAnsi="Times New Roman" w:cs="Times New Roman"/>
                      <w:b/>
                      <w:color w:val="000000"/>
                      <w:sz w:val="16"/>
                      <w:szCs w:val="16"/>
                    </w:rPr>
                  </w:pPr>
                  <w:r w:rsidRPr="006A66C8">
                    <w:rPr>
                      <w:rFonts w:ascii="Times New Roman" w:eastAsia="Calibri" w:hAnsi="Times New Roman" w:cs="Times New Roman"/>
                      <w:b/>
                      <w:color w:val="000000"/>
                      <w:sz w:val="16"/>
                      <w:szCs w:val="16"/>
                    </w:rPr>
                    <w:t>Prienų „Žiburio“ gimnazija</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lang w:val="en-US"/>
                    </w:rPr>
                  </w:pPr>
                  <w:r w:rsidRPr="006A66C8">
                    <w:rPr>
                      <w:rFonts w:ascii="Times New Roman" w:eastAsia="Calibri" w:hAnsi="Times New Roman" w:cs="Times New Roman"/>
                      <w:b/>
                      <w:color w:val="000000"/>
                      <w:sz w:val="20"/>
                      <w:szCs w:val="20"/>
                      <w:lang w:val="en-US"/>
                    </w:rPr>
                    <w:t>47,0</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17,6</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73,9</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50,8</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78,3</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24,3</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51,4</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50,6</w:t>
                  </w:r>
                </w:p>
              </w:tc>
              <w:tc>
                <w:tcPr>
                  <w:tcW w:w="931" w:type="dxa"/>
                  <w:vAlign w:val="center"/>
                </w:tcPr>
                <w:p w:rsidR="00876F91" w:rsidRPr="006A66C8" w:rsidRDefault="00876F91" w:rsidP="00222313">
                  <w:pPr>
                    <w:jc w:val="center"/>
                    <w:rPr>
                      <w:rFonts w:ascii="Times New Roman" w:eastAsia="Calibri" w:hAnsi="Times New Roman" w:cs="Times New Roman"/>
                      <w:b/>
                      <w:color w:val="000000"/>
                      <w:sz w:val="20"/>
                      <w:szCs w:val="20"/>
                    </w:rPr>
                  </w:pPr>
                  <w:r w:rsidRPr="006A66C8">
                    <w:rPr>
                      <w:rFonts w:ascii="Times New Roman" w:eastAsia="Calibri" w:hAnsi="Times New Roman" w:cs="Times New Roman"/>
                      <w:b/>
                      <w:color w:val="000000"/>
                      <w:sz w:val="20"/>
                      <w:szCs w:val="20"/>
                    </w:rPr>
                    <w:t>49,3</w:t>
                  </w:r>
                </w:p>
              </w:tc>
            </w:tr>
            <w:tr w:rsidR="00876F91" w:rsidRPr="00C3623A" w:rsidTr="00222313">
              <w:trPr>
                <w:trHeight w:val="57"/>
              </w:trPr>
              <w:tc>
                <w:tcPr>
                  <w:tcW w:w="1644" w:type="dxa"/>
                  <w:vAlign w:val="center"/>
                </w:tcPr>
                <w:p w:rsidR="00876F91" w:rsidRPr="006A66C8" w:rsidRDefault="00876F91" w:rsidP="00222313">
                  <w:pPr>
                    <w:jc w:val="center"/>
                    <w:rPr>
                      <w:rFonts w:ascii="Times New Roman" w:eastAsia="Calibri" w:hAnsi="Times New Roman" w:cs="Times New Roman"/>
                      <w:bCs/>
                      <w:color w:val="000000"/>
                      <w:sz w:val="16"/>
                      <w:szCs w:val="16"/>
                    </w:rPr>
                  </w:pPr>
                  <w:r w:rsidRPr="006A66C8">
                    <w:rPr>
                      <w:rFonts w:ascii="Times New Roman" w:eastAsia="Calibri" w:hAnsi="Times New Roman" w:cs="Times New Roman"/>
                      <w:bCs/>
                      <w:color w:val="000000"/>
                      <w:sz w:val="16"/>
                      <w:szCs w:val="16"/>
                    </w:rPr>
                    <w:t>Šalies mokyklų vidurkis</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lang w:val="en-US"/>
                    </w:rPr>
                  </w:pPr>
                  <w:r w:rsidRPr="006A66C8">
                    <w:rPr>
                      <w:rFonts w:ascii="Times New Roman" w:eastAsia="Calibri" w:hAnsi="Times New Roman" w:cs="Times New Roman"/>
                      <w:bCs/>
                      <w:color w:val="000000"/>
                      <w:sz w:val="20"/>
                      <w:szCs w:val="20"/>
                      <w:lang w:val="en-US"/>
                    </w:rPr>
                    <w:t>44,27</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26,72</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70,4</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54,96</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54,06</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46,39</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53,81</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47,17</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Cs/>
                      <w:color w:val="000000"/>
                      <w:sz w:val="20"/>
                      <w:szCs w:val="20"/>
                    </w:rPr>
                    <w:t>46,85</w:t>
                  </w:r>
                </w:p>
              </w:tc>
            </w:tr>
            <w:tr w:rsidR="00876F91" w:rsidRPr="00C3623A" w:rsidTr="00222313">
              <w:trPr>
                <w:trHeight w:val="57"/>
              </w:trPr>
              <w:tc>
                <w:tcPr>
                  <w:tcW w:w="1644" w:type="dxa"/>
                  <w:vAlign w:val="center"/>
                </w:tcPr>
                <w:p w:rsidR="00876F91" w:rsidRPr="006A66C8" w:rsidRDefault="00876F91" w:rsidP="00222313">
                  <w:pPr>
                    <w:jc w:val="center"/>
                    <w:rPr>
                      <w:rFonts w:ascii="Times New Roman" w:eastAsia="Calibri" w:hAnsi="Times New Roman" w:cs="Times New Roman"/>
                      <w:bCs/>
                      <w:color w:val="000000"/>
                      <w:sz w:val="16"/>
                      <w:szCs w:val="16"/>
                    </w:rPr>
                  </w:pPr>
                  <w:r w:rsidRPr="006A66C8">
                    <w:rPr>
                      <w:rFonts w:ascii="Times New Roman" w:eastAsia="Calibri" w:hAnsi="Times New Roman" w:cs="Times New Roman"/>
                      <w:b/>
                      <w:color w:val="000000"/>
                      <w:sz w:val="16"/>
                      <w:szCs w:val="16"/>
                    </w:rPr>
                    <w:t xml:space="preserve">Prienų „Žiburio“ gimnazija 2018-2019 m. m. </w:t>
                  </w:r>
                </w:p>
              </w:tc>
              <w:tc>
                <w:tcPr>
                  <w:tcW w:w="931" w:type="dxa"/>
                  <w:vAlign w:val="center"/>
                </w:tcPr>
                <w:p w:rsidR="00876F91" w:rsidRPr="00657B4A" w:rsidRDefault="00876F91" w:rsidP="00222313">
                  <w:pPr>
                    <w:jc w:val="center"/>
                    <w:rPr>
                      <w:rFonts w:ascii="Times New Roman" w:eastAsia="Calibri" w:hAnsi="Times New Roman" w:cs="Times New Roman"/>
                      <w:bCs/>
                      <w:color w:val="000000"/>
                      <w:sz w:val="20"/>
                      <w:szCs w:val="20"/>
                    </w:rPr>
                  </w:pPr>
                  <w:r w:rsidRPr="00657B4A">
                    <w:rPr>
                      <w:rFonts w:ascii="Times New Roman" w:eastAsia="Calibri" w:hAnsi="Times New Roman" w:cs="Times New Roman"/>
                      <w:b/>
                      <w:color w:val="000000"/>
                      <w:sz w:val="20"/>
                      <w:szCs w:val="20"/>
                    </w:rPr>
                    <w:t>44,8</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28,7</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61,3</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51,7</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58,5</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38</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31,7</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48,2</w:t>
                  </w:r>
                </w:p>
              </w:tc>
              <w:tc>
                <w:tcPr>
                  <w:tcW w:w="931" w:type="dxa"/>
                  <w:vAlign w:val="center"/>
                </w:tcPr>
                <w:p w:rsidR="00876F91" w:rsidRPr="006A66C8" w:rsidRDefault="00876F91" w:rsidP="00222313">
                  <w:pPr>
                    <w:jc w:val="center"/>
                    <w:rPr>
                      <w:rFonts w:ascii="Times New Roman" w:eastAsia="Calibri" w:hAnsi="Times New Roman" w:cs="Times New Roman"/>
                      <w:bCs/>
                      <w:color w:val="000000"/>
                      <w:sz w:val="20"/>
                      <w:szCs w:val="20"/>
                    </w:rPr>
                  </w:pPr>
                  <w:r w:rsidRPr="006A66C8">
                    <w:rPr>
                      <w:rFonts w:ascii="Times New Roman" w:eastAsia="Calibri" w:hAnsi="Times New Roman" w:cs="Times New Roman"/>
                      <w:b/>
                      <w:color w:val="000000"/>
                      <w:sz w:val="20"/>
                      <w:szCs w:val="20"/>
                    </w:rPr>
                    <w:t>65,2</w:t>
                  </w:r>
                </w:p>
              </w:tc>
            </w:tr>
          </w:tbl>
          <w:p w:rsidR="00876F91" w:rsidRPr="00C3623A" w:rsidRDefault="00876F91" w:rsidP="00222313">
            <w:pPr>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b/>
                <w:bCs/>
                <w:color w:val="000000"/>
              </w:rPr>
              <w:t>91 (99%) II klasių mokinių sėkmingai baigė pagrindinio ugdymo programą ir įgijo pagrindinį išsilavinimą.</w:t>
            </w:r>
            <w:r w:rsidRPr="00C3623A">
              <w:rPr>
                <w:rFonts w:ascii="Times New Roman" w:eastAsia="Times New Roman" w:hAnsi="Times New Roman" w:cs="Times New Roman"/>
                <w:color w:val="000000"/>
              </w:rPr>
              <w:t xml:space="preserve"> Vienas II klasės mokinys po papildomo vasaros darbo paliktas kartoti kurso.</w:t>
            </w:r>
          </w:p>
          <w:p w:rsidR="00876F91" w:rsidRPr="00C3623A" w:rsidRDefault="00876F91" w:rsidP="00222313">
            <w:pPr>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b/>
                <w:bCs/>
                <w:color w:val="000000"/>
              </w:rPr>
              <w:t xml:space="preserve">2019-2020 m. m. metiniai mokinių rezultatai lyginant su 2018-2019 m. m. pagerėjo. </w:t>
            </w:r>
            <w:r w:rsidRPr="00C3623A">
              <w:rPr>
                <w:rFonts w:ascii="Times New Roman" w:eastAsia="Times New Roman" w:hAnsi="Times New Roman" w:cs="Times New Roman"/>
                <w:color w:val="000000"/>
              </w:rPr>
              <w:t>1,6% padidėjo mokinių, besimokančių aukštesniuoju lygmeniu (mokosi 9-10) skaičius lyginant su praėjusiais mokslo metais. 4% padidėjo mokinių, kurie mokosi pagrindiniu lygmeniu skaičius lyginant su praėjusiais mokslo metais. Nepažangių mokinių skaičius nepakito. Vienas II klasės mokinys po papildomo darbo paliktas kartoti kurso.</w:t>
            </w:r>
          </w:p>
          <w:p w:rsidR="00876F91" w:rsidRPr="00C3623A" w:rsidRDefault="00876F91" w:rsidP="00222313">
            <w:pPr>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color w:val="000000"/>
              </w:rPr>
              <w:t>2019-2020 m. m. ir 2018-2019 m. m. mokinių metinių mokymosi rezultatų palyginimas</w:t>
            </w:r>
          </w:p>
          <w:tbl>
            <w:tblPr>
              <w:tblStyle w:val="TableGrid"/>
              <w:tblW w:w="0" w:type="auto"/>
              <w:tblLook w:val="04A0"/>
            </w:tblPr>
            <w:tblGrid>
              <w:gridCol w:w="982"/>
              <w:gridCol w:w="1182"/>
              <w:gridCol w:w="1698"/>
              <w:gridCol w:w="1971"/>
              <w:gridCol w:w="1971"/>
              <w:gridCol w:w="1971"/>
            </w:tblGrid>
            <w:tr w:rsidR="00876F91" w:rsidRPr="00C3623A" w:rsidTr="00222313">
              <w:trPr>
                <w:trHeight w:val="781"/>
              </w:trPr>
              <w:tc>
                <w:tcPr>
                  <w:tcW w:w="1399"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Mokslometai</w:t>
                  </w:r>
                  <w:proofErr w:type="spellEnd"/>
                </w:p>
              </w:tc>
              <w:tc>
                <w:tcPr>
                  <w:tcW w:w="1491"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Mokiniųskaičius</w:t>
                  </w:r>
                  <w:proofErr w:type="spellEnd"/>
                </w:p>
              </w:tc>
              <w:tc>
                <w:tcPr>
                  <w:tcW w:w="1688"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Pažangiųmokiniųskaičius</w:t>
                  </w:r>
                  <w:proofErr w:type="spellEnd"/>
                  <w:r w:rsidRPr="00657B4A">
                    <w:rPr>
                      <w:rFonts w:ascii="Times New Roman" w:eastAsia="Times New Roman" w:hAnsi="Times New Roman" w:cs="Times New Roman"/>
                      <w:color w:val="000000"/>
                      <w:sz w:val="16"/>
                      <w:szCs w:val="16"/>
                    </w:rPr>
                    <w:t xml:space="preserve"> %</w:t>
                  </w:r>
                </w:p>
              </w:tc>
              <w:tc>
                <w:tcPr>
                  <w:tcW w:w="1703"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Aukštesniuojulygiu</w:t>
                  </w:r>
                  <w:proofErr w:type="spellEnd"/>
                  <w:r w:rsidRPr="00657B4A">
                    <w:rPr>
                      <w:rFonts w:ascii="Times New Roman" w:eastAsia="Times New Roman" w:hAnsi="Times New Roman" w:cs="Times New Roman"/>
                      <w:color w:val="000000"/>
                      <w:sz w:val="16"/>
                      <w:szCs w:val="16"/>
                    </w:rPr>
                    <w:t xml:space="preserve"> (</w:t>
                  </w:r>
                  <w:proofErr w:type="spellStart"/>
                  <w:r w:rsidRPr="00657B4A">
                    <w:rPr>
                      <w:rFonts w:ascii="Times New Roman" w:eastAsia="Times New Roman" w:hAnsi="Times New Roman" w:cs="Times New Roman"/>
                      <w:color w:val="000000"/>
                      <w:sz w:val="16"/>
                      <w:szCs w:val="16"/>
                    </w:rPr>
                    <w:t>mokositik</w:t>
                  </w:r>
                  <w:proofErr w:type="spellEnd"/>
                  <w:r w:rsidRPr="00657B4A">
                    <w:rPr>
                      <w:rFonts w:ascii="Times New Roman" w:eastAsia="Times New Roman" w:hAnsi="Times New Roman" w:cs="Times New Roman"/>
                      <w:color w:val="000000"/>
                      <w:sz w:val="16"/>
                      <w:szCs w:val="16"/>
                    </w:rPr>
                    <w:t xml:space="preserve"> 9-10) </w:t>
                  </w:r>
                  <w:proofErr w:type="spellStart"/>
                  <w:r w:rsidRPr="00657B4A">
                    <w:rPr>
                      <w:rFonts w:ascii="Times New Roman" w:eastAsia="Times New Roman" w:hAnsi="Times New Roman" w:cs="Times New Roman"/>
                      <w:color w:val="000000"/>
                      <w:sz w:val="16"/>
                      <w:szCs w:val="16"/>
                    </w:rPr>
                    <w:t>besimokančiųmokiniųskaičius</w:t>
                  </w:r>
                  <w:proofErr w:type="spellEnd"/>
                  <w:r w:rsidRPr="00657B4A">
                    <w:rPr>
                      <w:rFonts w:ascii="Times New Roman" w:eastAsia="Times New Roman" w:hAnsi="Times New Roman" w:cs="Times New Roman"/>
                      <w:color w:val="000000"/>
                      <w:sz w:val="16"/>
                      <w:szCs w:val="16"/>
                    </w:rPr>
                    <w:t xml:space="preserve"> (%)</w:t>
                  </w:r>
                </w:p>
              </w:tc>
              <w:tc>
                <w:tcPr>
                  <w:tcW w:w="1709"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Pagrindiniulygiu</w:t>
                  </w:r>
                  <w:proofErr w:type="spellEnd"/>
                  <w:r w:rsidRPr="00657B4A">
                    <w:rPr>
                      <w:rFonts w:ascii="Times New Roman" w:eastAsia="Times New Roman" w:hAnsi="Times New Roman" w:cs="Times New Roman"/>
                      <w:color w:val="000000"/>
                      <w:sz w:val="16"/>
                      <w:szCs w:val="16"/>
                    </w:rPr>
                    <w:t xml:space="preserve"> (</w:t>
                  </w:r>
                  <w:proofErr w:type="spellStart"/>
                  <w:r w:rsidRPr="00657B4A">
                    <w:rPr>
                      <w:rFonts w:ascii="Times New Roman" w:eastAsia="Times New Roman" w:hAnsi="Times New Roman" w:cs="Times New Roman"/>
                      <w:color w:val="000000"/>
                      <w:sz w:val="16"/>
                      <w:szCs w:val="16"/>
                    </w:rPr>
                    <w:t>mokositik</w:t>
                  </w:r>
                  <w:proofErr w:type="spellEnd"/>
                  <w:r w:rsidRPr="00657B4A">
                    <w:rPr>
                      <w:rFonts w:ascii="Times New Roman" w:eastAsia="Times New Roman" w:hAnsi="Times New Roman" w:cs="Times New Roman"/>
                      <w:color w:val="000000"/>
                      <w:sz w:val="16"/>
                      <w:szCs w:val="16"/>
                    </w:rPr>
                    <w:t xml:space="preserve"> 6-10) </w:t>
                  </w:r>
                  <w:proofErr w:type="spellStart"/>
                  <w:r w:rsidRPr="00657B4A">
                    <w:rPr>
                      <w:rFonts w:ascii="Times New Roman" w:eastAsia="Times New Roman" w:hAnsi="Times New Roman" w:cs="Times New Roman"/>
                      <w:color w:val="000000"/>
                      <w:sz w:val="16"/>
                      <w:szCs w:val="16"/>
                    </w:rPr>
                    <w:t>besimokančiųmokiniųskaičius</w:t>
                  </w:r>
                  <w:proofErr w:type="spellEnd"/>
                  <w:r w:rsidRPr="00657B4A">
                    <w:rPr>
                      <w:rFonts w:ascii="Times New Roman" w:eastAsia="Times New Roman" w:hAnsi="Times New Roman" w:cs="Times New Roman"/>
                      <w:color w:val="000000"/>
                      <w:sz w:val="16"/>
                      <w:szCs w:val="16"/>
                    </w:rPr>
                    <w:t xml:space="preserve"> (%)</w:t>
                  </w:r>
                </w:p>
              </w:tc>
              <w:tc>
                <w:tcPr>
                  <w:tcW w:w="2219" w:type="dxa"/>
                  <w:vAlign w:val="center"/>
                </w:tcPr>
                <w:p w:rsidR="00876F91" w:rsidRPr="00657B4A" w:rsidRDefault="00876F91" w:rsidP="00222313">
                  <w:pPr>
                    <w:jc w:val="center"/>
                    <w:rPr>
                      <w:rFonts w:ascii="Times New Roman" w:eastAsia="Times New Roman" w:hAnsi="Times New Roman" w:cs="Times New Roman"/>
                      <w:color w:val="000000"/>
                      <w:sz w:val="16"/>
                      <w:szCs w:val="16"/>
                    </w:rPr>
                  </w:pPr>
                  <w:proofErr w:type="spellStart"/>
                  <w:r w:rsidRPr="00657B4A">
                    <w:rPr>
                      <w:rFonts w:ascii="Times New Roman" w:eastAsia="Times New Roman" w:hAnsi="Times New Roman" w:cs="Times New Roman"/>
                      <w:color w:val="000000"/>
                      <w:sz w:val="16"/>
                      <w:szCs w:val="16"/>
                    </w:rPr>
                    <w:t>Patenkinamulygiu</w:t>
                  </w:r>
                  <w:proofErr w:type="spellEnd"/>
                  <w:r w:rsidRPr="00657B4A">
                    <w:rPr>
                      <w:rFonts w:ascii="Times New Roman" w:eastAsia="Times New Roman" w:hAnsi="Times New Roman" w:cs="Times New Roman"/>
                      <w:color w:val="000000"/>
                      <w:sz w:val="16"/>
                      <w:szCs w:val="16"/>
                    </w:rPr>
                    <w:t xml:space="preserve"> (mokosi 4-10) </w:t>
                  </w:r>
                  <w:proofErr w:type="spellStart"/>
                  <w:r w:rsidRPr="00657B4A">
                    <w:rPr>
                      <w:rFonts w:ascii="Times New Roman" w:eastAsia="Times New Roman" w:hAnsi="Times New Roman" w:cs="Times New Roman"/>
                      <w:color w:val="000000"/>
                      <w:sz w:val="16"/>
                      <w:szCs w:val="16"/>
                    </w:rPr>
                    <w:t>besimokančiųmokiniųskaičius</w:t>
                  </w:r>
                  <w:proofErr w:type="spellEnd"/>
                  <w:r w:rsidRPr="00657B4A">
                    <w:rPr>
                      <w:rFonts w:ascii="Times New Roman" w:eastAsia="Times New Roman" w:hAnsi="Times New Roman" w:cs="Times New Roman"/>
                      <w:color w:val="000000"/>
                      <w:sz w:val="16"/>
                      <w:szCs w:val="16"/>
                    </w:rPr>
                    <w:t xml:space="preserve"> (%)</w:t>
                  </w:r>
                </w:p>
              </w:tc>
            </w:tr>
            <w:tr w:rsidR="00876F91" w:rsidRPr="00C3623A" w:rsidTr="00222313">
              <w:trPr>
                <w:trHeight w:val="340"/>
              </w:trPr>
              <w:tc>
                <w:tcPr>
                  <w:tcW w:w="1399" w:type="dxa"/>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2019-2020</w:t>
                  </w:r>
                </w:p>
              </w:tc>
              <w:tc>
                <w:tcPr>
                  <w:tcW w:w="1491"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379</w:t>
                  </w:r>
                </w:p>
              </w:tc>
              <w:tc>
                <w:tcPr>
                  <w:tcW w:w="1688"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376 (99,2%)</w:t>
                  </w:r>
                </w:p>
              </w:tc>
              <w:tc>
                <w:tcPr>
                  <w:tcW w:w="1703"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30 (7,9%)</w:t>
                  </w:r>
                </w:p>
              </w:tc>
              <w:tc>
                <w:tcPr>
                  <w:tcW w:w="170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144(38%)</w:t>
                  </w:r>
                </w:p>
              </w:tc>
              <w:tc>
                <w:tcPr>
                  <w:tcW w:w="221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202(53,3%)</w:t>
                  </w:r>
                </w:p>
              </w:tc>
            </w:tr>
            <w:tr w:rsidR="00876F91" w:rsidRPr="00C3623A" w:rsidTr="00222313">
              <w:trPr>
                <w:trHeight w:val="340"/>
              </w:trPr>
              <w:tc>
                <w:tcPr>
                  <w:tcW w:w="2890" w:type="dxa"/>
                  <w:gridSpan w:val="2"/>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 xml:space="preserve">Po </w:t>
                  </w:r>
                  <w:proofErr w:type="spellStart"/>
                  <w:r w:rsidRPr="00657B4A">
                    <w:rPr>
                      <w:rFonts w:ascii="Times New Roman" w:eastAsia="Times New Roman" w:hAnsi="Times New Roman" w:cs="Times New Roman"/>
                      <w:b/>
                      <w:color w:val="000000"/>
                      <w:sz w:val="18"/>
                      <w:szCs w:val="18"/>
                    </w:rPr>
                    <w:t>papildomųdarbų</w:t>
                  </w:r>
                  <w:proofErr w:type="spellEnd"/>
                </w:p>
              </w:tc>
              <w:tc>
                <w:tcPr>
                  <w:tcW w:w="1688"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377 (99,4%)</w:t>
                  </w:r>
                </w:p>
              </w:tc>
              <w:tc>
                <w:tcPr>
                  <w:tcW w:w="1703"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p>
              </w:tc>
              <w:tc>
                <w:tcPr>
                  <w:tcW w:w="170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p>
              </w:tc>
              <w:tc>
                <w:tcPr>
                  <w:tcW w:w="221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p>
              </w:tc>
            </w:tr>
            <w:tr w:rsidR="00876F91" w:rsidRPr="00C3623A" w:rsidTr="00222313">
              <w:trPr>
                <w:trHeight w:val="340"/>
              </w:trPr>
              <w:tc>
                <w:tcPr>
                  <w:tcW w:w="1399" w:type="dxa"/>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2018-2019</w:t>
                  </w:r>
                </w:p>
              </w:tc>
              <w:tc>
                <w:tcPr>
                  <w:tcW w:w="1491"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397</w:t>
                  </w:r>
                </w:p>
              </w:tc>
              <w:tc>
                <w:tcPr>
                  <w:tcW w:w="1688"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394 (99,2%)</w:t>
                  </w:r>
                </w:p>
              </w:tc>
              <w:tc>
                <w:tcPr>
                  <w:tcW w:w="1703"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25 (6,3%)</w:t>
                  </w:r>
                </w:p>
              </w:tc>
              <w:tc>
                <w:tcPr>
                  <w:tcW w:w="1709"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135(34%)</w:t>
                  </w:r>
                </w:p>
              </w:tc>
              <w:tc>
                <w:tcPr>
                  <w:tcW w:w="221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r w:rsidRPr="00657B4A">
                    <w:rPr>
                      <w:rFonts w:ascii="Times New Roman" w:eastAsia="Times New Roman" w:hAnsi="Times New Roman" w:cs="Times New Roman"/>
                      <w:b/>
                      <w:color w:val="000000"/>
                      <w:sz w:val="18"/>
                      <w:szCs w:val="18"/>
                    </w:rPr>
                    <w:t>232(58,4%)</w:t>
                  </w:r>
                </w:p>
              </w:tc>
            </w:tr>
            <w:tr w:rsidR="00876F91" w:rsidRPr="00C3623A" w:rsidTr="00222313">
              <w:trPr>
                <w:trHeight w:val="340"/>
              </w:trPr>
              <w:tc>
                <w:tcPr>
                  <w:tcW w:w="2890" w:type="dxa"/>
                  <w:gridSpan w:val="2"/>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 xml:space="preserve">Po </w:t>
                  </w:r>
                  <w:proofErr w:type="spellStart"/>
                  <w:r w:rsidRPr="00657B4A">
                    <w:rPr>
                      <w:rFonts w:ascii="Times New Roman" w:eastAsia="Times New Roman" w:hAnsi="Times New Roman" w:cs="Times New Roman"/>
                      <w:b/>
                      <w:color w:val="000000"/>
                      <w:sz w:val="18"/>
                      <w:szCs w:val="18"/>
                    </w:rPr>
                    <w:t>papildomųdarbų</w:t>
                  </w:r>
                  <w:proofErr w:type="spellEnd"/>
                </w:p>
              </w:tc>
              <w:tc>
                <w:tcPr>
                  <w:tcW w:w="1688"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r w:rsidRPr="00657B4A">
                    <w:rPr>
                      <w:rFonts w:ascii="Times New Roman" w:eastAsia="Times New Roman" w:hAnsi="Times New Roman" w:cs="Times New Roman"/>
                      <w:b/>
                      <w:color w:val="000000"/>
                      <w:sz w:val="18"/>
                      <w:szCs w:val="18"/>
                    </w:rPr>
                    <w:t>397 (100%)</w:t>
                  </w:r>
                </w:p>
              </w:tc>
              <w:tc>
                <w:tcPr>
                  <w:tcW w:w="1703"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p>
              </w:tc>
              <w:tc>
                <w:tcPr>
                  <w:tcW w:w="1709" w:type="dxa"/>
                  <w:vAlign w:val="center"/>
                </w:tcPr>
                <w:p w:rsidR="00876F91" w:rsidRPr="00657B4A" w:rsidRDefault="00876F91" w:rsidP="00222313">
                  <w:pPr>
                    <w:jc w:val="center"/>
                    <w:rPr>
                      <w:rFonts w:ascii="Times New Roman" w:eastAsia="Times New Roman" w:hAnsi="Times New Roman" w:cs="Times New Roman"/>
                      <w:bCs/>
                      <w:color w:val="000000"/>
                      <w:sz w:val="18"/>
                      <w:szCs w:val="18"/>
                    </w:rPr>
                  </w:pPr>
                </w:p>
              </w:tc>
              <w:tc>
                <w:tcPr>
                  <w:tcW w:w="2219" w:type="dxa"/>
                  <w:vAlign w:val="center"/>
                </w:tcPr>
                <w:p w:rsidR="00876F91" w:rsidRPr="00657B4A" w:rsidRDefault="00876F91" w:rsidP="00222313">
                  <w:pPr>
                    <w:jc w:val="center"/>
                    <w:rPr>
                      <w:rFonts w:ascii="Times New Roman" w:eastAsia="Times New Roman" w:hAnsi="Times New Roman" w:cs="Times New Roman"/>
                      <w:b/>
                      <w:color w:val="000000"/>
                      <w:sz w:val="18"/>
                      <w:szCs w:val="18"/>
                    </w:rPr>
                  </w:pPr>
                </w:p>
              </w:tc>
            </w:tr>
          </w:tbl>
          <w:p w:rsidR="00876F91" w:rsidRDefault="00876F91" w:rsidP="00222313">
            <w:pPr>
              <w:spacing w:before="120"/>
              <w:ind w:firstLine="680"/>
              <w:jc w:val="both"/>
              <w:rPr>
                <w:rFonts w:ascii="Times New Roman" w:eastAsia="Times New Roman" w:hAnsi="Times New Roman" w:cs="Times New Roman"/>
                <w:color w:val="000000"/>
              </w:rPr>
            </w:pPr>
            <w:r w:rsidRPr="00C3623A">
              <w:rPr>
                <w:rFonts w:ascii="Times New Roman" w:eastAsia="Times New Roman" w:hAnsi="Times New Roman" w:cs="Times New Roman"/>
                <w:b/>
                <w:bCs/>
                <w:color w:val="000000"/>
              </w:rPr>
              <w:t xml:space="preserve">66 (17,4%) mokiniai dalyvavo įvairiose rajono dalykinėse olimpiadose ir konkursuose. Gimnazistai iškovojo 99 prizines vietas (I – 31, II – 35, III – 33) ir atstovavo rajoną respublikinėse olimpiadose ir </w:t>
            </w:r>
            <w:proofErr w:type="spellStart"/>
            <w:r w:rsidRPr="00C3623A">
              <w:rPr>
                <w:rFonts w:ascii="Times New Roman" w:eastAsia="Times New Roman" w:hAnsi="Times New Roman" w:cs="Times New Roman"/>
                <w:b/>
                <w:bCs/>
                <w:color w:val="000000"/>
              </w:rPr>
              <w:t>konkursuose.</w:t>
            </w:r>
            <w:r>
              <w:rPr>
                <w:rFonts w:ascii="Times New Roman" w:eastAsia="Times New Roman" w:hAnsi="Times New Roman" w:cs="Times New Roman"/>
                <w:color w:val="000000"/>
              </w:rPr>
              <w:t>II</w:t>
            </w:r>
            <w:proofErr w:type="spellEnd"/>
            <w:r>
              <w:rPr>
                <w:rFonts w:ascii="Times New Roman" w:eastAsia="Times New Roman" w:hAnsi="Times New Roman" w:cs="Times New Roman"/>
                <w:color w:val="000000"/>
              </w:rPr>
              <w:t xml:space="preserve"> vietą Europoje gimnazisčių komanda iškovojo tarptautiniame konkurse „Jaunimas </w:t>
            </w:r>
            <w:r w:rsidRPr="00C3623A">
              <w:rPr>
                <w:rFonts w:ascii="Times New Roman" w:eastAsia="Times New Roman" w:hAnsi="Times New Roman" w:cs="Times New Roman"/>
                <w:color w:val="000000"/>
              </w:rPr>
              <w:t>Paulina Mozūraitė Europos Sąjungos jaunųjų mokslininkų konkurso nacionaliniame etape užėmė III vietą respublikoje. Mokinių komanda Raseinių krašto matematikos olimpiadoje profesoriaus J. Kubiliaus taurei laimėti iškovojo I vietą ir profesoriaus J. Kubiliaus taurę.  Vaikinų futbolo komanda Kauno apskrities gimnazijų vaikinų futbolo varžybose laimėjo I vietą Kauno apskrityje.</w:t>
            </w:r>
          </w:p>
          <w:p w:rsidR="00876F91" w:rsidRPr="00C3623A" w:rsidRDefault="00876F91" w:rsidP="00222313">
            <w:pPr>
              <w:spacing w:before="120"/>
              <w:ind w:firstLine="680"/>
              <w:jc w:val="both"/>
              <w:rPr>
                <w:rFonts w:ascii="Times New Roman" w:eastAsia="Times New Roman" w:hAnsi="Times New Roman" w:cs="Times New Roman"/>
                <w:color w:val="000000"/>
              </w:rPr>
            </w:pPr>
            <w:r w:rsidRPr="00EB7D3D">
              <w:rPr>
                <w:rFonts w:ascii="Times New Roman" w:eastAsia="Calibri" w:hAnsi="Times New Roman" w:cs="Times New Roman"/>
                <w:sz w:val="24"/>
                <w:szCs w:val="24"/>
                <w:lang w:eastAsia="lt-LT"/>
              </w:rPr>
              <w:t>Gamtamokslinių gabumų turintiems mokiniams sudaromos sąlygos  dalyvauti VGTU klasės veiklose.</w:t>
            </w:r>
          </w:p>
          <w:p w:rsidR="00876F91" w:rsidRDefault="00876F91" w:rsidP="00222313">
            <w:pPr>
              <w:contextualSpacing/>
              <w:rPr>
                <w:rFonts w:ascii="Times New Roman" w:eastAsia="Calibri" w:hAnsi="Times New Roman" w:cs="Times New Roman"/>
                <w:i/>
              </w:rPr>
            </w:pPr>
            <w:r w:rsidRPr="00D86602">
              <w:rPr>
                <w:rFonts w:ascii="Times New Roman" w:eastAsia="Calibri" w:hAnsi="Times New Roman" w:cs="Times New Roman"/>
              </w:rPr>
              <w:t xml:space="preserve">1.2. </w:t>
            </w:r>
            <w:r w:rsidRPr="006C3BC9">
              <w:rPr>
                <w:rFonts w:ascii="Times New Roman" w:eastAsia="Calibri" w:hAnsi="Times New Roman" w:cs="Times New Roman"/>
                <w:i/>
              </w:rPr>
              <w:t>Kryptingai veikti komandose siekiant ugdymo kokybės ir veiksmingumo.</w:t>
            </w:r>
          </w:p>
          <w:p w:rsidR="00876F91" w:rsidRDefault="00876F91" w:rsidP="00222313">
            <w:pPr>
              <w:jc w:val="both"/>
              <w:rPr>
                <w:rFonts w:ascii="Times New Roman" w:eastAsia="Times New Roman" w:hAnsi="Times New Roman" w:cs="Times New Roman"/>
              </w:rPr>
            </w:pPr>
            <w:r w:rsidRPr="00D97FFD">
              <w:rPr>
                <w:rFonts w:ascii="Times New Roman" w:eastAsia="Calibri" w:hAnsi="Times New Roman" w:cs="Times New Roman"/>
              </w:rPr>
              <w:t xml:space="preserve">Gimnazijos bendruomenė kryptingai veikdama komandose įgyvendino 3 </w:t>
            </w:r>
            <w:proofErr w:type="spellStart"/>
            <w:r w:rsidRPr="00D97FFD">
              <w:rPr>
                <w:rFonts w:ascii="Times New Roman" w:eastAsia="Calibri" w:hAnsi="Times New Roman" w:cs="Times New Roman"/>
              </w:rPr>
              <w:t>Erasmus</w:t>
            </w:r>
            <w:proofErr w:type="spellEnd"/>
            <w:r w:rsidRPr="00D97FFD">
              <w:rPr>
                <w:rFonts w:ascii="Times New Roman" w:eastAsia="Calibri" w:hAnsi="Times New Roman" w:cs="Times New Roman"/>
              </w:rPr>
              <w:t>+ tarptautinius projektus „H.E.L.P“, „Finansinis raštingumas“ bei „</w:t>
            </w:r>
            <w:r w:rsidRPr="00D97FFD">
              <w:rPr>
                <w:rFonts w:ascii="Times New Roman" w:eastAsia="Calibri" w:hAnsi="Times New Roman" w:cs="Times New Roman"/>
                <w:noProof/>
              </w:rPr>
              <w:t>„Europos žalias tikslas – švari energija ir aplinkos darna prieš klimato kaitą“</w:t>
            </w:r>
            <w:r>
              <w:rPr>
                <w:rFonts w:ascii="Times New Roman" w:eastAsia="Calibri" w:hAnsi="Times New Roman" w:cs="Times New Roman"/>
              </w:rPr>
              <w:t xml:space="preserve">. Projektuose dalyvavo 20 procentų gimnazijos mokinių, kurie patobulino </w:t>
            </w:r>
            <w:r w:rsidRPr="006A66C8">
              <w:rPr>
                <w:rFonts w:ascii="Times New Roman" w:eastAsia="Calibri" w:hAnsi="Times New Roman" w:cs="Times New Roman"/>
              </w:rPr>
              <w:t xml:space="preserve">patobulins anglų kalbos, gamtamokslines, IKT, </w:t>
            </w:r>
            <w:r>
              <w:rPr>
                <w:rFonts w:ascii="Times New Roman" w:eastAsia="Calibri" w:hAnsi="Times New Roman" w:cs="Times New Roman"/>
              </w:rPr>
              <w:t xml:space="preserve">retorikos, geografijos žinias </w:t>
            </w:r>
            <w:proofErr w:type="spellStart"/>
            <w:r>
              <w:rPr>
                <w:rFonts w:ascii="Times New Roman" w:eastAsia="Calibri" w:hAnsi="Times New Roman" w:cs="Times New Roman"/>
              </w:rPr>
              <w:t>beibendrąsias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kompetencijas.</w:t>
            </w:r>
            <w:r>
              <w:rPr>
                <w:rFonts w:ascii="Times New Roman" w:hAnsi="Times New Roman"/>
              </w:rPr>
              <w:t>Kiekviena</w:t>
            </w:r>
            <w:proofErr w:type="spellEnd"/>
            <w:r>
              <w:rPr>
                <w:rFonts w:ascii="Times New Roman" w:hAnsi="Times New Roman"/>
              </w:rPr>
              <w:t xml:space="preserve"> metodinė grupė planavo v</w:t>
            </w:r>
            <w:r>
              <w:rPr>
                <w:rFonts w:ascii="Times New Roman" w:eastAsia="Calibri" w:hAnsi="Times New Roman" w:cs="Times New Roman"/>
              </w:rPr>
              <w:t>ykdyti tradicinius renginius</w:t>
            </w:r>
            <w:r w:rsidRPr="00D97FFD">
              <w:rPr>
                <w:rFonts w:ascii="Times New Roman" w:eastAsia="Calibri" w:hAnsi="Times New Roman" w:cs="Times New Roman"/>
              </w:rPr>
              <w:t xml:space="preserve">, </w:t>
            </w:r>
            <w:r>
              <w:rPr>
                <w:rFonts w:ascii="Times New Roman" w:eastAsia="Calibri" w:hAnsi="Times New Roman" w:cs="Times New Roman"/>
              </w:rPr>
              <w:t>konkursus</w:t>
            </w:r>
            <w:r w:rsidRPr="00D97FFD">
              <w:rPr>
                <w:rFonts w:ascii="Times New Roman" w:eastAsia="Calibri" w:hAnsi="Times New Roman" w:cs="Times New Roman"/>
              </w:rPr>
              <w:t>, k</w:t>
            </w:r>
            <w:r>
              <w:rPr>
                <w:rFonts w:ascii="Times New Roman" w:eastAsia="Calibri" w:hAnsi="Times New Roman" w:cs="Times New Roman"/>
              </w:rPr>
              <w:t>onferencijas, suteikiančius</w:t>
            </w:r>
            <w:r w:rsidRPr="00D97FFD">
              <w:rPr>
                <w:rFonts w:ascii="Times New Roman" w:eastAsia="Calibri" w:hAnsi="Times New Roman" w:cs="Times New Roman"/>
              </w:rPr>
              <w:t xml:space="preserve"> daugiau galimybių siekti </w:t>
            </w:r>
            <w:r w:rsidRPr="00D97FFD">
              <w:rPr>
                <w:rFonts w:ascii="Times New Roman" w:eastAsia="Calibri" w:hAnsi="Times New Roman" w:cs="Times New Roman"/>
              </w:rPr>
              <w:lastRenderedPageBreak/>
              <w:t>ugdymo</w:t>
            </w:r>
            <w:r>
              <w:rPr>
                <w:rFonts w:ascii="Times New Roman" w:eastAsia="Calibri" w:hAnsi="Times New Roman" w:cs="Times New Roman"/>
              </w:rPr>
              <w:t xml:space="preserve"> kokybės netradiciniais būdais, tačiau pavyko įgyvendinti tik pusę suplanuoti renginių perėjus dirbti nuotoliniu būdu. VGK organizavo</w:t>
            </w:r>
            <w:r w:rsidRPr="0022211D">
              <w:rPr>
                <w:rFonts w:ascii="Times New Roman" w:eastAsia="Calibri" w:hAnsi="Times New Roman" w:cs="Times New Roman"/>
              </w:rPr>
              <w:t xml:space="preserve"> diskusiją su gabiais mokiniais ir jų tėvais apie lūkesčius ir ugdymo kokybę</w:t>
            </w:r>
            <w:r>
              <w:rPr>
                <w:rFonts w:ascii="Times New Roman" w:eastAsia="Calibri" w:hAnsi="Times New Roman" w:cs="Times New Roman"/>
              </w:rPr>
              <w:t xml:space="preserve"> (2020-09-30)</w:t>
            </w:r>
            <w:r w:rsidRPr="0022211D">
              <w:rPr>
                <w:rFonts w:ascii="Times New Roman" w:eastAsia="Calibri" w:hAnsi="Times New Roman" w:cs="Times New Roman"/>
              </w:rPr>
              <w:t>.</w:t>
            </w:r>
            <w:r>
              <w:rPr>
                <w:rFonts w:ascii="Times New Roman" w:eastAsia="Calibri" w:hAnsi="Times New Roman" w:cs="Times New Roman"/>
              </w:rPr>
              <w:t xml:space="preserve"> 10</w:t>
            </w:r>
            <w:r>
              <w:rPr>
                <w:rFonts w:ascii="Times New Roman" w:eastAsia="Times New Roman" w:hAnsi="Times New Roman" w:cs="Times New Roman"/>
              </w:rPr>
              <w:t xml:space="preserve"> gabių mokinių ir jų tėvų dalyvavo </w:t>
            </w:r>
            <w:r w:rsidRPr="0022211D">
              <w:rPr>
                <w:rFonts w:ascii="Times New Roman" w:eastAsia="Times New Roman" w:hAnsi="Times New Roman" w:cs="Times New Roman"/>
              </w:rPr>
              <w:t xml:space="preserve">diskusijoje, </w:t>
            </w:r>
            <w:r>
              <w:rPr>
                <w:rFonts w:ascii="Times New Roman" w:eastAsia="Times New Roman" w:hAnsi="Times New Roman" w:cs="Times New Roman"/>
              </w:rPr>
              <w:t>priėmė bendrus susitarimus dėl gabių mokinių konsultacijų, mokiniai buvo kviečiami įsitraukti</w:t>
            </w:r>
            <w:r w:rsidRPr="0022211D">
              <w:rPr>
                <w:rFonts w:ascii="Times New Roman" w:eastAsia="Times New Roman" w:hAnsi="Times New Roman" w:cs="Times New Roman"/>
              </w:rPr>
              <w:t xml:space="preserve"> į ,,Mokinys mokiniui“ veiklas</w:t>
            </w:r>
            <w:r>
              <w:rPr>
                <w:rFonts w:ascii="Times New Roman" w:eastAsia="Times New Roman" w:hAnsi="Times New Roman" w:cs="Times New Roman"/>
              </w:rPr>
              <w:t xml:space="preserve">. Gimnazijos mokiniai ir mokytojai taip pat dalyvavo </w:t>
            </w:r>
            <w:r w:rsidRPr="00B02D8C">
              <w:rPr>
                <w:rFonts w:ascii="Times New Roman" w:hAnsi="Times New Roman" w:cs="Times New Roman"/>
                <w:color w:val="222222"/>
                <w:shd w:val="clear" w:color="auto" w:fill="FFFFFF"/>
              </w:rPr>
              <w:t>2020 m. birželio-gruodžio m</w:t>
            </w:r>
            <w:r>
              <w:rPr>
                <w:rFonts w:ascii="Times New Roman" w:hAnsi="Times New Roman" w:cs="Times New Roman"/>
                <w:color w:val="222222"/>
                <w:shd w:val="clear" w:color="auto" w:fill="FFFFFF"/>
              </w:rPr>
              <w:t>ėn. VDU mokslininkų</w:t>
            </w:r>
            <w:r w:rsidRPr="00B02D8C">
              <w:rPr>
                <w:rFonts w:ascii="Times New Roman" w:hAnsi="Times New Roman" w:cs="Times New Roman"/>
                <w:color w:val="222222"/>
                <w:shd w:val="clear" w:color="auto" w:fill="FFFFFF"/>
              </w:rPr>
              <w:t xml:space="preserve"> įgyvendina</w:t>
            </w:r>
            <w:r>
              <w:rPr>
                <w:rFonts w:ascii="Times New Roman" w:hAnsi="Times New Roman" w:cs="Times New Roman"/>
                <w:color w:val="222222"/>
                <w:shd w:val="clear" w:color="auto" w:fill="FFFFFF"/>
              </w:rPr>
              <w:t>mame</w:t>
            </w:r>
            <w:r w:rsidRPr="00B02D8C">
              <w:rPr>
                <w:rFonts w:ascii="Times New Roman" w:hAnsi="Times New Roman" w:cs="Times New Roman"/>
                <w:color w:val="222222"/>
                <w:shd w:val="clear" w:color="auto" w:fill="FFFFFF"/>
              </w:rPr>
              <w:t xml:space="preserve"> Lietuvos mokslų tarybos (LMTLT) finansuojam</w:t>
            </w:r>
            <w:r>
              <w:rPr>
                <w:rFonts w:ascii="Times New Roman" w:hAnsi="Times New Roman" w:cs="Times New Roman"/>
                <w:color w:val="222222"/>
                <w:shd w:val="clear" w:color="auto" w:fill="FFFFFF"/>
              </w:rPr>
              <w:t xml:space="preserve">ajame </w:t>
            </w:r>
            <w:r w:rsidRPr="00B02D8C">
              <w:rPr>
                <w:rFonts w:ascii="Times New Roman" w:hAnsi="Times New Roman" w:cs="Times New Roman"/>
                <w:color w:val="222222"/>
                <w:shd w:val="clear" w:color="auto" w:fill="FFFFFF"/>
              </w:rPr>
              <w:t>Covid19 pandemijos p</w:t>
            </w:r>
            <w:r>
              <w:rPr>
                <w:rFonts w:ascii="Times New Roman" w:hAnsi="Times New Roman" w:cs="Times New Roman"/>
                <w:color w:val="222222"/>
                <w:shd w:val="clear" w:color="auto" w:fill="FFFFFF"/>
              </w:rPr>
              <w:t>asekmių mažinimo tyrimų projekte</w:t>
            </w:r>
            <w:r w:rsidRPr="00B02D8C">
              <w:rPr>
                <w:rFonts w:ascii="Times New Roman" w:hAnsi="Times New Roman" w:cs="Times New Roman"/>
                <w:color w:val="222222"/>
                <w:shd w:val="clear" w:color="auto" w:fill="FFFFFF"/>
              </w:rPr>
              <w:t xml:space="preserve"> „</w:t>
            </w:r>
            <w:proofErr w:type="spellStart"/>
            <w:r w:rsidRPr="00B02D8C">
              <w:rPr>
                <w:rFonts w:ascii="Times New Roman" w:hAnsi="Times New Roman" w:cs="Times New Roman"/>
                <w:color w:val="222222"/>
                <w:shd w:val="clear" w:color="auto" w:fill="FFFFFF"/>
              </w:rPr>
              <w:t>Ugdymasnuotoliniu</w:t>
            </w:r>
            <w:proofErr w:type="spellEnd"/>
            <w:r w:rsidRPr="00B02D8C">
              <w:rPr>
                <w:rFonts w:ascii="Times New Roman" w:hAnsi="Times New Roman" w:cs="Times New Roman"/>
                <w:color w:val="222222"/>
                <w:shd w:val="clear" w:color="auto" w:fill="FFFFFF"/>
              </w:rPr>
              <w:t xml:space="preserve"> būdu pandemijos ir kitų krizinių situacijų metu“</w:t>
            </w:r>
            <w:r>
              <w:rPr>
                <w:rFonts w:ascii="Times New Roman" w:hAnsi="Times New Roman" w:cs="Times New Roman"/>
                <w:color w:val="222222"/>
                <w:shd w:val="clear" w:color="auto" w:fill="FFFFFF"/>
              </w:rPr>
              <w:t xml:space="preserve">, pateikė savo įžvalgas, pastebėjimus, rekomendacijas diskutuodami </w:t>
            </w:r>
            <w:proofErr w:type="spellStart"/>
            <w:r>
              <w:rPr>
                <w:rFonts w:ascii="Times New Roman" w:hAnsi="Times New Roman" w:cs="Times New Roman"/>
                <w:color w:val="222222"/>
                <w:shd w:val="clear" w:color="auto" w:fill="FFFFFF"/>
              </w:rPr>
              <w:t>Focus</w:t>
            </w:r>
            <w:proofErr w:type="spellEnd"/>
            <w:r>
              <w:rPr>
                <w:rFonts w:ascii="Times New Roman" w:hAnsi="Times New Roman" w:cs="Times New Roman"/>
                <w:color w:val="222222"/>
                <w:shd w:val="clear" w:color="auto" w:fill="FFFFFF"/>
              </w:rPr>
              <w:t xml:space="preserve"> grupėse. Buvo vykdomi r</w:t>
            </w:r>
            <w:r>
              <w:rPr>
                <w:rFonts w:ascii="Times New Roman" w:eastAsia="Calibri" w:hAnsi="Times New Roman" w:cs="Times New Roman"/>
              </w:rPr>
              <w:t>efleksiniai pokalbiai, kurių</w:t>
            </w:r>
            <w:r w:rsidRPr="0022211D">
              <w:rPr>
                <w:rFonts w:ascii="Times New Roman" w:eastAsia="Calibri" w:hAnsi="Times New Roman" w:cs="Times New Roman"/>
              </w:rPr>
              <w:t xml:space="preserve"> metu išsiaiškinami mokinių pagalbos poreikiai ir tarpininkaujama </w:t>
            </w:r>
            <w:r>
              <w:rPr>
                <w:rFonts w:ascii="Times New Roman" w:eastAsia="Calibri" w:hAnsi="Times New Roman" w:cs="Times New Roman"/>
              </w:rPr>
              <w:t>ją teikiant. Visi mokiniai pildė refleksijos lapus, nusimatė</w:t>
            </w:r>
            <w:r w:rsidRPr="0022211D">
              <w:rPr>
                <w:rFonts w:ascii="Times New Roman" w:eastAsia="Calibri" w:hAnsi="Times New Roman" w:cs="Times New Roman"/>
              </w:rPr>
              <w:t xml:space="preserve"> metų tikslus. </w:t>
            </w:r>
            <w:r>
              <w:rPr>
                <w:rFonts w:ascii="Times New Roman" w:eastAsia="Calibri" w:hAnsi="Times New Roman" w:cs="Times New Roman"/>
              </w:rPr>
              <w:t>Buvo t</w:t>
            </w:r>
            <w:r w:rsidRPr="0022211D">
              <w:rPr>
                <w:rFonts w:ascii="Times New Roman" w:eastAsia="Calibri" w:hAnsi="Times New Roman" w:cs="Times New Roman"/>
              </w:rPr>
              <w:t>eikiama mokinių poreikius atitinkanti pagalba. Ne</w:t>
            </w:r>
            <w:r>
              <w:rPr>
                <w:rFonts w:ascii="Times New Roman" w:eastAsia="Calibri" w:hAnsi="Times New Roman" w:cs="Times New Roman"/>
              </w:rPr>
              <w:t xml:space="preserve"> mažiau nei 50% mokinių pagerino</w:t>
            </w:r>
            <w:r w:rsidRPr="0022211D">
              <w:rPr>
                <w:rFonts w:ascii="Times New Roman" w:eastAsia="Calibri" w:hAnsi="Times New Roman" w:cs="Times New Roman"/>
              </w:rPr>
              <w:t xml:space="preserve"> savo ugdymosi </w:t>
            </w:r>
            <w:proofErr w:type="spellStart"/>
            <w:r w:rsidRPr="0022211D">
              <w:rPr>
                <w:rFonts w:ascii="Times New Roman" w:eastAsia="Calibri" w:hAnsi="Times New Roman" w:cs="Times New Roman"/>
              </w:rPr>
              <w:t>rezultatus.</w:t>
            </w:r>
            <w:r>
              <w:rPr>
                <w:rFonts w:ascii="Times New Roman" w:eastAsia="Times New Roman" w:hAnsi="Times New Roman" w:cs="Times New Roman"/>
              </w:rPr>
              <w:t>Buvo</w:t>
            </w:r>
            <w:proofErr w:type="spellEnd"/>
            <w:r>
              <w:rPr>
                <w:rFonts w:ascii="Times New Roman" w:eastAsia="Times New Roman" w:hAnsi="Times New Roman" w:cs="Times New Roman"/>
              </w:rPr>
              <w:t xml:space="preserve"> į</w:t>
            </w:r>
            <w:r w:rsidRPr="0022211D">
              <w:rPr>
                <w:rFonts w:ascii="Times New Roman" w:eastAsia="Times New Roman" w:hAnsi="Times New Roman" w:cs="Times New Roman"/>
              </w:rPr>
              <w:t>gyvendinamos prevencinės ir mokinių bendrųjų kompetencijų tobulinimo veiklos. Įgyvendinama neformaliojo šviet</w:t>
            </w:r>
            <w:r>
              <w:rPr>
                <w:rFonts w:ascii="Times New Roman" w:eastAsia="Times New Roman" w:hAnsi="Times New Roman" w:cs="Times New Roman"/>
              </w:rPr>
              <w:t>imo programa VEIK.</w:t>
            </w:r>
            <w:r w:rsidRPr="0022211D">
              <w:rPr>
                <w:rFonts w:ascii="Times New Roman" w:eastAsia="Times New Roman" w:hAnsi="Times New Roman" w:cs="Times New Roman"/>
              </w:rPr>
              <w:t xml:space="preserve"> 80 proc. mokinių</w:t>
            </w:r>
            <w:r>
              <w:rPr>
                <w:rFonts w:ascii="Times New Roman" w:eastAsia="Times New Roman" w:hAnsi="Times New Roman" w:cs="Times New Roman"/>
              </w:rPr>
              <w:t xml:space="preserve"> iš soc. rizikos šeimų </w:t>
            </w:r>
            <w:r w:rsidRPr="0022211D">
              <w:rPr>
                <w:rFonts w:ascii="Times New Roman" w:eastAsia="Times New Roman" w:hAnsi="Times New Roman" w:cs="Times New Roman"/>
              </w:rPr>
              <w:t>30 procentų mokinių, nurodančių, kad turi emocijų valdymo problemų,</w:t>
            </w:r>
            <w:r>
              <w:rPr>
                <w:rFonts w:ascii="Times New Roman" w:eastAsia="Times New Roman" w:hAnsi="Times New Roman" w:cs="Times New Roman"/>
              </w:rPr>
              <w:t xml:space="preserve"> dalyvavo šioje</w:t>
            </w:r>
            <w:r w:rsidRPr="0022211D">
              <w:rPr>
                <w:rFonts w:ascii="Times New Roman" w:eastAsia="Times New Roman" w:hAnsi="Times New Roman" w:cs="Times New Roman"/>
              </w:rPr>
              <w:t xml:space="preserve"> programoje.</w:t>
            </w:r>
          </w:p>
          <w:p w:rsidR="00876F91" w:rsidRDefault="00876F91" w:rsidP="00222313">
            <w:pPr>
              <w:jc w:val="both"/>
              <w:rPr>
                <w:rFonts w:ascii="Times New Roman" w:eastAsia="Calibri" w:hAnsi="Times New Roman" w:cs="Times New Roman"/>
              </w:rPr>
            </w:pPr>
            <w:r>
              <w:rPr>
                <w:rFonts w:ascii="Times New Roman" w:eastAsia="Times New Roman" w:hAnsi="Times New Roman" w:cs="Times New Roman"/>
              </w:rPr>
              <w:t xml:space="preserve">Pasirašyta bendradarbiavimo sutartis su VDU (2020 m. kovo mėn.). 2020 m. kovo mėn. įvedus karantiną gimnazija pasirinko MOODLE nuotolinio mokymo platformą. VDU lektoriai organizavo mokytojams seminarus kaip dirbti MOODLE aplinkoje. Nuotolinio mokymosi laikotarpiu gimnazijos bendruomenė sėkmingai dirbo šioje platformoje. </w:t>
            </w:r>
          </w:p>
          <w:p w:rsidR="00876F91" w:rsidRPr="006C3BC9" w:rsidRDefault="00876F91" w:rsidP="00222313">
            <w:pPr>
              <w:contextualSpacing/>
              <w:rPr>
                <w:rFonts w:ascii="Times New Roman" w:eastAsia="Calibri" w:hAnsi="Times New Roman" w:cs="Times New Roman"/>
                <w:b/>
              </w:rPr>
            </w:pPr>
            <w:r w:rsidRPr="00C3623A">
              <w:rPr>
                <w:rFonts w:ascii="Times New Roman" w:eastAsia="Calibri" w:hAnsi="Times New Roman" w:cs="Times New Roman"/>
                <w:b/>
              </w:rPr>
              <w:t xml:space="preserve">2. </w:t>
            </w:r>
            <w:r w:rsidRPr="006C3BC9">
              <w:rPr>
                <w:rFonts w:ascii="Times New Roman" w:eastAsia="Calibri" w:hAnsi="Times New Roman" w:cs="Times New Roman"/>
                <w:b/>
              </w:rPr>
              <w:t>Aktyvinti mokyklos savivaldos institucijų veiklą:</w:t>
            </w:r>
          </w:p>
          <w:p w:rsidR="00876F91" w:rsidRDefault="00876F91" w:rsidP="00222313">
            <w:pPr>
              <w:contextualSpacing/>
              <w:rPr>
                <w:rFonts w:ascii="Times New Roman" w:eastAsia="Calibri" w:hAnsi="Times New Roman" w:cs="Times New Roman"/>
                <w:i/>
              </w:rPr>
            </w:pPr>
            <w:r w:rsidRPr="00C3623A">
              <w:rPr>
                <w:rFonts w:ascii="Times New Roman" w:eastAsia="Calibri" w:hAnsi="Times New Roman" w:cs="Times New Roman"/>
              </w:rPr>
              <w:t xml:space="preserve">2.1. </w:t>
            </w:r>
            <w:r w:rsidRPr="006C3BC9">
              <w:rPr>
                <w:rFonts w:ascii="Times New Roman" w:eastAsia="Calibri" w:hAnsi="Times New Roman" w:cs="Times New Roman"/>
                <w:i/>
              </w:rPr>
              <w:t>Skatinti iniciatyvas planuojant ir įgyvendinant gimnazijos veiklas.</w:t>
            </w:r>
          </w:p>
          <w:p w:rsidR="00876F91" w:rsidRDefault="00876F91" w:rsidP="00222313">
            <w:pPr>
              <w:jc w:val="both"/>
              <w:rPr>
                <w:rFonts w:ascii="Times New Roman" w:eastAsia="Times New Roman" w:hAnsi="Times New Roman" w:cs="Times New Roman"/>
              </w:rPr>
            </w:pPr>
            <w:r>
              <w:rPr>
                <w:rFonts w:ascii="Times New Roman" w:eastAsia="Times New Roman" w:hAnsi="Times New Roman" w:cs="Times New Roman"/>
              </w:rPr>
              <w:t xml:space="preserve">Gimnazijoje aktyviai veikia gimnazijos mokinių seimas, kuris organizavo </w:t>
            </w:r>
            <w:r w:rsidRPr="0022211D">
              <w:rPr>
                <w:rFonts w:ascii="Times New Roman" w:eastAsia="Times New Roman" w:hAnsi="Times New Roman" w:cs="Times New Roman"/>
              </w:rPr>
              <w:t>mokin</w:t>
            </w:r>
            <w:r>
              <w:rPr>
                <w:rFonts w:ascii="Times New Roman" w:eastAsia="Times New Roman" w:hAnsi="Times New Roman" w:cs="Times New Roman"/>
              </w:rPr>
              <w:t>ių  iniciatyvų mugę ir prisidėjo</w:t>
            </w:r>
            <w:r w:rsidRPr="0022211D">
              <w:rPr>
                <w:rFonts w:ascii="Times New Roman" w:eastAsia="Times New Roman" w:hAnsi="Times New Roman" w:cs="Times New Roman"/>
              </w:rPr>
              <w:t xml:space="preserve"> prie</w:t>
            </w:r>
            <w:r>
              <w:rPr>
                <w:rFonts w:ascii="Times New Roman" w:eastAsia="Times New Roman" w:hAnsi="Times New Roman" w:cs="Times New Roman"/>
              </w:rPr>
              <w:t xml:space="preserve"> iniciatyvų </w:t>
            </w:r>
            <w:proofErr w:type="spellStart"/>
            <w:r>
              <w:rPr>
                <w:rFonts w:ascii="Times New Roman" w:eastAsia="Times New Roman" w:hAnsi="Times New Roman" w:cs="Times New Roman"/>
              </w:rPr>
              <w:t>įgyvendinimo.Buvo</w:t>
            </w:r>
            <w:proofErr w:type="spellEnd"/>
            <w:r>
              <w:rPr>
                <w:rFonts w:ascii="Times New Roman" w:eastAsia="Times New Roman" w:hAnsi="Times New Roman" w:cs="Times New Roman"/>
              </w:rPr>
              <w:t xml:space="preserve"> i</w:t>
            </w:r>
            <w:r w:rsidRPr="0022211D">
              <w:rPr>
                <w:rFonts w:ascii="Times New Roman" w:eastAsia="Times New Roman" w:hAnsi="Times New Roman" w:cs="Times New Roman"/>
              </w:rPr>
              <w:t>šgrynintos ne mažiau ne</w:t>
            </w:r>
            <w:r>
              <w:rPr>
                <w:rFonts w:ascii="Times New Roman" w:eastAsia="Times New Roman" w:hAnsi="Times New Roman" w:cs="Times New Roman"/>
              </w:rPr>
              <w:t>i 2 idėjos ir mokiniai dalyvavo</w:t>
            </w:r>
            <w:r w:rsidRPr="0022211D">
              <w:rPr>
                <w:rFonts w:ascii="Times New Roman" w:eastAsia="Times New Roman" w:hAnsi="Times New Roman" w:cs="Times New Roman"/>
              </w:rPr>
              <w:t xml:space="preserve"> jas įgyvendinant. </w:t>
            </w:r>
            <w:r>
              <w:rPr>
                <w:rFonts w:ascii="Times New Roman" w:eastAsia="Times New Roman" w:hAnsi="Times New Roman" w:cs="Times New Roman"/>
              </w:rPr>
              <w:t>Mokiniai inicijavo ir organizavo 6</w:t>
            </w:r>
            <w:r w:rsidRPr="0022211D">
              <w:rPr>
                <w:rFonts w:ascii="Times New Roman" w:eastAsia="Times New Roman" w:hAnsi="Times New Roman" w:cs="Times New Roman"/>
              </w:rPr>
              <w:t xml:space="preserve"> gimnazijos renginius.</w:t>
            </w:r>
            <w:r>
              <w:rPr>
                <w:rFonts w:ascii="Times New Roman" w:eastAsia="Times New Roman" w:hAnsi="Times New Roman" w:cs="Times New Roman"/>
              </w:rPr>
              <w:t xml:space="preserve"> Kai buvo pereita prie nuotolinio ugdymo, mokiniai organizavo renginius nuotoliniu būdu: diskusijos, kalėdiniai sveikinimai, </w:t>
            </w:r>
            <w:proofErr w:type="spellStart"/>
            <w:r>
              <w:rPr>
                <w:rFonts w:ascii="Times New Roman" w:eastAsia="Times New Roman" w:hAnsi="Times New Roman" w:cs="Times New Roman"/>
              </w:rPr>
              <w:t>protmūšis</w:t>
            </w:r>
            <w:proofErr w:type="spellEnd"/>
            <w:r>
              <w:rPr>
                <w:rFonts w:ascii="Times New Roman" w:eastAsia="Times New Roman" w:hAnsi="Times New Roman" w:cs="Times New Roman"/>
              </w:rPr>
              <w:t>. Tėvų taryba ėmėsi</w:t>
            </w:r>
            <w:r w:rsidRPr="0022211D">
              <w:rPr>
                <w:rFonts w:ascii="Times New Roman" w:eastAsia="Times New Roman" w:hAnsi="Times New Roman" w:cs="Times New Roman"/>
              </w:rPr>
              <w:t xml:space="preserve"> iniciatyvų prisidėti prie gimnazijos veiklos tobulinimo. Įvykdytos 2 tėvų akcijos prieš rū</w:t>
            </w:r>
            <w:r>
              <w:rPr>
                <w:rFonts w:ascii="Times New Roman" w:eastAsia="Times New Roman" w:hAnsi="Times New Roman" w:cs="Times New Roman"/>
              </w:rPr>
              <w:t xml:space="preserve">kymą ir už uniformų dėvėjimą, taip pat aktyviai dalyvauta Mokytojo dienos Regatoje (2020-10-10), sukurtas laužas, visi dalyviai buvo vaišinami tėvų išvirta žuviene. Planuoti </w:t>
            </w:r>
            <w:r w:rsidRPr="0022211D">
              <w:rPr>
                <w:rFonts w:ascii="Times New Roman" w:eastAsia="Times New Roman" w:hAnsi="Times New Roman" w:cs="Times New Roman"/>
              </w:rPr>
              <w:t>1-2 švietėjiški renginiai tėvams</w:t>
            </w:r>
            <w:r>
              <w:rPr>
                <w:rFonts w:ascii="Times New Roman" w:eastAsia="Times New Roman" w:hAnsi="Times New Roman" w:cs="Times New Roman"/>
              </w:rPr>
              <w:t xml:space="preserve"> nebuvo įgyvendinti dėl karantino. Įvedus nuotolinį ugdymą gimnazijoje, tėvams buvo suorganizuota diskusija „Akademinis sąžiningumas. Kaip gali padėti tėvai?“ </w:t>
            </w:r>
            <w:proofErr w:type="spellStart"/>
            <w:r>
              <w:rPr>
                <w:rFonts w:ascii="Times New Roman" w:eastAsia="Times New Roman" w:hAnsi="Times New Roman" w:cs="Times New Roman"/>
              </w:rPr>
              <w:t>Zoom</w:t>
            </w:r>
            <w:proofErr w:type="spellEnd"/>
            <w:r>
              <w:rPr>
                <w:rFonts w:ascii="Times New Roman" w:eastAsia="Times New Roman" w:hAnsi="Times New Roman" w:cs="Times New Roman"/>
              </w:rPr>
              <w:t xml:space="preserve"> platformoje, priimti 2 susitarimai dėl akademinio sąžiningumo skatino kalbantis su vaikais, dėl asmeninės patirties pasidalijimo. Metodinė taryba taip pat diskutavo apie akademinį sąžiningumą, dalijosi patirtimi kaip būtų galima išvengti mokinių akademinio nesąžiningumo mokantis nuotoliniu būdu. Mokiniai sukūrė </w:t>
            </w:r>
            <w:proofErr w:type="spellStart"/>
            <w:r>
              <w:rPr>
                <w:rFonts w:ascii="Times New Roman" w:eastAsia="Times New Roman" w:hAnsi="Times New Roman" w:cs="Times New Roman"/>
              </w:rPr>
              <w:t>tinklalaidę</w:t>
            </w:r>
            <w:proofErr w:type="spellEnd"/>
            <w:r>
              <w:rPr>
                <w:rFonts w:ascii="Times New Roman" w:eastAsia="Times New Roman" w:hAnsi="Times New Roman" w:cs="Times New Roman"/>
              </w:rPr>
              <w:t xml:space="preserve"> „Tamsioji mėnulio pusė: akademinis nesąžiningumas“</w:t>
            </w:r>
            <w:r>
              <w:t xml:space="preserve"> (</w:t>
            </w:r>
            <w:hyperlink r:id="rId6" w:history="1">
              <w:r w:rsidRPr="00CA766F">
                <w:rPr>
                  <w:rStyle w:val="Hyperlink"/>
                  <w:rFonts w:ascii="Times New Roman" w:eastAsia="Times New Roman" w:hAnsi="Times New Roman" w:cs="Times New Roman"/>
                </w:rPr>
                <w:t>https://ziburys.prienai.lm.lt/?s=tinklalaid%C4%97</w:t>
              </w:r>
            </w:hyperlink>
            <w:r>
              <w:rPr>
                <w:rFonts w:ascii="Times New Roman" w:eastAsia="Times New Roman" w:hAnsi="Times New Roman" w:cs="Times New Roman"/>
              </w:rPr>
              <w:t xml:space="preserve"> ). Metodinėje taryboje, metodinėse grupėse buvo diskutuojama dėl pamokų organizavimo nuotoliniu būdu, dėl medžiagos pateikimo, vertinimo. </w:t>
            </w:r>
            <w:r>
              <w:rPr>
                <w:rFonts w:ascii="Times New Roman" w:eastAsia="Calibri" w:hAnsi="Times New Roman" w:cs="Times New Roman"/>
              </w:rPr>
              <w:t>Diskusijų metu buvo parengtos metodinės rekomendacijos</w:t>
            </w:r>
            <w:r w:rsidRPr="0022211D">
              <w:rPr>
                <w:rFonts w:ascii="Times New Roman" w:eastAsia="Calibri" w:hAnsi="Times New Roman" w:cs="Times New Roman"/>
              </w:rPr>
              <w:t xml:space="preserve"> ugdymo metodų ir pamokų organizavimo. </w:t>
            </w:r>
            <w:r>
              <w:rPr>
                <w:rFonts w:ascii="Times New Roman" w:eastAsia="Calibri" w:hAnsi="Times New Roman" w:cs="Times New Roman"/>
              </w:rPr>
              <w:t>Buvo pristatyti m</w:t>
            </w:r>
            <w:r w:rsidRPr="0022211D">
              <w:rPr>
                <w:rFonts w:ascii="Times New Roman" w:eastAsia="Calibri" w:hAnsi="Times New Roman" w:cs="Times New Roman"/>
              </w:rPr>
              <w:t>okytojų ekspertų pranešimai mokytojų bendruomenei apie mokėjimo mokytis kompetencijos ugdymą pamokose.</w:t>
            </w:r>
            <w:r>
              <w:rPr>
                <w:rFonts w:ascii="Times New Roman" w:eastAsia="Times New Roman" w:hAnsi="Times New Roman" w:cs="Times New Roman"/>
              </w:rPr>
              <w:t xml:space="preserve"> Mokytojai patobulino</w:t>
            </w:r>
            <w:r w:rsidRPr="0022211D">
              <w:rPr>
                <w:rFonts w:ascii="Times New Roman" w:eastAsia="Times New Roman" w:hAnsi="Times New Roman" w:cs="Times New Roman"/>
              </w:rPr>
              <w:t xml:space="preserve"> žinias apie mokėjimo mokytis kompetencijos ugdymą. </w:t>
            </w:r>
          </w:p>
          <w:p w:rsidR="00876F91" w:rsidRPr="00FA1122" w:rsidRDefault="00876F91" w:rsidP="00222313">
            <w:pPr>
              <w:jc w:val="both"/>
              <w:rPr>
                <w:rFonts w:ascii="Times New Roman" w:eastAsia="Times New Roman" w:hAnsi="Times New Roman" w:cs="Times New Roman"/>
              </w:rPr>
            </w:pPr>
            <w:r>
              <w:rPr>
                <w:rFonts w:ascii="Times New Roman" w:eastAsia="Times New Roman" w:hAnsi="Times New Roman" w:cs="Times New Roman"/>
              </w:rPr>
              <w:t>Buvo a</w:t>
            </w:r>
            <w:r w:rsidRPr="0022211D">
              <w:rPr>
                <w:rFonts w:ascii="Times New Roman" w:eastAsia="Times New Roman" w:hAnsi="Times New Roman" w:cs="Times New Roman"/>
              </w:rPr>
              <w:t>tnaujintos viešosios erdvės gimnazijos terit</w:t>
            </w:r>
            <w:r>
              <w:rPr>
                <w:rFonts w:ascii="Times New Roman" w:eastAsia="Times New Roman" w:hAnsi="Times New Roman" w:cs="Times New Roman"/>
              </w:rPr>
              <w:t>orijoje, sutvarkyta „lauko klasė“, į</w:t>
            </w:r>
            <w:r w:rsidRPr="0022211D">
              <w:rPr>
                <w:rFonts w:ascii="Times New Roman" w:eastAsia="Times New Roman" w:hAnsi="Times New Roman" w:cs="Times New Roman"/>
              </w:rPr>
              <w:t xml:space="preserve">rengtos </w:t>
            </w:r>
            <w:r>
              <w:rPr>
                <w:rFonts w:ascii="Times New Roman" w:eastAsia="Times New Roman" w:hAnsi="Times New Roman" w:cs="Times New Roman"/>
              </w:rPr>
              <w:t xml:space="preserve">2 </w:t>
            </w:r>
            <w:r w:rsidRPr="0022211D">
              <w:rPr>
                <w:rFonts w:ascii="Times New Roman" w:eastAsia="Times New Roman" w:hAnsi="Times New Roman" w:cs="Times New Roman"/>
              </w:rPr>
              <w:t>viešosios erd</w:t>
            </w:r>
            <w:r>
              <w:rPr>
                <w:rFonts w:ascii="Times New Roman" w:eastAsia="Times New Roman" w:hAnsi="Times New Roman" w:cs="Times New Roman"/>
              </w:rPr>
              <w:t>vės pamokoms-diskusijoms lauke.</w:t>
            </w:r>
          </w:p>
          <w:p w:rsidR="00876F91" w:rsidRDefault="00876F91" w:rsidP="00222313">
            <w:pPr>
              <w:contextualSpacing/>
              <w:rPr>
                <w:rFonts w:ascii="Times New Roman" w:eastAsia="Calibri" w:hAnsi="Times New Roman" w:cs="Times New Roman"/>
              </w:rPr>
            </w:pPr>
            <w:r w:rsidRPr="00C3623A">
              <w:rPr>
                <w:rFonts w:ascii="Times New Roman" w:eastAsia="Calibri" w:hAnsi="Times New Roman" w:cs="Times New Roman"/>
              </w:rPr>
              <w:t xml:space="preserve">2.2. </w:t>
            </w:r>
            <w:r w:rsidRPr="006C3BC9">
              <w:rPr>
                <w:rFonts w:ascii="Times New Roman" w:eastAsia="Calibri" w:hAnsi="Times New Roman" w:cs="Times New Roman"/>
                <w:i/>
              </w:rPr>
              <w:t>Stiprinti bendruomeniškumą visuose gimnazijos lygmenyse.</w:t>
            </w:r>
          </w:p>
          <w:p w:rsidR="00876F91" w:rsidRDefault="00876F91" w:rsidP="00222313">
            <w:pPr>
              <w:rPr>
                <w:rFonts w:ascii="Times New Roman" w:eastAsia="Times New Roman" w:hAnsi="Times New Roman" w:cs="Times New Roman"/>
              </w:rPr>
            </w:pPr>
            <w:r>
              <w:rPr>
                <w:rFonts w:ascii="Times New Roman" w:eastAsia="Times New Roman" w:hAnsi="Times New Roman" w:cs="Times New Roman"/>
              </w:rPr>
              <w:t>Stiprinant bendruomeniškumą, buvo atliktas paauglių aplinkai draugiško elgesio skatinimo tyrimas, kuriame dalyvavo 85</w:t>
            </w:r>
            <w:r w:rsidRPr="00657B4A">
              <w:rPr>
                <w:rFonts w:ascii="Times New Roman" w:eastAsia="Times New Roman" w:hAnsi="Times New Roman" w:cs="Times New Roman"/>
              </w:rPr>
              <w:t>%</w:t>
            </w:r>
            <w:r>
              <w:rPr>
                <w:rFonts w:ascii="Times New Roman" w:eastAsia="Times New Roman" w:hAnsi="Times New Roman" w:cs="Times New Roman"/>
              </w:rPr>
              <w:t>I-II klasių mokinių. Priimti</w:t>
            </w:r>
            <w:r w:rsidRPr="0022211D">
              <w:rPr>
                <w:rFonts w:ascii="Times New Roman" w:eastAsia="Times New Roman" w:hAnsi="Times New Roman" w:cs="Times New Roman"/>
              </w:rPr>
              <w:t xml:space="preserve"> bendri susitarimai iškilusioms problemoms išspręsti. </w:t>
            </w:r>
            <w:r>
              <w:rPr>
                <w:rFonts w:ascii="Times New Roman" w:eastAsia="Times New Roman" w:hAnsi="Times New Roman" w:cs="Times New Roman"/>
              </w:rPr>
              <w:t>Vyko a</w:t>
            </w:r>
            <w:r w:rsidRPr="0022211D">
              <w:rPr>
                <w:rFonts w:ascii="Times New Roman" w:eastAsia="Times New Roman" w:hAnsi="Times New Roman" w:cs="Times New Roman"/>
              </w:rPr>
              <w:t>kcija ,,Pasidalinkime gerumu“ . Visos metodinės grupės</w:t>
            </w:r>
            <w:r>
              <w:rPr>
                <w:rFonts w:ascii="Times New Roman" w:eastAsia="Times New Roman" w:hAnsi="Times New Roman" w:cs="Times New Roman"/>
              </w:rPr>
              <w:t xml:space="preserve"> ir visos I -II klasės dalyvavo šioje</w:t>
            </w:r>
            <w:r w:rsidRPr="0022211D">
              <w:rPr>
                <w:rFonts w:ascii="Times New Roman" w:eastAsia="Times New Roman" w:hAnsi="Times New Roman" w:cs="Times New Roman"/>
              </w:rPr>
              <w:t xml:space="preserve"> akcijo</w:t>
            </w:r>
            <w:r>
              <w:rPr>
                <w:rFonts w:ascii="Times New Roman" w:eastAsia="Times New Roman" w:hAnsi="Times New Roman" w:cs="Times New Roman"/>
              </w:rPr>
              <w:t>je. Mokytojai ir tėvai stengėsi dalyvauti</w:t>
            </w:r>
            <w:r w:rsidRPr="0022211D">
              <w:rPr>
                <w:rFonts w:ascii="Times New Roman" w:eastAsia="Times New Roman" w:hAnsi="Times New Roman" w:cs="Times New Roman"/>
              </w:rPr>
              <w:t xml:space="preserve"> tradiciniuose gimnazijos renginiuose kaip komandos</w:t>
            </w:r>
            <w:r>
              <w:rPr>
                <w:rFonts w:ascii="Times New Roman" w:eastAsia="Times New Roman" w:hAnsi="Times New Roman" w:cs="Times New Roman"/>
              </w:rPr>
              <w:t>, pvz. Mokytojų dienos Regatoje, kituose renginiuose , pvz. kalėdinė pamoka, Šeimos savaitė, Mados diena, nebuvo galimybės dalyvauti dėl karantino. Planuotos v</w:t>
            </w:r>
            <w:r w:rsidRPr="0022211D">
              <w:rPr>
                <w:rFonts w:ascii="Times New Roman" w:eastAsia="Times New Roman" w:hAnsi="Times New Roman" w:cs="Times New Roman"/>
              </w:rPr>
              <w:t>ieną kartą savaitėje organizuojamos mokinių konsultacijos mokiniams</w:t>
            </w:r>
            <w:r>
              <w:rPr>
                <w:rFonts w:ascii="Times New Roman" w:eastAsia="Times New Roman" w:hAnsi="Times New Roman" w:cs="Times New Roman"/>
              </w:rPr>
              <w:t xml:space="preserve"> persikėlė į virtualią erdvę, kur mokiniai konsultuoja vieni kitus</w:t>
            </w:r>
            <w:r w:rsidRPr="0022211D">
              <w:rPr>
                <w:rFonts w:ascii="Times New Roman" w:eastAsia="Times New Roman" w:hAnsi="Times New Roman" w:cs="Times New Roman"/>
              </w:rPr>
              <w:t>.</w:t>
            </w:r>
            <w:r>
              <w:rPr>
                <w:rFonts w:ascii="Times New Roman" w:eastAsia="Times New Roman" w:hAnsi="Times New Roman" w:cs="Times New Roman"/>
              </w:rPr>
              <w:t xml:space="preserve"> Taip pat buvo į</w:t>
            </w:r>
            <w:r w:rsidRPr="0022211D">
              <w:rPr>
                <w:rFonts w:ascii="Times New Roman" w:eastAsia="Times New Roman" w:hAnsi="Times New Roman" w:cs="Times New Roman"/>
              </w:rPr>
              <w:t xml:space="preserve">kurtas Prienų „Žiburio“ gimnazijos </w:t>
            </w:r>
            <w:proofErr w:type="spellStart"/>
            <w:r w:rsidRPr="0022211D">
              <w:rPr>
                <w:rFonts w:ascii="Times New Roman" w:eastAsia="Times New Roman" w:hAnsi="Times New Roman" w:cs="Times New Roman"/>
              </w:rPr>
              <w:t>Alumni</w:t>
            </w:r>
            <w:proofErr w:type="spellEnd"/>
            <w:r w:rsidRPr="0022211D">
              <w:rPr>
                <w:rFonts w:ascii="Times New Roman" w:eastAsia="Times New Roman" w:hAnsi="Times New Roman" w:cs="Times New Roman"/>
              </w:rPr>
              <w:t xml:space="preserve"> klubas. Klubo ve</w:t>
            </w:r>
            <w:r>
              <w:rPr>
                <w:rFonts w:ascii="Times New Roman" w:eastAsia="Times New Roman" w:hAnsi="Times New Roman" w:cs="Times New Roman"/>
              </w:rPr>
              <w:t>ikloje dalyvauja 20</w:t>
            </w:r>
            <w:r w:rsidRPr="0022211D">
              <w:rPr>
                <w:rFonts w:ascii="Times New Roman" w:eastAsia="Times New Roman" w:hAnsi="Times New Roman" w:cs="Times New Roman"/>
              </w:rPr>
              <w:t xml:space="preserve"> narių.</w:t>
            </w:r>
            <w:r>
              <w:rPr>
                <w:rFonts w:ascii="Times New Roman" w:eastAsia="Times New Roman" w:hAnsi="Times New Roman" w:cs="Times New Roman"/>
              </w:rPr>
              <w:t xml:space="preserve"> Tačiau susitikimų suorganizuoti nepavyko dėl karantino. </w:t>
            </w:r>
          </w:p>
          <w:p w:rsidR="00876F91" w:rsidRPr="00FA1122" w:rsidRDefault="00876F91" w:rsidP="00222313">
            <w:pPr>
              <w:rPr>
                <w:rFonts w:ascii="Times New Roman" w:eastAsia="Times New Roman" w:hAnsi="Times New Roman" w:cs="Times New Roman"/>
              </w:rPr>
            </w:pPr>
            <w:r>
              <w:rPr>
                <w:rFonts w:ascii="Times New Roman" w:eastAsia="Times New Roman" w:hAnsi="Times New Roman" w:cs="Times New Roman"/>
              </w:rPr>
              <w:t xml:space="preserve">Prienų „Žiburio“ gimnazija yra MEPA narė, t.y. mokykla Europos Parlamento ambasadorė, gimnazijos mokiniai dalyvauja MEPA veiklose, supažindina bendruomenės narius su ES funkcionavimu, teisės aktais ir kt. </w:t>
            </w:r>
          </w:p>
        </w:tc>
      </w:tr>
    </w:tbl>
    <w:p w:rsidR="00773836" w:rsidRDefault="00773836">
      <w:bookmarkStart w:id="0" w:name="_GoBack"/>
      <w:bookmarkEnd w:id="0"/>
    </w:p>
    <w:p w:rsidR="00657B4A" w:rsidRPr="00657B4A" w:rsidRDefault="00657B4A" w:rsidP="00657B4A">
      <w:pPr>
        <w:jc w:val="center"/>
        <w:rPr>
          <w:rFonts w:ascii="Times New Roman" w:hAnsi="Times New Roman" w:cs="Times New Roman"/>
        </w:rPr>
      </w:pPr>
      <w:r>
        <w:rPr>
          <w:rFonts w:ascii="Times New Roman" w:hAnsi="Times New Roman" w:cs="Times New Roman"/>
        </w:rPr>
        <w:t>______________________________</w:t>
      </w:r>
    </w:p>
    <w:p w:rsidR="00657B4A" w:rsidRDefault="00657B4A" w:rsidP="00657B4A">
      <w:pPr>
        <w:jc w:val="center"/>
      </w:pPr>
    </w:p>
    <w:sectPr w:rsidR="00657B4A" w:rsidSect="00657B4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0A2" w:rsidRDefault="001840A2" w:rsidP="00657B4A">
      <w:pPr>
        <w:spacing w:after="0" w:line="240" w:lineRule="auto"/>
      </w:pPr>
      <w:r>
        <w:separator/>
      </w:r>
    </w:p>
  </w:endnote>
  <w:endnote w:type="continuationSeparator" w:id="0">
    <w:p w:rsidR="001840A2" w:rsidRDefault="001840A2" w:rsidP="00657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Default="00657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Default="00657B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Default="00657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0A2" w:rsidRDefault="001840A2" w:rsidP="00657B4A">
      <w:pPr>
        <w:spacing w:after="0" w:line="240" w:lineRule="auto"/>
      </w:pPr>
      <w:r>
        <w:separator/>
      </w:r>
    </w:p>
  </w:footnote>
  <w:footnote w:type="continuationSeparator" w:id="0">
    <w:p w:rsidR="001840A2" w:rsidRDefault="001840A2" w:rsidP="00657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Default="00657B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Default="00657B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4A" w:rsidRPr="00657B4A" w:rsidRDefault="00657B4A" w:rsidP="00657B4A">
    <w:pPr>
      <w:pStyle w:val="Header"/>
      <w:tabs>
        <w:tab w:val="left" w:pos="7088"/>
      </w:tabs>
      <w:ind w:firstLine="6237"/>
      <w:rPr>
        <w:rFonts w:ascii="Times New Roman" w:hAnsi="Times New Roman" w:cs="Times New Roman"/>
        <w:sz w:val="24"/>
        <w:szCs w:val="24"/>
      </w:rPr>
    </w:pPr>
    <w:r w:rsidRPr="00657B4A">
      <w:rPr>
        <w:rFonts w:ascii="Times New Roman" w:hAnsi="Times New Roman" w:cs="Times New Roman"/>
        <w:sz w:val="24"/>
        <w:szCs w:val="24"/>
      </w:rPr>
      <w:t xml:space="preserve">PRITARTA </w:t>
    </w:r>
  </w:p>
  <w:p w:rsidR="00657B4A" w:rsidRPr="00657B4A" w:rsidRDefault="00657B4A" w:rsidP="00657B4A">
    <w:pPr>
      <w:pStyle w:val="Header"/>
      <w:tabs>
        <w:tab w:val="left" w:pos="7088"/>
      </w:tabs>
      <w:ind w:firstLine="6237"/>
      <w:rPr>
        <w:rFonts w:ascii="Times New Roman" w:hAnsi="Times New Roman" w:cs="Times New Roman"/>
        <w:sz w:val="24"/>
        <w:szCs w:val="24"/>
      </w:rPr>
    </w:pPr>
    <w:r w:rsidRPr="00657B4A">
      <w:rPr>
        <w:rFonts w:ascii="Times New Roman" w:hAnsi="Times New Roman" w:cs="Times New Roman"/>
        <w:sz w:val="24"/>
        <w:szCs w:val="24"/>
      </w:rPr>
      <w:t>Prienų rajono savivaldybės tarybos</w:t>
    </w:r>
  </w:p>
  <w:p w:rsidR="00657B4A" w:rsidRPr="00657B4A" w:rsidRDefault="00657B4A" w:rsidP="00657B4A">
    <w:pPr>
      <w:pStyle w:val="Header"/>
      <w:tabs>
        <w:tab w:val="left" w:pos="7088"/>
      </w:tabs>
      <w:ind w:firstLine="6237"/>
      <w:rPr>
        <w:rFonts w:ascii="Times New Roman" w:hAnsi="Times New Roman" w:cs="Times New Roman"/>
        <w:sz w:val="24"/>
        <w:szCs w:val="24"/>
      </w:rPr>
    </w:pPr>
    <w:r w:rsidRPr="00657B4A">
      <w:rPr>
        <w:rFonts w:ascii="Times New Roman" w:hAnsi="Times New Roman" w:cs="Times New Roman"/>
        <w:sz w:val="24"/>
        <w:szCs w:val="24"/>
      </w:rPr>
      <w:t>2021 m. kovo 25 d.</w:t>
    </w:r>
  </w:p>
  <w:p w:rsidR="00657B4A" w:rsidRPr="00657B4A" w:rsidRDefault="00657B4A" w:rsidP="00657B4A">
    <w:pPr>
      <w:pStyle w:val="Header"/>
      <w:ind w:firstLine="6237"/>
      <w:rPr>
        <w:rFonts w:ascii="Times New Roman" w:hAnsi="Times New Roman" w:cs="Times New Roman"/>
        <w:sz w:val="24"/>
        <w:szCs w:val="24"/>
      </w:rPr>
    </w:pPr>
    <w:r w:rsidRPr="00657B4A">
      <w:rPr>
        <w:rFonts w:ascii="Times New Roman" w:hAnsi="Times New Roman" w:cs="Times New Roman"/>
        <w:sz w:val="24"/>
        <w:szCs w:val="24"/>
      </w:rPr>
      <w:t>sprendimu Nr. T3-5</w:t>
    </w:r>
    <w:r>
      <w:rPr>
        <w:rFonts w:ascii="Times New Roman" w:hAnsi="Times New Roman" w:cs="Times New Roman"/>
        <w:sz w:val="24"/>
        <w:szCs w:val="24"/>
      </w:rPr>
      <w:t>9</w:t>
    </w:r>
    <w:r w:rsidRPr="00657B4A">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876F91"/>
    <w:rsid w:val="001840A2"/>
    <w:rsid w:val="005F173A"/>
    <w:rsid w:val="006205D9"/>
    <w:rsid w:val="00657B4A"/>
    <w:rsid w:val="00773836"/>
    <w:rsid w:val="00876F91"/>
    <w:rsid w:val="008E390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876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6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6F91"/>
    <w:rPr>
      <w:color w:val="0000FF"/>
      <w:u w:val="single"/>
    </w:rPr>
  </w:style>
  <w:style w:type="paragraph" w:styleId="Header">
    <w:name w:val="header"/>
    <w:basedOn w:val="Normal"/>
    <w:link w:val="HeaderChar"/>
    <w:uiPriority w:val="99"/>
    <w:unhideWhenUsed/>
    <w:rsid w:val="00657B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7B4A"/>
  </w:style>
  <w:style w:type="paragraph" w:styleId="Footer">
    <w:name w:val="footer"/>
    <w:basedOn w:val="Normal"/>
    <w:link w:val="FooterChar"/>
    <w:uiPriority w:val="99"/>
    <w:semiHidden/>
    <w:unhideWhenUsed/>
    <w:rsid w:val="00657B4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57B4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iburys.prienai.lm.lt/?s=tinklalaid%C4%9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7942</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Kačinauskienė</dc:creator>
  <cp:lastModifiedBy>User</cp:lastModifiedBy>
  <cp:revision>3</cp:revision>
  <dcterms:created xsi:type="dcterms:W3CDTF">2021-03-22T13:32:00Z</dcterms:created>
  <dcterms:modified xsi:type="dcterms:W3CDTF">2021-03-26T09:29:00Z</dcterms:modified>
</cp:coreProperties>
</file>