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6"/>
        <w:gridCol w:w="6"/>
        <w:gridCol w:w="9055"/>
        <w:gridCol w:w="13"/>
      </w:tblGrid>
      <w:tr w:rsidR="00FA1783" w:rsidTr="00FA1783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091"/>
              <w:gridCol w:w="3978"/>
            </w:tblGrid>
            <w:tr w:rsidR="00FA1783" w:rsidTr="00FA178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Pr="00FA1783" w:rsidRDefault="00DF3A3D">
                  <w:pPr>
                    <w:rPr>
                      <w:sz w:val="24"/>
                      <w:szCs w:val="24"/>
                    </w:rPr>
                  </w:pPr>
                  <w:r w:rsidRPr="00FA1783">
                    <w:rPr>
                      <w:color w:val="000000"/>
                      <w:sz w:val="24"/>
                      <w:szCs w:val="24"/>
                    </w:rPr>
                    <w:t>PATVIRTINTA</w:t>
                  </w:r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Pr="00FA1783" w:rsidRDefault="00DF3A3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A1783">
                    <w:rPr>
                      <w:color w:val="000000"/>
                      <w:sz w:val="24"/>
                      <w:szCs w:val="24"/>
                    </w:rPr>
                    <w:t>Prienų</w:t>
                  </w:r>
                  <w:proofErr w:type="spellEnd"/>
                  <w:r w:rsidRPr="00FA178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A1783">
                    <w:rPr>
                      <w:color w:val="000000"/>
                      <w:sz w:val="24"/>
                      <w:szCs w:val="24"/>
                    </w:rPr>
                    <w:t>rajono</w:t>
                  </w:r>
                  <w:proofErr w:type="spellEnd"/>
                  <w:r w:rsidRPr="00FA178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A1783">
                    <w:rPr>
                      <w:color w:val="000000"/>
                      <w:sz w:val="24"/>
                      <w:szCs w:val="24"/>
                    </w:rPr>
                    <w:t>savivaldybės</w:t>
                  </w:r>
                  <w:proofErr w:type="spellEnd"/>
                  <w:r w:rsidRPr="00FA178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A1783">
                    <w:rPr>
                      <w:color w:val="000000"/>
                      <w:sz w:val="24"/>
                      <w:szCs w:val="24"/>
                    </w:rPr>
                    <w:t>administracijos</w:t>
                  </w:r>
                  <w:proofErr w:type="spellEnd"/>
                  <w:r w:rsidR="00FA1783" w:rsidRPr="00FA178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A1783" w:rsidRPr="00FA1783">
                    <w:rPr>
                      <w:color w:val="000000"/>
                      <w:sz w:val="24"/>
                      <w:szCs w:val="24"/>
                    </w:rPr>
                    <w:t>direktoriaus</w:t>
                  </w:r>
                  <w:proofErr w:type="spellEnd"/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Pr="00FA1783" w:rsidRDefault="00FA1783">
                  <w:pPr>
                    <w:rPr>
                      <w:sz w:val="24"/>
                      <w:szCs w:val="24"/>
                    </w:rPr>
                  </w:pPr>
                  <w:r w:rsidRPr="00FA1783">
                    <w:rPr>
                      <w:sz w:val="24"/>
                      <w:szCs w:val="24"/>
                    </w:rPr>
                    <w:t xml:space="preserve">2021 m. </w:t>
                  </w:r>
                  <w:proofErr w:type="spellStart"/>
                  <w:r w:rsidRPr="00FA1783">
                    <w:rPr>
                      <w:sz w:val="24"/>
                      <w:szCs w:val="24"/>
                    </w:rPr>
                    <w:t>gegužės</w:t>
                  </w:r>
                  <w:proofErr w:type="spellEnd"/>
                  <w:r w:rsidRPr="00FA1783">
                    <w:rPr>
                      <w:sz w:val="24"/>
                      <w:szCs w:val="24"/>
                    </w:rPr>
                    <w:t xml:space="preserve">        d.</w:t>
                  </w:r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Pr="00FA1783" w:rsidRDefault="00FA178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A1783">
                    <w:rPr>
                      <w:color w:val="000000"/>
                      <w:sz w:val="24"/>
                      <w:szCs w:val="24"/>
                    </w:rPr>
                    <w:t>įsakymu</w:t>
                  </w:r>
                  <w:proofErr w:type="spellEnd"/>
                  <w:r w:rsidRPr="00FA1783">
                    <w:rPr>
                      <w:color w:val="000000"/>
                      <w:sz w:val="24"/>
                      <w:szCs w:val="24"/>
                    </w:rPr>
                    <w:t xml:space="preserve"> Nr.</w:t>
                  </w:r>
                  <w:r w:rsidR="00DF3A3D" w:rsidRPr="00FA178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Pr="00FA1783" w:rsidRDefault="002A143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PRIENŲ RAJONO SAVIVALDYBĖS ADMINISTRACIJOS</w:t>
                  </w:r>
                </w:p>
              </w:tc>
            </w:tr>
            <w:tr w:rsidR="00FA1783" w:rsidTr="00FA178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783" w:rsidRDefault="00FA1783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ŽEMĖS ŪKIO SKYRIAU</w:t>
                  </w:r>
                  <w:r w:rsidR="00DF3A3D">
                    <w:rPr>
                      <w:b/>
                      <w:color w:val="000000"/>
                      <w:sz w:val="24"/>
                    </w:rPr>
                    <w:t>S</w:t>
                  </w:r>
                  <w:r>
                    <w:rPr>
                      <w:b/>
                      <w:color w:val="000000"/>
                      <w:sz w:val="24"/>
                    </w:rPr>
                    <w:t xml:space="preserve"> VYRIAUSIOJO SPECIALISTO </w:t>
                  </w:r>
                </w:p>
                <w:p w:rsidR="002A1430" w:rsidRDefault="00FA17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2A1430" w:rsidRDefault="002A1430"/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2A1430">
        <w:trPr>
          <w:trHeight w:val="349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A1430" w:rsidRDefault="002A1430"/>
        </w:tc>
      </w:tr>
      <w:tr w:rsidR="002A1430">
        <w:trPr>
          <w:trHeight w:val="120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2A143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70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2A1430" w:rsidRDefault="002A1430"/>
              </w:tc>
            </w:tr>
          </w:tbl>
          <w:p w:rsidR="002A1430" w:rsidRDefault="002A1430"/>
        </w:tc>
      </w:tr>
      <w:tr w:rsidR="002A1430">
        <w:trPr>
          <w:trHeight w:val="126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2A143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70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Melioracijos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darbų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2A1430" w:rsidRDefault="002A1430"/>
              </w:tc>
            </w:tr>
          </w:tbl>
          <w:p w:rsidR="002A1430" w:rsidRDefault="002A1430"/>
        </w:tc>
      </w:tr>
      <w:tr w:rsidR="002A1430">
        <w:trPr>
          <w:trHeight w:val="100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2A1430" w:rsidRDefault="002A1430"/>
        </w:tc>
      </w:tr>
      <w:tr w:rsidR="002A1430">
        <w:trPr>
          <w:trHeight w:val="39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A1430" w:rsidRDefault="002A1430" w:rsidP="00FA1783">
            <w:pPr>
              <w:jc w:val="both"/>
            </w:pPr>
          </w:p>
        </w:tc>
      </w:tr>
      <w:tr w:rsidR="002A1430">
        <w:trPr>
          <w:trHeight w:val="20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9055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darbuotojų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dirbančių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melioraciją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pavyzdiniuose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žemės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2006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 3D-44.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tyrimą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protokolus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nuobaudas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vadovaudamasis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sudarytų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įvykdytų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melioracijos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archyvinę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melioracijos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melioracijos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kadastrą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skaitmeninę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melioracijos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MelGis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A1430" w:rsidRDefault="002A1430" w:rsidP="00FA1783">
            <w:pPr>
              <w:jc w:val="both"/>
            </w:pPr>
          </w:p>
        </w:tc>
      </w:tr>
      <w:tr w:rsidR="002A1430">
        <w:trPr>
          <w:trHeight w:val="20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9055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2A1430" w:rsidRDefault="002A1430" w:rsidP="00FA1783">
            <w:pPr>
              <w:pStyle w:val="EmptyLayoutCell"/>
              <w:jc w:val="both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 w:rsidP="00FA1783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2A1430" w:rsidRDefault="002A1430" w:rsidP="00FA1783">
            <w:pPr>
              <w:jc w:val="both"/>
            </w:pPr>
          </w:p>
        </w:tc>
      </w:tr>
      <w:tr w:rsidR="002A1430">
        <w:trPr>
          <w:trHeight w:val="139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68"/>
            </w:tblGrid>
            <w:tr w:rsidR="002A143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2A1430">
              <w:trPr>
                <w:trHeight w:val="136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68"/>
                  </w:tblGrid>
                  <w:tr w:rsidR="002A1430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068"/>
                        </w:tblGrid>
                        <w:tr w:rsidR="002A143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1430" w:rsidRDefault="00DF3A3D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2A143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1430" w:rsidRDefault="00DF3A3D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 w:rsidR="00FA1783">
                                <w:rPr>
                                  <w:color w:val="000000"/>
                                  <w:sz w:val="24"/>
                                </w:rPr>
                                <w:t>statybos</w:t>
                              </w:r>
                              <w:proofErr w:type="spellEnd"/>
                              <w:r w:rsidR="00FA1783"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FA1783"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2A143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1430" w:rsidRDefault="00DF3A3D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hidrotechnikos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melioracijos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2A143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1430" w:rsidRDefault="00DF3A3D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19.4.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mažiau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2A1430" w:rsidRDefault="002A1430"/>
                    </w:tc>
                  </w:tr>
                </w:tbl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Transporto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pažymėjimai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2A143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68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turėti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vairuotojo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pažymėjimą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(B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kategorija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).</w:t>
                        </w:r>
                      </w:p>
                    </w:tc>
                  </w:tr>
                </w:tbl>
                <w:p w:rsidR="002A1430" w:rsidRDefault="002A1430"/>
              </w:tc>
            </w:tr>
          </w:tbl>
          <w:p w:rsidR="002A1430" w:rsidRDefault="002A1430"/>
        </w:tc>
      </w:tr>
      <w:tr w:rsidR="002A1430">
        <w:trPr>
          <w:trHeight w:val="62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68"/>
            </w:tblGrid>
            <w:tr w:rsidR="002A143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:rsidR="002A1430" w:rsidRDefault="00DF3A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2A1430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68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21.3.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21.4.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21.5.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2A143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68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2A143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68"/>
                  </w:tblGrid>
                  <w:tr w:rsidR="002A143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1430" w:rsidRDefault="00DF3A3D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2A1430" w:rsidRDefault="002A1430"/>
              </w:tc>
            </w:tr>
          </w:tbl>
          <w:p w:rsidR="002A1430" w:rsidRDefault="002A1430"/>
        </w:tc>
      </w:tr>
      <w:tr w:rsidR="002A1430">
        <w:trPr>
          <w:trHeight w:val="517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  <w:tr w:rsidR="00FA1783" w:rsidTr="00FA1783"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400"/>
              <w:gridCol w:w="5668"/>
            </w:tblGrid>
            <w:tr w:rsidR="002A143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DF3A3D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  <w:tr w:rsidR="002A143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1430" w:rsidRDefault="002A1430"/>
              </w:tc>
            </w:tr>
          </w:tbl>
          <w:p w:rsidR="002A1430" w:rsidRDefault="002A1430"/>
        </w:tc>
      </w:tr>
      <w:tr w:rsidR="002A1430">
        <w:trPr>
          <w:trHeight w:val="41"/>
        </w:trPr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9055" w:type="dxa"/>
          </w:tcPr>
          <w:p w:rsidR="002A1430" w:rsidRDefault="002A1430">
            <w:pPr>
              <w:pStyle w:val="EmptyLayoutCell"/>
            </w:pPr>
          </w:p>
        </w:tc>
        <w:tc>
          <w:tcPr>
            <w:tcW w:w="13" w:type="dxa"/>
          </w:tcPr>
          <w:p w:rsidR="002A1430" w:rsidRDefault="002A1430">
            <w:pPr>
              <w:pStyle w:val="EmptyLayoutCell"/>
            </w:pPr>
          </w:p>
        </w:tc>
      </w:tr>
    </w:tbl>
    <w:p w:rsidR="00DF3A3D" w:rsidRDefault="00DF3A3D"/>
    <w:sectPr w:rsidR="00DF3A3D" w:rsidSect="00FA1783">
      <w:headerReference w:type="default" r:id="rId6"/>
      <w:pgSz w:w="11905" w:h="16837"/>
      <w:pgMar w:top="1133" w:right="566" w:bottom="567" w:left="1700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FE" w:rsidRDefault="00AB6CFE" w:rsidP="00FA1783">
      <w:r>
        <w:separator/>
      </w:r>
    </w:p>
  </w:endnote>
  <w:endnote w:type="continuationSeparator" w:id="0">
    <w:p w:rsidR="00AB6CFE" w:rsidRDefault="00AB6CFE" w:rsidP="00FA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FE" w:rsidRDefault="00AB6CFE" w:rsidP="00FA1783">
      <w:r>
        <w:separator/>
      </w:r>
    </w:p>
  </w:footnote>
  <w:footnote w:type="continuationSeparator" w:id="0">
    <w:p w:rsidR="00AB6CFE" w:rsidRDefault="00AB6CFE" w:rsidP="00FA1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783" w:rsidRDefault="00FA1783">
    <w:pPr>
      <w:pStyle w:val="Header"/>
      <w:jc w:val="center"/>
    </w:pPr>
  </w:p>
  <w:p w:rsidR="00FA1783" w:rsidRDefault="00FA1783">
    <w:pPr>
      <w:pStyle w:val="Header"/>
      <w:jc w:val="center"/>
    </w:pPr>
  </w:p>
  <w:p w:rsidR="00FA1783" w:rsidRDefault="002A1430">
    <w:pPr>
      <w:pStyle w:val="Header"/>
      <w:jc w:val="center"/>
    </w:pPr>
    <w:fldSimple w:instr=" PAGE   \* MERGEFORMAT ">
      <w:r w:rsidR="008F3DE4">
        <w:rPr>
          <w:noProof/>
        </w:rPr>
        <w:t>2</w:t>
      </w:r>
    </w:fldSimple>
  </w:p>
  <w:p w:rsidR="00FA1783" w:rsidRDefault="00FA17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783"/>
    <w:rsid w:val="002A1430"/>
    <w:rsid w:val="008F3DE4"/>
    <w:rsid w:val="00AB6CFE"/>
    <w:rsid w:val="00DF3A3D"/>
    <w:rsid w:val="00FA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3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783"/>
    <w:pPr>
      <w:tabs>
        <w:tab w:val="center" w:pos="4819"/>
        <w:tab w:val="right" w:pos="9638"/>
      </w:tabs>
    </w:pPr>
  </w:style>
  <w:style w:type="paragraph" w:customStyle="1" w:styleId="EmptyLayoutCell">
    <w:name w:val="EmptyLayoutCell"/>
    <w:basedOn w:val="Normal"/>
    <w:rsid w:val="002A1430"/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FA17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17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7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2544</Words>
  <Characters>1451</Characters>
  <Application>Microsoft Office Word</Application>
  <DocSecurity>0</DocSecurity>
  <Lines>12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User</dc:creator>
  <cp:lastModifiedBy>DaivaB</cp:lastModifiedBy>
  <cp:revision>2</cp:revision>
  <dcterms:created xsi:type="dcterms:W3CDTF">2021-05-19T07:39:00Z</dcterms:created>
  <dcterms:modified xsi:type="dcterms:W3CDTF">2021-05-19T07:39:00Z</dcterms:modified>
</cp:coreProperties>
</file>