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4FB" w:rsidRPr="00334103" w:rsidRDefault="002604FB" w:rsidP="002604FB">
      <w:pPr>
        <w:tabs>
          <w:tab w:val="left" w:pos="14656"/>
        </w:tabs>
        <w:jc w:val="center"/>
        <w:rPr>
          <w:b/>
          <w:sz w:val="22"/>
          <w:szCs w:val="22"/>
          <w:lang w:eastAsia="lt-LT"/>
        </w:rPr>
      </w:pPr>
      <w:r w:rsidRPr="00334103">
        <w:rPr>
          <w:b/>
          <w:sz w:val="22"/>
          <w:szCs w:val="22"/>
          <w:lang w:eastAsia="lt-LT"/>
        </w:rPr>
        <w:t>Prienų r. Stakliškių gimnazijos</w:t>
      </w:r>
    </w:p>
    <w:p w:rsidR="002604FB" w:rsidRPr="00334103" w:rsidRDefault="002604FB" w:rsidP="002604FB">
      <w:pPr>
        <w:tabs>
          <w:tab w:val="left" w:pos="14656"/>
        </w:tabs>
        <w:jc w:val="center"/>
        <w:rPr>
          <w:sz w:val="22"/>
          <w:szCs w:val="22"/>
          <w:lang w:eastAsia="lt-LT"/>
        </w:rPr>
      </w:pPr>
      <w:r w:rsidRPr="00334103">
        <w:rPr>
          <w:sz w:val="22"/>
          <w:szCs w:val="22"/>
          <w:lang w:eastAsia="lt-LT"/>
        </w:rPr>
        <w:t>(švietimo įstaigos pavadinimas)</w:t>
      </w:r>
    </w:p>
    <w:p w:rsidR="002604FB" w:rsidRPr="00334103" w:rsidRDefault="002604FB" w:rsidP="002604FB">
      <w:pPr>
        <w:tabs>
          <w:tab w:val="left" w:pos="14656"/>
        </w:tabs>
        <w:jc w:val="center"/>
        <w:rPr>
          <w:b/>
          <w:sz w:val="22"/>
          <w:szCs w:val="22"/>
          <w:lang w:eastAsia="lt-LT"/>
        </w:rPr>
      </w:pPr>
      <w:r w:rsidRPr="00334103">
        <w:rPr>
          <w:b/>
          <w:sz w:val="22"/>
          <w:szCs w:val="22"/>
          <w:lang w:eastAsia="lt-LT"/>
        </w:rPr>
        <w:t>Vyganto Kornejevo</w:t>
      </w:r>
    </w:p>
    <w:p w:rsidR="002604FB" w:rsidRPr="00334103" w:rsidRDefault="002604FB" w:rsidP="002604FB">
      <w:pPr>
        <w:jc w:val="center"/>
        <w:rPr>
          <w:sz w:val="22"/>
          <w:szCs w:val="22"/>
          <w:lang w:eastAsia="lt-LT"/>
        </w:rPr>
      </w:pPr>
      <w:r w:rsidRPr="00334103">
        <w:rPr>
          <w:sz w:val="22"/>
          <w:szCs w:val="22"/>
          <w:lang w:eastAsia="lt-LT"/>
        </w:rPr>
        <w:t>(švietimo įstaigos vadovo vardas ir pavardė)</w:t>
      </w:r>
    </w:p>
    <w:p w:rsidR="002604FB" w:rsidRPr="00334103" w:rsidRDefault="002604FB" w:rsidP="002604FB">
      <w:pPr>
        <w:jc w:val="center"/>
        <w:rPr>
          <w:b/>
          <w:sz w:val="22"/>
          <w:szCs w:val="22"/>
          <w:lang w:eastAsia="lt-LT"/>
        </w:rPr>
      </w:pPr>
      <w:r w:rsidRPr="00334103">
        <w:rPr>
          <w:b/>
          <w:sz w:val="22"/>
          <w:szCs w:val="22"/>
          <w:lang w:eastAsia="lt-LT"/>
        </w:rPr>
        <w:t>METŲ VEIKLOS ATASKAITA</w:t>
      </w:r>
    </w:p>
    <w:p w:rsidR="002604FB" w:rsidRPr="00334103" w:rsidRDefault="002604FB" w:rsidP="002604FB">
      <w:pPr>
        <w:jc w:val="center"/>
        <w:rPr>
          <w:sz w:val="22"/>
          <w:szCs w:val="22"/>
          <w:lang w:eastAsia="lt-LT"/>
        </w:rPr>
      </w:pPr>
    </w:p>
    <w:p w:rsidR="002604FB" w:rsidRPr="00334103" w:rsidRDefault="002604FB" w:rsidP="002604FB">
      <w:pPr>
        <w:jc w:val="center"/>
        <w:rPr>
          <w:sz w:val="22"/>
          <w:szCs w:val="22"/>
          <w:lang w:eastAsia="lt-LT"/>
        </w:rPr>
      </w:pPr>
      <w:r w:rsidRPr="00334103">
        <w:rPr>
          <w:sz w:val="22"/>
          <w:szCs w:val="22"/>
          <w:lang w:eastAsia="lt-LT"/>
        </w:rPr>
        <w:t>202</w:t>
      </w:r>
      <w:r w:rsidR="001B34D5" w:rsidRPr="00334103">
        <w:rPr>
          <w:sz w:val="22"/>
          <w:szCs w:val="22"/>
          <w:lang w:eastAsia="lt-LT"/>
        </w:rPr>
        <w:t>2</w:t>
      </w:r>
      <w:r w:rsidRPr="00334103">
        <w:rPr>
          <w:sz w:val="22"/>
          <w:szCs w:val="22"/>
          <w:lang w:eastAsia="lt-LT"/>
        </w:rPr>
        <w:t>-01-1</w:t>
      </w:r>
      <w:r w:rsidR="001B34D5" w:rsidRPr="00334103">
        <w:rPr>
          <w:sz w:val="22"/>
          <w:szCs w:val="22"/>
          <w:lang w:eastAsia="lt-LT"/>
        </w:rPr>
        <w:t>4</w:t>
      </w:r>
    </w:p>
    <w:p w:rsidR="002604FB" w:rsidRPr="00334103" w:rsidRDefault="002604FB" w:rsidP="002604FB">
      <w:pPr>
        <w:jc w:val="center"/>
        <w:rPr>
          <w:sz w:val="22"/>
          <w:szCs w:val="22"/>
          <w:lang w:eastAsia="lt-LT"/>
        </w:rPr>
      </w:pPr>
      <w:r w:rsidRPr="00334103">
        <w:rPr>
          <w:sz w:val="22"/>
          <w:szCs w:val="22"/>
          <w:lang w:eastAsia="lt-LT"/>
        </w:rPr>
        <w:t>(data)</w:t>
      </w:r>
    </w:p>
    <w:p w:rsidR="002604FB" w:rsidRPr="00334103" w:rsidRDefault="002604FB" w:rsidP="002604FB">
      <w:pPr>
        <w:tabs>
          <w:tab w:val="left" w:pos="3828"/>
        </w:tabs>
        <w:jc w:val="center"/>
        <w:rPr>
          <w:sz w:val="22"/>
          <w:szCs w:val="22"/>
          <w:lang w:eastAsia="lt-LT"/>
        </w:rPr>
      </w:pPr>
      <w:r w:rsidRPr="00334103">
        <w:rPr>
          <w:sz w:val="22"/>
          <w:szCs w:val="22"/>
          <w:lang w:eastAsia="lt-LT"/>
        </w:rPr>
        <w:t>S</w:t>
      </w:r>
      <w:r w:rsidR="0015213F" w:rsidRPr="00334103">
        <w:rPr>
          <w:sz w:val="22"/>
          <w:szCs w:val="22"/>
          <w:lang w:eastAsia="lt-LT"/>
        </w:rPr>
        <w:t>tak</w:t>
      </w:r>
      <w:r w:rsidRPr="00334103">
        <w:rPr>
          <w:sz w:val="22"/>
          <w:szCs w:val="22"/>
          <w:lang w:eastAsia="lt-LT"/>
        </w:rPr>
        <w:t>liškės</w:t>
      </w:r>
    </w:p>
    <w:p w:rsidR="002604FB" w:rsidRPr="00334103" w:rsidRDefault="002604FB" w:rsidP="002604FB">
      <w:pPr>
        <w:tabs>
          <w:tab w:val="left" w:pos="3828"/>
        </w:tabs>
        <w:jc w:val="center"/>
        <w:rPr>
          <w:sz w:val="22"/>
          <w:szCs w:val="22"/>
          <w:lang w:eastAsia="lt-LT"/>
        </w:rPr>
      </w:pPr>
      <w:r w:rsidRPr="00334103">
        <w:rPr>
          <w:sz w:val="22"/>
          <w:szCs w:val="22"/>
          <w:lang w:eastAsia="lt-LT"/>
        </w:rPr>
        <w:t>(sudarymo vieta)</w:t>
      </w:r>
    </w:p>
    <w:p w:rsidR="002604FB" w:rsidRPr="00334103" w:rsidRDefault="002604FB" w:rsidP="002604FB">
      <w:pPr>
        <w:jc w:val="center"/>
        <w:rPr>
          <w:sz w:val="22"/>
          <w:szCs w:val="22"/>
          <w:lang w:eastAsia="lt-LT"/>
        </w:rPr>
      </w:pPr>
    </w:p>
    <w:p w:rsidR="002604FB" w:rsidRPr="00334103" w:rsidRDefault="002604FB" w:rsidP="002604FB">
      <w:pPr>
        <w:jc w:val="center"/>
        <w:rPr>
          <w:b/>
          <w:sz w:val="22"/>
          <w:szCs w:val="22"/>
          <w:lang w:eastAsia="lt-LT"/>
        </w:rPr>
      </w:pPr>
      <w:r w:rsidRPr="00334103">
        <w:rPr>
          <w:b/>
          <w:sz w:val="22"/>
          <w:szCs w:val="22"/>
          <w:lang w:eastAsia="lt-LT"/>
        </w:rPr>
        <w:t>I SKYRIUS</w:t>
      </w:r>
    </w:p>
    <w:p w:rsidR="002604FB" w:rsidRPr="00334103" w:rsidRDefault="002604FB" w:rsidP="002604FB">
      <w:pPr>
        <w:jc w:val="center"/>
        <w:rPr>
          <w:b/>
          <w:sz w:val="22"/>
          <w:szCs w:val="22"/>
          <w:lang w:eastAsia="lt-LT"/>
        </w:rPr>
      </w:pPr>
      <w:r w:rsidRPr="00334103">
        <w:rPr>
          <w:b/>
          <w:sz w:val="22"/>
          <w:szCs w:val="22"/>
          <w:lang w:eastAsia="lt-LT"/>
        </w:rPr>
        <w:t>STRATEGINIO PLANO IR METINIO VEIKLOS PLANO ĮGYVENDINIMAS</w:t>
      </w:r>
    </w:p>
    <w:p w:rsidR="002604FB" w:rsidRPr="00334103" w:rsidRDefault="002604FB" w:rsidP="002604FB">
      <w:pPr>
        <w:jc w:val="center"/>
        <w:rPr>
          <w:b/>
          <w:sz w:val="22"/>
          <w:szCs w:val="22"/>
          <w:lang w:eastAsia="lt-LT"/>
        </w:rPr>
      </w:pPr>
    </w:p>
    <w:tbl>
      <w:tblPr>
        <w:tblStyle w:val="TableGrid"/>
        <w:tblW w:w="9977" w:type="dxa"/>
        <w:tblInd w:w="-147" w:type="dxa"/>
        <w:tblLook w:val="04A0"/>
      </w:tblPr>
      <w:tblGrid>
        <w:gridCol w:w="9996"/>
      </w:tblGrid>
      <w:tr w:rsidR="002F7127" w:rsidRPr="00334103" w:rsidTr="005E530C">
        <w:tc>
          <w:tcPr>
            <w:tcW w:w="9977" w:type="dxa"/>
          </w:tcPr>
          <w:p w:rsidR="005E530C" w:rsidRPr="005C584F" w:rsidRDefault="005E530C" w:rsidP="005E530C">
            <w:pPr>
              <w:tabs>
                <w:tab w:val="left" w:pos="993"/>
              </w:tabs>
              <w:jc w:val="both"/>
              <w:rPr>
                <w:sz w:val="24"/>
                <w:szCs w:val="24"/>
              </w:rPr>
            </w:pPr>
            <w:r w:rsidRPr="005C584F">
              <w:rPr>
                <w:sz w:val="24"/>
                <w:szCs w:val="24"/>
              </w:rPr>
              <w:t>Stakliškių gimnazija vykdo ikimokyklinį, priešmokyklinį, pradinį, pagrindinį ir vidurinį ugdymą. Mokykla turi du skyrius: Stakliškių ikimokyklinio ugdymo skyrių ir Pieštuvėnų ikimokyklinio ugdymo skyrių. Gimnazijoje mokosi 2</w:t>
            </w:r>
            <w:r w:rsidR="00D57A89" w:rsidRPr="005C584F">
              <w:rPr>
                <w:sz w:val="24"/>
                <w:szCs w:val="24"/>
              </w:rPr>
              <w:t>3</w:t>
            </w:r>
            <w:r w:rsidR="002C0AE2" w:rsidRPr="005C584F">
              <w:rPr>
                <w:sz w:val="24"/>
                <w:szCs w:val="24"/>
              </w:rPr>
              <w:t>0</w:t>
            </w:r>
            <w:r w:rsidRPr="005C584F">
              <w:rPr>
                <w:sz w:val="24"/>
                <w:szCs w:val="24"/>
              </w:rPr>
              <w:t xml:space="preserve"> mokini</w:t>
            </w:r>
            <w:r w:rsidR="002C0AE2" w:rsidRPr="005C584F">
              <w:rPr>
                <w:sz w:val="24"/>
                <w:szCs w:val="24"/>
              </w:rPr>
              <w:t>ų</w:t>
            </w:r>
            <w:r w:rsidRPr="005C584F">
              <w:rPr>
                <w:sz w:val="24"/>
                <w:szCs w:val="24"/>
              </w:rPr>
              <w:t xml:space="preserve"> (iš jų </w:t>
            </w:r>
            <w:r w:rsidR="00D57A89" w:rsidRPr="005C584F">
              <w:rPr>
                <w:sz w:val="24"/>
                <w:szCs w:val="24"/>
              </w:rPr>
              <w:t xml:space="preserve">priešmokyklinio ir </w:t>
            </w:r>
            <w:r w:rsidRPr="005C584F">
              <w:rPr>
                <w:sz w:val="24"/>
                <w:szCs w:val="24"/>
              </w:rPr>
              <w:t xml:space="preserve">ikimokyklinio ugdymo skyrių lanko </w:t>
            </w:r>
            <w:r w:rsidR="002C0AE2" w:rsidRPr="005C584F">
              <w:rPr>
                <w:sz w:val="24"/>
                <w:szCs w:val="24"/>
              </w:rPr>
              <w:t>59</w:t>
            </w:r>
            <w:r w:rsidRPr="005C584F">
              <w:rPr>
                <w:sz w:val="24"/>
                <w:szCs w:val="24"/>
              </w:rPr>
              <w:t xml:space="preserve"> vaika</w:t>
            </w:r>
            <w:r w:rsidR="002C0AE2" w:rsidRPr="005C584F">
              <w:rPr>
                <w:sz w:val="24"/>
                <w:szCs w:val="24"/>
              </w:rPr>
              <w:t>i</w:t>
            </w:r>
            <w:r w:rsidRPr="005C584F">
              <w:rPr>
                <w:sz w:val="24"/>
                <w:szCs w:val="24"/>
              </w:rPr>
              <w:t xml:space="preserve">). Dirba </w:t>
            </w:r>
            <w:r w:rsidR="00506B67" w:rsidRPr="005C584F">
              <w:rPr>
                <w:sz w:val="24"/>
                <w:szCs w:val="24"/>
              </w:rPr>
              <w:t>37</w:t>
            </w:r>
            <w:r w:rsidRPr="005C584F">
              <w:rPr>
                <w:sz w:val="24"/>
                <w:szCs w:val="24"/>
              </w:rPr>
              <w:t xml:space="preserve"> mokytoj</w:t>
            </w:r>
            <w:r w:rsidR="00506B67" w:rsidRPr="005C584F">
              <w:rPr>
                <w:sz w:val="24"/>
                <w:szCs w:val="24"/>
              </w:rPr>
              <w:t>ai</w:t>
            </w:r>
            <w:r w:rsidRPr="005C584F">
              <w:rPr>
                <w:sz w:val="24"/>
                <w:szCs w:val="24"/>
              </w:rPr>
              <w:t>, iš jų: 1</w:t>
            </w:r>
            <w:r w:rsidR="00506B67" w:rsidRPr="005C584F">
              <w:rPr>
                <w:sz w:val="24"/>
                <w:szCs w:val="24"/>
              </w:rPr>
              <w:t>4</w:t>
            </w:r>
            <w:r w:rsidRPr="005C584F">
              <w:rPr>
                <w:sz w:val="24"/>
                <w:szCs w:val="24"/>
              </w:rPr>
              <w:t xml:space="preserve"> mokytojų  metodininkų, 1</w:t>
            </w:r>
            <w:r w:rsidR="00506B67" w:rsidRPr="005C584F">
              <w:rPr>
                <w:sz w:val="24"/>
                <w:szCs w:val="24"/>
              </w:rPr>
              <w:t>1</w:t>
            </w:r>
            <w:r w:rsidRPr="005C584F">
              <w:rPr>
                <w:sz w:val="24"/>
                <w:szCs w:val="24"/>
              </w:rPr>
              <w:t xml:space="preserve"> vyr. mokytojų ir 1</w:t>
            </w:r>
            <w:r w:rsidR="00506B67" w:rsidRPr="005C584F">
              <w:rPr>
                <w:sz w:val="24"/>
                <w:szCs w:val="24"/>
              </w:rPr>
              <w:t>2</w:t>
            </w:r>
            <w:r w:rsidRPr="005C584F">
              <w:rPr>
                <w:sz w:val="24"/>
                <w:szCs w:val="24"/>
              </w:rPr>
              <w:t xml:space="preserve"> mokytojų. Gimnazijoje dirba logopedė, specialioji pedagogė, psichologė ir socialinė pedagogė. </w:t>
            </w:r>
          </w:p>
          <w:p w:rsidR="005E530C" w:rsidRPr="005C584F" w:rsidRDefault="005E530C" w:rsidP="005E530C">
            <w:pPr>
              <w:spacing w:line="276" w:lineRule="auto"/>
              <w:jc w:val="both"/>
              <w:rPr>
                <w:b/>
                <w:sz w:val="24"/>
                <w:szCs w:val="24"/>
              </w:rPr>
            </w:pPr>
            <w:r w:rsidRPr="005C584F">
              <w:rPr>
                <w:b/>
                <w:sz w:val="24"/>
                <w:szCs w:val="24"/>
              </w:rPr>
              <w:t>Mokinių pažangos ir pasiekimų rezultatai</w:t>
            </w:r>
          </w:p>
          <w:p w:rsidR="005E530C" w:rsidRPr="005C584F" w:rsidRDefault="005E530C" w:rsidP="005E530C">
            <w:pPr>
              <w:jc w:val="both"/>
              <w:rPr>
                <w:sz w:val="24"/>
                <w:szCs w:val="24"/>
              </w:rPr>
            </w:pPr>
            <w:r w:rsidRPr="005C584F">
              <w:rPr>
                <w:sz w:val="24"/>
                <w:szCs w:val="24"/>
              </w:rPr>
              <w:t xml:space="preserve">Mokyklos mokinių pažangumas buvo </w:t>
            </w:r>
            <w:r w:rsidR="00506B67" w:rsidRPr="005C584F">
              <w:rPr>
                <w:sz w:val="24"/>
                <w:szCs w:val="24"/>
              </w:rPr>
              <w:t>100</w:t>
            </w:r>
            <w:r w:rsidRPr="005C584F">
              <w:rPr>
                <w:sz w:val="24"/>
                <w:szCs w:val="24"/>
              </w:rPr>
              <w:t xml:space="preserve"> %. Bendra gimnazijos mokinių per metus padaryta pažanga +0,</w:t>
            </w:r>
            <w:r w:rsidR="00506B67" w:rsidRPr="005C584F">
              <w:rPr>
                <w:sz w:val="24"/>
                <w:szCs w:val="24"/>
              </w:rPr>
              <w:t>1</w:t>
            </w:r>
            <w:r w:rsidRPr="005C584F">
              <w:rPr>
                <w:sz w:val="24"/>
                <w:szCs w:val="24"/>
              </w:rPr>
              <w:t xml:space="preserve">7. Mokinių pasiskirstymas pagal mokymosi lygmenį rodo, kad gimnazijoje yra </w:t>
            </w:r>
            <w:r w:rsidR="00092E10" w:rsidRPr="005C584F">
              <w:rPr>
                <w:sz w:val="24"/>
                <w:szCs w:val="24"/>
              </w:rPr>
              <w:t>10</w:t>
            </w:r>
            <w:r w:rsidRPr="005C584F">
              <w:rPr>
                <w:sz w:val="24"/>
                <w:szCs w:val="24"/>
              </w:rPr>
              <w:t xml:space="preserve"> % mokinių pasiekusių aukštesnį lygmenį</w:t>
            </w:r>
            <w:r w:rsidR="00092E10" w:rsidRPr="005C584F">
              <w:rPr>
                <w:sz w:val="24"/>
                <w:szCs w:val="24"/>
              </w:rPr>
              <w:t xml:space="preserve"> (buvo 7 %)</w:t>
            </w:r>
            <w:r w:rsidRPr="005C584F">
              <w:rPr>
                <w:sz w:val="24"/>
                <w:szCs w:val="24"/>
              </w:rPr>
              <w:t>, 3</w:t>
            </w:r>
            <w:r w:rsidR="00506B67" w:rsidRPr="005C584F">
              <w:rPr>
                <w:sz w:val="24"/>
                <w:szCs w:val="24"/>
              </w:rPr>
              <w:t>6</w:t>
            </w:r>
            <w:r w:rsidRPr="005C584F">
              <w:rPr>
                <w:sz w:val="24"/>
                <w:szCs w:val="24"/>
              </w:rPr>
              <w:t xml:space="preserve"> % - pagrindinį</w:t>
            </w:r>
            <w:r w:rsidR="00506B67" w:rsidRPr="005C584F">
              <w:rPr>
                <w:sz w:val="24"/>
                <w:szCs w:val="24"/>
              </w:rPr>
              <w:t xml:space="preserve"> (buvo 34 </w:t>
            </w:r>
            <w:r w:rsidR="00092E10" w:rsidRPr="005C584F">
              <w:rPr>
                <w:sz w:val="24"/>
                <w:szCs w:val="24"/>
              </w:rPr>
              <w:t>%)</w:t>
            </w:r>
            <w:r w:rsidRPr="005C584F">
              <w:rPr>
                <w:sz w:val="24"/>
                <w:szCs w:val="24"/>
              </w:rPr>
              <w:t xml:space="preserve"> ir 5</w:t>
            </w:r>
            <w:r w:rsidR="00092E10" w:rsidRPr="005C584F">
              <w:rPr>
                <w:sz w:val="24"/>
                <w:szCs w:val="24"/>
              </w:rPr>
              <w:t>1</w:t>
            </w:r>
            <w:r w:rsidRPr="005C584F">
              <w:rPr>
                <w:sz w:val="24"/>
                <w:szCs w:val="24"/>
              </w:rPr>
              <w:t xml:space="preserve"> % patenkinamą</w:t>
            </w:r>
            <w:r w:rsidR="00092E10" w:rsidRPr="005C584F">
              <w:rPr>
                <w:sz w:val="24"/>
                <w:szCs w:val="24"/>
              </w:rPr>
              <w:t xml:space="preserve"> (buvo 58 %)</w:t>
            </w:r>
            <w:r w:rsidRPr="005C584F">
              <w:rPr>
                <w:sz w:val="24"/>
                <w:szCs w:val="24"/>
              </w:rPr>
              <w:t xml:space="preserve">. </w:t>
            </w:r>
            <w:r w:rsidR="00092E10" w:rsidRPr="005C584F">
              <w:rPr>
                <w:sz w:val="24"/>
                <w:szCs w:val="24"/>
              </w:rPr>
              <w:t>77</w:t>
            </w:r>
            <w:r w:rsidRPr="005C584F">
              <w:rPr>
                <w:sz w:val="24"/>
                <w:szCs w:val="24"/>
              </w:rPr>
              <w:t xml:space="preserve"> % mokinių padarė pažangą</w:t>
            </w:r>
            <w:r w:rsidR="00092E10" w:rsidRPr="005C584F">
              <w:rPr>
                <w:sz w:val="24"/>
                <w:szCs w:val="24"/>
              </w:rPr>
              <w:t xml:space="preserve"> (buvo 65 %)</w:t>
            </w:r>
            <w:r w:rsidRPr="005C584F">
              <w:rPr>
                <w:sz w:val="24"/>
                <w:szCs w:val="24"/>
              </w:rPr>
              <w:t>.</w:t>
            </w:r>
            <w:r w:rsidR="00092E10" w:rsidRPr="005C584F">
              <w:rPr>
                <w:sz w:val="24"/>
                <w:szCs w:val="24"/>
              </w:rPr>
              <w:t xml:space="preserve"> Mokymosi vidurkiai pagal klases rodo, kad visos klasės padarė mokymosi pažangą per metus.</w:t>
            </w:r>
          </w:p>
          <w:p w:rsidR="00092E10" w:rsidRPr="005C584F" w:rsidRDefault="00092E10" w:rsidP="00092E10">
            <w:pPr>
              <w:jc w:val="center"/>
              <w:rPr>
                <w:sz w:val="24"/>
                <w:szCs w:val="24"/>
              </w:rPr>
            </w:pPr>
            <w:r w:rsidRPr="005C584F">
              <w:rPr>
                <w:noProof/>
                <w:szCs w:val="24"/>
                <w:lang w:val="en-US"/>
              </w:rPr>
              <w:drawing>
                <wp:inline distT="0" distB="0" distL="0" distR="0">
                  <wp:extent cx="4932045" cy="2508250"/>
                  <wp:effectExtent l="0" t="0" r="1905" b="635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E530C" w:rsidRPr="005C584F" w:rsidRDefault="005E530C" w:rsidP="005E530C">
            <w:pPr>
              <w:jc w:val="both"/>
              <w:rPr>
                <w:sz w:val="24"/>
                <w:szCs w:val="24"/>
              </w:rPr>
            </w:pPr>
            <w:r w:rsidRPr="005C584F">
              <w:rPr>
                <w:sz w:val="24"/>
                <w:szCs w:val="24"/>
              </w:rPr>
              <w:t xml:space="preserve">Valstybinių ir mokyklinių brandos egzaminų rezultatai: lietuvių kalbos ir literatūros vidurkis – </w:t>
            </w:r>
            <w:r w:rsidR="009861E9" w:rsidRPr="005C584F">
              <w:rPr>
                <w:sz w:val="24"/>
                <w:szCs w:val="24"/>
              </w:rPr>
              <w:t>39</w:t>
            </w:r>
            <w:r w:rsidRPr="005C584F">
              <w:rPr>
                <w:sz w:val="24"/>
                <w:szCs w:val="24"/>
              </w:rPr>
              <w:t xml:space="preserve">, o metinis – </w:t>
            </w:r>
            <w:r w:rsidR="009861E9" w:rsidRPr="005C584F">
              <w:rPr>
                <w:sz w:val="24"/>
                <w:szCs w:val="24"/>
              </w:rPr>
              <w:t>5,6</w:t>
            </w:r>
            <w:r w:rsidRPr="005C584F">
              <w:rPr>
                <w:sz w:val="24"/>
                <w:szCs w:val="24"/>
              </w:rPr>
              <w:t xml:space="preserve">, anglų kalbos vidurkis – </w:t>
            </w:r>
            <w:r w:rsidR="00F31CB6" w:rsidRPr="005C584F">
              <w:rPr>
                <w:sz w:val="24"/>
                <w:szCs w:val="24"/>
              </w:rPr>
              <w:t>4</w:t>
            </w:r>
            <w:r w:rsidRPr="005C584F">
              <w:rPr>
                <w:sz w:val="24"/>
                <w:szCs w:val="24"/>
              </w:rPr>
              <w:t>9, o metinis – 7,</w:t>
            </w:r>
            <w:r w:rsidR="00F31CB6" w:rsidRPr="005C584F">
              <w:rPr>
                <w:sz w:val="24"/>
                <w:szCs w:val="24"/>
              </w:rPr>
              <w:t>1</w:t>
            </w:r>
            <w:r w:rsidRPr="005C584F">
              <w:rPr>
                <w:sz w:val="24"/>
                <w:szCs w:val="24"/>
              </w:rPr>
              <w:t xml:space="preserve">, matematikos vidurkis – </w:t>
            </w:r>
            <w:r w:rsidR="00F31CB6" w:rsidRPr="005C584F">
              <w:rPr>
                <w:sz w:val="24"/>
                <w:szCs w:val="24"/>
              </w:rPr>
              <w:t>21</w:t>
            </w:r>
            <w:r w:rsidRPr="005C584F">
              <w:rPr>
                <w:sz w:val="24"/>
                <w:szCs w:val="24"/>
              </w:rPr>
              <w:t>, o metinis – 7,</w:t>
            </w:r>
            <w:r w:rsidR="00F31CB6" w:rsidRPr="005C584F">
              <w:rPr>
                <w:sz w:val="24"/>
                <w:szCs w:val="24"/>
              </w:rPr>
              <w:t>4</w:t>
            </w:r>
            <w:r w:rsidRPr="005C584F">
              <w:rPr>
                <w:sz w:val="24"/>
                <w:szCs w:val="24"/>
              </w:rPr>
              <w:t xml:space="preserve">, istorijos vidurkis  – </w:t>
            </w:r>
            <w:r w:rsidR="00F31CB6" w:rsidRPr="005C584F">
              <w:rPr>
                <w:sz w:val="24"/>
                <w:szCs w:val="24"/>
              </w:rPr>
              <w:t>33</w:t>
            </w:r>
            <w:r w:rsidRPr="005C584F">
              <w:rPr>
                <w:sz w:val="24"/>
                <w:szCs w:val="24"/>
              </w:rPr>
              <w:t xml:space="preserve">, o metinis – </w:t>
            </w:r>
            <w:r w:rsidR="00F31CB6" w:rsidRPr="005C584F">
              <w:rPr>
                <w:sz w:val="24"/>
                <w:szCs w:val="24"/>
              </w:rPr>
              <w:t>7</w:t>
            </w:r>
            <w:r w:rsidRPr="005C584F">
              <w:rPr>
                <w:sz w:val="24"/>
                <w:szCs w:val="24"/>
              </w:rPr>
              <w:t xml:space="preserve">, biologijos vidurkis – </w:t>
            </w:r>
            <w:r w:rsidR="00F31CB6" w:rsidRPr="005C584F">
              <w:rPr>
                <w:sz w:val="24"/>
                <w:szCs w:val="24"/>
              </w:rPr>
              <w:t>22</w:t>
            </w:r>
            <w:r w:rsidRPr="005C584F">
              <w:rPr>
                <w:sz w:val="24"/>
                <w:szCs w:val="24"/>
              </w:rPr>
              <w:t xml:space="preserve">, o metinis – </w:t>
            </w:r>
            <w:r w:rsidR="00F31CB6" w:rsidRPr="005C584F">
              <w:rPr>
                <w:sz w:val="24"/>
                <w:szCs w:val="24"/>
              </w:rPr>
              <w:t>6</w:t>
            </w:r>
            <w:r w:rsidRPr="005C584F">
              <w:rPr>
                <w:sz w:val="24"/>
                <w:szCs w:val="24"/>
              </w:rPr>
              <w:t xml:space="preserve">, fizikos vidurkis – </w:t>
            </w:r>
            <w:r w:rsidR="00F31CB6" w:rsidRPr="005C584F">
              <w:rPr>
                <w:sz w:val="24"/>
                <w:szCs w:val="24"/>
              </w:rPr>
              <w:t>35</w:t>
            </w:r>
            <w:r w:rsidRPr="005C584F">
              <w:rPr>
                <w:sz w:val="24"/>
                <w:szCs w:val="24"/>
              </w:rPr>
              <w:t xml:space="preserve">, o metinis – </w:t>
            </w:r>
            <w:r w:rsidR="00F31CB6" w:rsidRPr="005C584F">
              <w:rPr>
                <w:sz w:val="24"/>
                <w:szCs w:val="24"/>
              </w:rPr>
              <w:t>7</w:t>
            </w:r>
            <w:r w:rsidRPr="005C584F">
              <w:rPr>
                <w:sz w:val="24"/>
                <w:szCs w:val="24"/>
              </w:rPr>
              <w:t xml:space="preserve">, IT vidurkis – </w:t>
            </w:r>
            <w:r w:rsidR="00F31CB6" w:rsidRPr="005C584F">
              <w:rPr>
                <w:sz w:val="24"/>
                <w:szCs w:val="24"/>
              </w:rPr>
              <w:t>26</w:t>
            </w:r>
            <w:r w:rsidRPr="005C584F">
              <w:rPr>
                <w:sz w:val="24"/>
                <w:szCs w:val="24"/>
              </w:rPr>
              <w:t>, o metinis – 9</w:t>
            </w:r>
            <w:r w:rsidR="00F31CB6" w:rsidRPr="005C584F">
              <w:rPr>
                <w:sz w:val="24"/>
                <w:szCs w:val="24"/>
              </w:rPr>
              <w:t>,5</w:t>
            </w:r>
            <w:r w:rsidRPr="005C584F">
              <w:rPr>
                <w:sz w:val="24"/>
                <w:szCs w:val="24"/>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
            <w:tblGrid>
              <w:gridCol w:w="1786"/>
              <w:gridCol w:w="1302"/>
              <w:gridCol w:w="1315"/>
              <w:gridCol w:w="1315"/>
              <w:gridCol w:w="1315"/>
              <w:gridCol w:w="1308"/>
              <w:gridCol w:w="1329"/>
              <w:gridCol w:w="45"/>
            </w:tblGrid>
            <w:tr w:rsidR="009861E9" w:rsidRPr="005C584F" w:rsidTr="00A95075">
              <w:trPr>
                <w:trHeight w:val="683"/>
              </w:trPr>
              <w:tc>
                <w:tcPr>
                  <w:tcW w:w="2048" w:type="dxa"/>
                  <w:shd w:val="clear" w:color="auto" w:fill="auto"/>
                  <w:tcMar>
                    <w:top w:w="72" w:type="dxa"/>
                    <w:left w:w="144" w:type="dxa"/>
                    <w:bottom w:w="72" w:type="dxa"/>
                    <w:right w:w="144" w:type="dxa"/>
                  </w:tcMar>
                  <w:hideMark/>
                </w:tcPr>
                <w:p w:rsidR="009861E9" w:rsidRPr="005C584F" w:rsidRDefault="009861E9" w:rsidP="004F1068">
                  <w:pPr>
                    <w:jc w:val="both"/>
                    <w:rPr>
                      <w:b/>
                      <w:bCs/>
                      <w:szCs w:val="24"/>
                    </w:rPr>
                  </w:pPr>
                  <w:r w:rsidRPr="005C584F">
                    <w:rPr>
                      <w:b/>
                      <w:bCs/>
                      <w:szCs w:val="24"/>
                    </w:rPr>
                    <w:t>Dalykas</w:t>
                  </w:r>
                </w:p>
              </w:tc>
              <w:tc>
                <w:tcPr>
                  <w:tcW w:w="1248" w:type="dxa"/>
                  <w:shd w:val="clear" w:color="auto" w:fill="auto"/>
                  <w:tcMar>
                    <w:top w:w="72" w:type="dxa"/>
                    <w:left w:w="144" w:type="dxa"/>
                    <w:bottom w:w="72" w:type="dxa"/>
                    <w:right w:w="144" w:type="dxa"/>
                  </w:tcMar>
                  <w:hideMark/>
                </w:tcPr>
                <w:p w:rsidR="009861E9" w:rsidRPr="005C584F" w:rsidRDefault="009861E9" w:rsidP="004F1068">
                  <w:pPr>
                    <w:jc w:val="both"/>
                    <w:rPr>
                      <w:b/>
                      <w:bCs/>
                      <w:szCs w:val="24"/>
                    </w:rPr>
                  </w:pPr>
                  <w:r w:rsidRPr="005C584F">
                    <w:rPr>
                      <w:b/>
                      <w:bCs/>
                      <w:szCs w:val="24"/>
                    </w:rPr>
                    <w:t>Išlaikymo procentas</w:t>
                  </w:r>
                </w:p>
              </w:tc>
              <w:tc>
                <w:tcPr>
                  <w:tcW w:w="1231" w:type="dxa"/>
                  <w:shd w:val="clear" w:color="auto" w:fill="auto"/>
                  <w:tcMar>
                    <w:top w:w="72" w:type="dxa"/>
                    <w:left w:w="144" w:type="dxa"/>
                    <w:bottom w:w="72" w:type="dxa"/>
                    <w:right w:w="144" w:type="dxa"/>
                  </w:tcMar>
                  <w:hideMark/>
                </w:tcPr>
                <w:p w:rsidR="00C656F9" w:rsidRPr="005C584F" w:rsidRDefault="009861E9" w:rsidP="004F1068">
                  <w:pPr>
                    <w:jc w:val="both"/>
                    <w:rPr>
                      <w:b/>
                      <w:bCs/>
                      <w:szCs w:val="24"/>
                    </w:rPr>
                  </w:pPr>
                  <w:r w:rsidRPr="005C584F">
                    <w:rPr>
                      <w:b/>
                      <w:bCs/>
                      <w:szCs w:val="24"/>
                    </w:rPr>
                    <w:t>2020</w:t>
                  </w:r>
                  <w:r w:rsidR="00C656F9" w:rsidRPr="005C584F">
                    <w:rPr>
                      <w:b/>
                      <w:bCs/>
                      <w:szCs w:val="24"/>
                    </w:rPr>
                    <w:t>/2021</w:t>
                  </w:r>
                </w:p>
                <w:p w:rsidR="009861E9" w:rsidRPr="005C584F" w:rsidRDefault="009861E9" w:rsidP="004F1068">
                  <w:pPr>
                    <w:jc w:val="both"/>
                    <w:rPr>
                      <w:b/>
                      <w:bCs/>
                      <w:szCs w:val="24"/>
                    </w:rPr>
                  </w:pPr>
                  <w:r w:rsidRPr="005C584F">
                    <w:rPr>
                      <w:b/>
                      <w:bCs/>
                      <w:szCs w:val="24"/>
                    </w:rPr>
                    <w:t>rezultatas</w:t>
                  </w:r>
                </w:p>
              </w:tc>
              <w:tc>
                <w:tcPr>
                  <w:tcW w:w="1231" w:type="dxa"/>
                  <w:shd w:val="clear" w:color="auto" w:fill="auto"/>
                  <w:tcMar>
                    <w:top w:w="72" w:type="dxa"/>
                    <w:left w:w="144" w:type="dxa"/>
                    <w:bottom w:w="72" w:type="dxa"/>
                    <w:right w:w="144" w:type="dxa"/>
                  </w:tcMar>
                  <w:hideMark/>
                </w:tcPr>
                <w:p w:rsidR="009861E9" w:rsidRPr="005C584F" w:rsidRDefault="009861E9" w:rsidP="004F1068">
                  <w:pPr>
                    <w:jc w:val="both"/>
                    <w:rPr>
                      <w:b/>
                      <w:bCs/>
                      <w:szCs w:val="24"/>
                    </w:rPr>
                  </w:pPr>
                  <w:r w:rsidRPr="005C584F">
                    <w:rPr>
                      <w:b/>
                      <w:bCs/>
                      <w:szCs w:val="24"/>
                    </w:rPr>
                    <w:t>2019</w:t>
                  </w:r>
                  <w:r w:rsidR="00C656F9" w:rsidRPr="005C584F">
                    <w:rPr>
                      <w:b/>
                      <w:bCs/>
                      <w:szCs w:val="24"/>
                    </w:rPr>
                    <w:t>/2020</w:t>
                  </w:r>
                  <w:r w:rsidRPr="005C584F">
                    <w:rPr>
                      <w:b/>
                      <w:bCs/>
                      <w:szCs w:val="24"/>
                    </w:rPr>
                    <w:t xml:space="preserve"> rezultatas</w:t>
                  </w:r>
                </w:p>
              </w:tc>
              <w:tc>
                <w:tcPr>
                  <w:tcW w:w="1315" w:type="dxa"/>
                  <w:shd w:val="clear" w:color="auto" w:fill="auto"/>
                  <w:tcMar>
                    <w:top w:w="72" w:type="dxa"/>
                    <w:left w:w="144" w:type="dxa"/>
                    <w:bottom w:w="72" w:type="dxa"/>
                    <w:right w:w="144" w:type="dxa"/>
                  </w:tcMar>
                  <w:hideMark/>
                </w:tcPr>
                <w:p w:rsidR="009861E9" w:rsidRPr="005C584F" w:rsidRDefault="009861E9" w:rsidP="004F1068">
                  <w:pPr>
                    <w:jc w:val="both"/>
                    <w:rPr>
                      <w:b/>
                      <w:bCs/>
                      <w:szCs w:val="24"/>
                    </w:rPr>
                  </w:pPr>
                  <w:r w:rsidRPr="005C584F">
                    <w:rPr>
                      <w:b/>
                      <w:bCs/>
                      <w:szCs w:val="24"/>
                    </w:rPr>
                    <w:t>2018</w:t>
                  </w:r>
                  <w:r w:rsidR="00C656F9" w:rsidRPr="005C584F">
                    <w:rPr>
                      <w:b/>
                      <w:bCs/>
                      <w:szCs w:val="24"/>
                    </w:rPr>
                    <w:t>/2019</w:t>
                  </w:r>
                  <w:r w:rsidRPr="005C584F">
                    <w:rPr>
                      <w:b/>
                      <w:bCs/>
                      <w:szCs w:val="24"/>
                    </w:rPr>
                    <w:t xml:space="preserve"> rezultatas</w:t>
                  </w:r>
                </w:p>
              </w:tc>
              <w:tc>
                <w:tcPr>
                  <w:tcW w:w="1313" w:type="dxa"/>
                  <w:shd w:val="clear" w:color="auto" w:fill="auto"/>
                  <w:tcMar>
                    <w:top w:w="72" w:type="dxa"/>
                    <w:left w:w="144" w:type="dxa"/>
                    <w:bottom w:w="72" w:type="dxa"/>
                    <w:right w:w="144" w:type="dxa"/>
                  </w:tcMar>
                  <w:hideMark/>
                </w:tcPr>
                <w:p w:rsidR="009861E9" w:rsidRPr="005C584F" w:rsidRDefault="009861E9" w:rsidP="004F1068">
                  <w:pPr>
                    <w:jc w:val="both"/>
                    <w:rPr>
                      <w:b/>
                      <w:bCs/>
                      <w:szCs w:val="24"/>
                    </w:rPr>
                  </w:pPr>
                  <w:r w:rsidRPr="005C584F">
                    <w:rPr>
                      <w:b/>
                      <w:bCs/>
                      <w:szCs w:val="24"/>
                    </w:rPr>
                    <w:t>PUP rezultatas</w:t>
                  </w:r>
                </w:p>
              </w:tc>
              <w:tc>
                <w:tcPr>
                  <w:tcW w:w="1329" w:type="dxa"/>
                  <w:gridSpan w:val="2"/>
                  <w:shd w:val="clear" w:color="auto" w:fill="auto"/>
                  <w:tcMar>
                    <w:top w:w="72" w:type="dxa"/>
                    <w:left w:w="144" w:type="dxa"/>
                    <w:bottom w:w="72" w:type="dxa"/>
                    <w:right w:w="144" w:type="dxa"/>
                  </w:tcMar>
                  <w:hideMark/>
                </w:tcPr>
                <w:p w:rsidR="009861E9" w:rsidRPr="005C584F" w:rsidRDefault="009861E9" w:rsidP="004F1068">
                  <w:pPr>
                    <w:jc w:val="both"/>
                    <w:rPr>
                      <w:b/>
                      <w:bCs/>
                      <w:szCs w:val="24"/>
                    </w:rPr>
                  </w:pPr>
                  <w:r w:rsidRPr="005C584F">
                    <w:rPr>
                      <w:b/>
                      <w:bCs/>
                      <w:szCs w:val="24"/>
                    </w:rPr>
                    <w:t>Mokymosi vidurkis</w:t>
                  </w:r>
                </w:p>
              </w:tc>
            </w:tr>
            <w:tr w:rsidR="009861E9" w:rsidRPr="005C584F" w:rsidTr="00A95075">
              <w:trPr>
                <w:gridAfter w:val="1"/>
                <w:wAfter w:w="50" w:type="dxa"/>
                <w:trHeight w:val="652"/>
              </w:trPr>
              <w:tc>
                <w:tcPr>
                  <w:tcW w:w="2048" w:type="dxa"/>
                  <w:shd w:val="clear" w:color="auto" w:fill="auto"/>
                  <w:tcMar>
                    <w:top w:w="72" w:type="dxa"/>
                    <w:left w:w="144" w:type="dxa"/>
                    <w:bottom w:w="72" w:type="dxa"/>
                    <w:right w:w="144" w:type="dxa"/>
                  </w:tcMar>
                  <w:hideMark/>
                </w:tcPr>
                <w:p w:rsidR="009861E9" w:rsidRPr="005C584F" w:rsidRDefault="009861E9" w:rsidP="004F1068">
                  <w:pPr>
                    <w:jc w:val="both"/>
                    <w:rPr>
                      <w:szCs w:val="24"/>
                    </w:rPr>
                  </w:pPr>
                  <w:r w:rsidRPr="005C584F">
                    <w:rPr>
                      <w:szCs w:val="24"/>
                    </w:rPr>
                    <w:lastRenderedPageBreak/>
                    <w:t>Lietuvių kalba ir literatūra</w:t>
                  </w:r>
                </w:p>
              </w:tc>
              <w:tc>
                <w:tcPr>
                  <w:tcW w:w="1248"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90</w:t>
                  </w:r>
                </w:p>
              </w:tc>
              <w:tc>
                <w:tcPr>
                  <w:tcW w:w="1231"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39</w:t>
                  </w:r>
                </w:p>
              </w:tc>
              <w:tc>
                <w:tcPr>
                  <w:tcW w:w="1231"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65</w:t>
                  </w:r>
                </w:p>
              </w:tc>
              <w:tc>
                <w:tcPr>
                  <w:tcW w:w="1315"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60</w:t>
                  </w:r>
                </w:p>
              </w:tc>
              <w:tc>
                <w:tcPr>
                  <w:tcW w:w="1313"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5,2</w:t>
                  </w:r>
                </w:p>
              </w:tc>
              <w:tc>
                <w:tcPr>
                  <w:tcW w:w="1279"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5,6</w:t>
                  </w:r>
                </w:p>
              </w:tc>
            </w:tr>
            <w:tr w:rsidR="009861E9" w:rsidRPr="005C584F" w:rsidTr="00A95075">
              <w:trPr>
                <w:gridAfter w:val="1"/>
                <w:wAfter w:w="50" w:type="dxa"/>
                <w:trHeight w:val="49"/>
              </w:trPr>
              <w:tc>
                <w:tcPr>
                  <w:tcW w:w="2048" w:type="dxa"/>
                  <w:shd w:val="clear" w:color="auto" w:fill="auto"/>
                  <w:tcMar>
                    <w:top w:w="72" w:type="dxa"/>
                    <w:left w:w="144" w:type="dxa"/>
                    <w:bottom w:w="72" w:type="dxa"/>
                    <w:right w:w="144" w:type="dxa"/>
                  </w:tcMar>
                  <w:hideMark/>
                </w:tcPr>
                <w:p w:rsidR="009861E9" w:rsidRPr="005C584F" w:rsidRDefault="009861E9" w:rsidP="004F1068">
                  <w:pPr>
                    <w:jc w:val="both"/>
                    <w:rPr>
                      <w:szCs w:val="24"/>
                    </w:rPr>
                  </w:pPr>
                  <w:r w:rsidRPr="005C584F">
                    <w:rPr>
                      <w:szCs w:val="24"/>
                    </w:rPr>
                    <w:t>Matematika</w:t>
                  </w:r>
                </w:p>
              </w:tc>
              <w:tc>
                <w:tcPr>
                  <w:tcW w:w="1248"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60</w:t>
                  </w:r>
                </w:p>
              </w:tc>
              <w:tc>
                <w:tcPr>
                  <w:tcW w:w="1231"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21</w:t>
                  </w:r>
                </w:p>
              </w:tc>
              <w:tc>
                <w:tcPr>
                  <w:tcW w:w="1231"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38</w:t>
                  </w:r>
                </w:p>
              </w:tc>
              <w:tc>
                <w:tcPr>
                  <w:tcW w:w="1315"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29</w:t>
                  </w:r>
                </w:p>
              </w:tc>
              <w:tc>
                <w:tcPr>
                  <w:tcW w:w="1313"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5,2</w:t>
                  </w:r>
                </w:p>
              </w:tc>
              <w:tc>
                <w:tcPr>
                  <w:tcW w:w="1279"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7,4</w:t>
                  </w:r>
                </w:p>
              </w:tc>
            </w:tr>
            <w:tr w:rsidR="009861E9" w:rsidRPr="005C584F" w:rsidTr="00A95075">
              <w:trPr>
                <w:gridAfter w:val="1"/>
                <w:wAfter w:w="50" w:type="dxa"/>
                <w:trHeight w:val="286"/>
              </w:trPr>
              <w:tc>
                <w:tcPr>
                  <w:tcW w:w="2048" w:type="dxa"/>
                  <w:shd w:val="clear" w:color="auto" w:fill="auto"/>
                  <w:tcMar>
                    <w:top w:w="72" w:type="dxa"/>
                    <w:left w:w="144" w:type="dxa"/>
                    <w:bottom w:w="72" w:type="dxa"/>
                    <w:right w:w="144" w:type="dxa"/>
                  </w:tcMar>
                  <w:hideMark/>
                </w:tcPr>
                <w:p w:rsidR="009861E9" w:rsidRPr="005C584F" w:rsidRDefault="009861E9" w:rsidP="004F1068">
                  <w:pPr>
                    <w:jc w:val="both"/>
                    <w:rPr>
                      <w:szCs w:val="24"/>
                    </w:rPr>
                  </w:pPr>
                  <w:r w:rsidRPr="005C584F">
                    <w:rPr>
                      <w:szCs w:val="24"/>
                    </w:rPr>
                    <w:t>Anglų kalba</w:t>
                  </w:r>
                </w:p>
              </w:tc>
              <w:tc>
                <w:tcPr>
                  <w:tcW w:w="1248"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90</w:t>
                  </w:r>
                </w:p>
              </w:tc>
              <w:tc>
                <w:tcPr>
                  <w:tcW w:w="1231"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49</w:t>
                  </w:r>
                </w:p>
              </w:tc>
              <w:tc>
                <w:tcPr>
                  <w:tcW w:w="1231"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69</w:t>
                  </w:r>
                </w:p>
              </w:tc>
              <w:tc>
                <w:tcPr>
                  <w:tcW w:w="1315"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71</w:t>
                  </w:r>
                </w:p>
              </w:tc>
              <w:tc>
                <w:tcPr>
                  <w:tcW w:w="1313"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p>
              </w:tc>
              <w:tc>
                <w:tcPr>
                  <w:tcW w:w="1279"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7,1</w:t>
                  </w:r>
                </w:p>
              </w:tc>
            </w:tr>
            <w:tr w:rsidR="009861E9" w:rsidRPr="005C584F" w:rsidTr="00A95075">
              <w:trPr>
                <w:gridAfter w:val="1"/>
                <w:wAfter w:w="50" w:type="dxa"/>
                <w:trHeight w:val="155"/>
              </w:trPr>
              <w:tc>
                <w:tcPr>
                  <w:tcW w:w="2048" w:type="dxa"/>
                  <w:shd w:val="clear" w:color="auto" w:fill="auto"/>
                  <w:tcMar>
                    <w:top w:w="72" w:type="dxa"/>
                    <w:left w:w="144" w:type="dxa"/>
                    <w:bottom w:w="72" w:type="dxa"/>
                    <w:right w:w="144" w:type="dxa"/>
                  </w:tcMar>
                  <w:hideMark/>
                </w:tcPr>
                <w:p w:rsidR="009861E9" w:rsidRPr="005C584F" w:rsidRDefault="009861E9" w:rsidP="004F1068">
                  <w:pPr>
                    <w:jc w:val="both"/>
                    <w:rPr>
                      <w:szCs w:val="24"/>
                    </w:rPr>
                  </w:pPr>
                  <w:r w:rsidRPr="005C584F">
                    <w:rPr>
                      <w:szCs w:val="24"/>
                    </w:rPr>
                    <w:t>Biologija</w:t>
                  </w:r>
                </w:p>
              </w:tc>
              <w:tc>
                <w:tcPr>
                  <w:tcW w:w="1248"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100</w:t>
                  </w:r>
                </w:p>
              </w:tc>
              <w:tc>
                <w:tcPr>
                  <w:tcW w:w="1231"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22</w:t>
                  </w:r>
                </w:p>
              </w:tc>
              <w:tc>
                <w:tcPr>
                  <w:tcW w:w="1231"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41</w:t>
                  </w:r>
                </w:p>
              </w:tc>
              <w:tc>
                <w:tcPr>
                  <w:tcW w:w="1315"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40</w:t>
                  </w:r>
                </w:p>
              </w:tc>
              <w:tc>
                <w:tcPr>
                  <w:tcW w:w="1313"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p>
              </w:tc>
              <w:tc>
                <w:tcPr>
                  <w:tcW w:w="1279"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6</w:t>
                  </w:r>
                </w:p>
              </w:tc>
            </w:tr>
            <w:tr w:rsidR="009861E9" w:rsidRPr="005C584F" w:rsidTr="00A95075">
              <w:trPr>
                <w:gridAfter w:val="1"/>
                <w:wAfter w:w="50" w:type="dxa"/>
                <w:trHeight w:val="296"/>
              </w:trPr>
              <w:tc>
                <w:tcPr>
                  <w:tcW w:w="2048" w:type="dxa"/>
                  <w:shd w:val="clear" w:color="auto" w:fill="auto"/>
                  <w:tcMar>
                    <w:top w:w="72" w:type="dxa"/>
                    <w:left w:w="144" w:type="dxa"/>
                    <w:bottom w:w="72" w:type="dxa"/>
                    <w:right w:w="144" w:type="dxa"/>
                  </w:tcMar>
                  <w:hideMark/>
                </w:tcPr>
                <w:p w:rsidR="009861E9" w:rsidRPr="005C584F" w:rsidRDefault="009861E9" w:rsidP="004F1068">
                  <w:pPr>
                    <w:jc w:val="both"/>
                    <w:rPr>
                      <w:szCs w:val="24"/>
                    </w:rPr>
                  </w:pPr>
                  <w:r w:rsidRPr="005C584F">
                    <w:rPr>
                      <w:szCs w:val="24"/>
                    </w:rPr>
                    <w:t>Fizika</w:t>
                  </w:r>
                </w:p>
              </w:tc>
              <w:tc>
                <w:tcPr>
                  <w:tcW w:w="1248"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67</w:t>
                  </w:r>
                </w:p>
              </w:tc>
              <w:tc>
                <w:tcPr>
                  <w:tcW w:w="1231"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35</w:t>
                  </w:r>
                </w:p>
              </w:tc>
              <w:tc>
                <w:tcPr>
                  <w:tcW w:w="1231"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93</w:t>
                  </w:r>
                </w:p>
              </w:tc>
              <w:tc>
                <w:tcPr>
                  <w:tcW w:w="1315"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39</w:t>
                  </w:r>
                </w:p>
              </w:tc>
              <w:tc>
                <w:tcPr>
                  <w:tcW w:w="1313"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p>
              </w:tc>
              <w:tc>
                <w:tcPr>
                  <w:tcW w:w="1279"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7</w:t>
                  </w:r>
                </w:p>
              </w:tc>
            </w:tr>
            <w:tr w:rsidR="009861E9" w:rsidRPr="005C584F" w:rsidTr="00A95075">
              <w:trPr>
                <w:gridAfter w:val="1"/>
                <w:wAfter w:w="50" w:type="dxa"/>
                <w:trHeight w:val="293"/>
              </w:trPr>
              <w:tc>
                <w:tcPr>
                  <w:tcW w:w="2048" w:type="dxa"/>
                  <w:shd w:val="clear" w:color="auto" w:fill="auto"/>
                  <w:tcMar>
                    <w:top w:w="72" w:type="dxa"/>
                    <w:left w:w="144" w:type="dxa"/>
                    <w:bottom w:w="72" w:type="dxa"/>
                    <w:right w:w="144" w:type="dxa"/>
                  </w:tcMar>
                  <w:hideMark/>
                </w:tcPr>
                <w:p w:rsidR="009861E9" w:rsidRPr="005C584F" w:rsidRDefault="009861E9" w:rsidP="004F1068">
                  <w:pPr>
                    <w:jc w:val="both"/>
                    <w:rPr>
                      <w:szCs w:val="24"/>
                    </w:rPr>
                  </w:pPr>
                  <w:r w:rsidRPr="005C584F">
                    <w:rPr>
                      <w:szCs w:val="24"/>
                    </w:rPr>
                    <w:t>Istorija</w:t>
                  </w:r>
                </w:p>
              </w:tc>
              <w:tc>
                <w:tcPr>
                  <w:tcW w:w="1248"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75</w:t>
                  </w:r>
                </w:p>
              </w:tc>
              <w:tc>
                <w:tcPr>
                  <w:tcW w:w="1231"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33</w:t>
                  </w:r>
                </w:p>
              </w:tc>
              <w:tc>
                <w:tcPr>
                  <w:tcW w:w="1231"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44</w:t>
                  </w:r>
                </w:p>
              </w:tc>
              <w:tc>
                <w:tcPr>
                  <w:tcW w:w="1315"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43</w:t>
                  </w:r>
                </w:p>
              </w:tc>
              <w:tc>
                <w:tcPr>
                  <w:tcW w:w="1313"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p>
              </w:tc>
              <w:tc>
                <w:tcPr>
                  <w:tcW w:w="1279"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7</w:t>
                  </w:r>
                </w:p>
              </w:tc>
            </w:tr>
            <w:tr w:rsidR="009861E9" w:rsidRPr="005C584F" w:rsidTr="00A95075">
              <w:trPr>
                <w:gridAfter w:val="1"/>
                <w:wAfter w:w="50" w:type="dxa"/>
                <w:trHeight w:val="291"/>
              </w:trPr>
              <w:tc>
                <w:tcPr>
                  <w:tcW w:w="2048" w:type="dxa"/>
                  <w:shd w:val="clear" w:color="auto" w:fill="auto"/>
                  <w:tcMar>
                    <w:top w:w="72" w:type="dxa"/>
                    <w:left w:w="144" w:type="dxa"/>
                    <w:bottom w:w="72" w:type="dxa"/>
                    <w:right w:w="144" w:type="dxa"/>
                  </w:tcMar>
                  <w:hideMark/>
                </w:tcPr>
                <w:p w:rsidR="009861E9" w:rsidRPr="005C584F" w:rsidRDefault="009861E9" w:rsidP="004F1068">
                  <w:pPr>
                    <w:jc w:val="both"/>
                    <w:rPr>
                      <w:szCs w:val="24"/>
                    </w:rPr>
                  </w:pPr>
                  <w:r w:rsidRPr="005C584F">
                    <w:rPr>
                      <w:szCs w:val="24"/>
                    </w:rPr>
                    <w:t>IT</w:t>
                  </w:r>
                </w:p>
              </w:tc>
              <w:tc>
                <w:tcPr>
                  <w:tcW w:w="1248"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100</w:t>
                  </w:r>
                </w:p>
              </w:tc>
              <w:tc>
                <w:tcPr>
                  <w:tcW w:w="1231"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26</w:t>
                  </w:r>
                </w:p>
              </w:tc>
              <w:tc>
                <w:tcPr>
                  <w:tcW w:w="1231"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32</w:t>
                  </w:r>
                </w:p>
              </w:tc>
              <w:tc>
                <w:tcPr>
                  <w:tcW w:w="1315"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39</w:t>
                  </w:r>
                </w:p>
              </w:tc>
              <w:tc>
                <w:tcPr>
                  <w:tcW w:w="1313"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p>
              </w:tc>
              <w:tc>
                <w:tcPr>
                  <w:tcW w:w="1279"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9,5</w:t>
                  </w:r>
                </w:p>
              </w:tc>
            </w:tr>
            <w:tr w:rsidR="009861E9" w:rsidRPr="005C584F" w:rsidTr="00A95075">
              <w:trPr>
                <w:gridAfter w:val="1"/>
                <w:wAfter w:w="50" w:type="dxa"/>
                <w:trHeight w:val="303"/>
              </w:trPr>
              <w:tc>
                <w:tcPr>
                  <w:tcW w:w="2048" w:type="dxa"/>
                  <w:shd w:val="clear" w:color="auto" w:fill="auto"/>
                  <w:tcMar>
                    <w:top w:w="72" w:type="dxa"/>
                    <w:left w:w="144" w:type="dxa"/>
                    <w:bottom w:w="72" w:type="dxa"/>
                    <w:right w:w="144" w:type="dxa"/>
                  </w:tcMar>
                  <w:hideMark/>
                </w:tcPr>
                <w:p w:rsidR="009861E9" w:rsidRPr="005C584F" w:rsidRDefault="009861E9" w:rsidP="004F1068">
                  <w:pPr>
                    <w:jc w:val="both"/>
                    <w:rPr>
                      <w:szCs w:val="24"/>
                    </w:rPr>
                  </w:pPr>
                  <w:r w:rsidRPr="005C584F">
                    <w:rPr>
                      <w:szCs w:val="24"/>
                    </w:rPr>
                    <w:t>Rusų kalba</w:t>
                  </w:r>
                </w:p>
              </w:tc>
              <w:tc>
                <w:tcPr>
                  <w:tcW w:w="1248"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100</w:t>
                  </w:r>
                </w:p>
              </w:tc>
              <w:tc>
                <w:tcPr>
                  <w:tcW w:w="1231"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50</w:t>
                  </w:r>
                </w:p>
              </w:tc>
              <w:tc>
                <w:tcPr>
                  <w:tcW w:w="1231"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p>
              </w:tc>
              <w:tc>
                <w:tcPr>
                  <w:tcW w:w="1315"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p>
              </w:tc>
              <w:tc>
                <w:tcPr>
                  <w:tcW w:w="1313"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p>
              </w:tc>
              <w:tc>
                <w:tcPr>
                  <w:tcW w:w="1279" w:type="dxa"/>
                  <w:shd w:val="clear" w:color="auto" w:fill="auto"/>
                  <w:tcMar>
                    <w:top w:w="72" w:type="dxa"/>
                    <w:left w:w="144" w:type="dxa"/>
                    <w:bottom w:w="72" w:type="dxa"/>
                    <w:right w:w="144" w:type="dxa"/>
                  </w:tcMar>
                  <w:hideMark/>
                </w:tcPr>
                <w:p w:rsidR="009861E9" w:rsidRPr="005C584F" w:rsidRDefault="009861E9" w:rsidP="004F1068">
                  <w:pPr>
                    <w:jc w:val="center"/>
                    <w:rPr>
                      <w:szCs w:val="24"/>
                    </w:rPr>
                  </w:pPr>
                  <w:r w:rsidRPr="005C584F">
                    <w:rPr>
                      <w:szCs w:val="24"/>
                    </w:rPr>
                    <w:t>9</w:t>
                  </w:r>
                </w:p>
              </w:tc>
            </w:tr>
          </w:tbl>
          <w:p w:rsidR="00D12FE8" w:rsidRPr="005C584F" w:rsidRDefault="00F31CB6" w:rsidP="005E530C">
            <w:pPr>
              <w:spacing w:line="276" w:lineRule="auto"/>
              <w:jc w:val="both"/>
              <w:rPr>
                <w:bCs/>
                <w:sz w:val="24"/>
                <w:szCs w:val="24"/>
              </w:rPr>
            </w:pPr>
            <w:r w:rsidRPr="005C584F">
              <w:rPr>
                <w:bCs/>
                <w:sz w:val="24"/>
                <w:szCs w:val="24"/>
              </w:rPr>
              <w:t xml:space="preserve">VBE rezultatai lyginant su praėjusiais metais prastėjo, bet mokinių gauti rezultatai koreliuoja su mokymosi lygmeniu, PUPP rezultatais. Tai yra 2021 metų abiturientų laida egzaminus išlaikė </w:t>
            </w:r>
            <w:r w:rsidR="00A95075" w:rsidRPr="005C584F">
              <w:rPr>
                <w:bCs/>
                <w:sz w:val="24"/>
                <w:szCs w:val="24"/>
              </w:rPr>
              <w:t>pagal savo mokymosi gabumus ir galimybes.</w:t>
            </w:r>
          </w:p>
          <w:p w:rsidR="00A95075" w:rsidRPr="005C584F" w:rsidRDefault="00A95075" w:rsidP="005E530C">
            <w:pPr>
              <w:spacing w:line="276" w:lineRule="auto"/>
              <w:jc w:val="both"/>
              <w:rPr>
                <w:bCs/>
                <w:sz w:val="24"/>
                <w:szCs w:val="24"/>
              </w:rPr>
            </w:pPr>
            <w:r w:rsidRPr="005C584F">
              <w:rPr>
                <w:bCs/>
                <w:noProof/>
                <w:szCs w:val="24"/>
                <w:lang w:val="en-US"/>
              </w:rPr>
              <w:drawing>
                <wp:inline distT="0" distB="0" distL="0" distR="0">
                  <wp:extent cx="6196965" cy="2125345"/>
                  <wp:effectExtent l="0" t="0" r="13335" b="8255"/>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95075" w:rsidRPr="005C584F" w:rsidRDefault="001C5B47" w:rsidP="005E530C">
            <w:pPr>
              <w:spacing w:line="276" w:lineRule="auto"/>
              <w:jc w:val="both"/>
              <w:rPr>
                <w:bCs/>
                <w:sz w:val="24"/>
                <w:szCs w:val="24"/>
              </w:rPr>
            </w:pPr>
            <w:r w:rsidRPr="005C584F">
              <w:rPr>
                <w:bCs/>
                <w:sz w:val="24"/>
                <w:szCs w:val="24"/>
              </w:rPr>
              <w:t xml:space="preserve">Nerimą kelia pastoviai žemi biologijos, istorijos, IT, matematikos rezultatai. </w:t>
            </w:r>
            <w:r w:rsidR="00A91FA4" w:rsidRPr="005C584F">
              <w:rPr>
                <w:bCs/>
                <w:sz w:val="24"/>
                <w:szCs w:val="24"/>
              </w:rPr>
              <w:t>Pagal susitarimą mokytojai dirbantys su abiturientais, kurie laikys jų dalyko egzaminą, sudarys pažangos planą, fiksuos (nemažiau kaip 2 kartus) prognozuojamus egzamino rezultatus, o administracija analizuos duomenis ir priims būtinus sprendimus pokyčiams.</w:t>
            </w:r>
          </w:p>
          <w:p w:rsidR="00801EA0" w:rsidRPr="005C584F" w:rsidRDefault="00801EA0" w:rsidP="00801EA0">
            <w:pPr>
              <w:jc w:val="both"/>
              <w:rPr>
                <w:b/>
                <w:sz w:val="24"/>
                <w:szCs w:val="24"/>
              </w:rPr>
            </w:pPr>
            <w:r w:rsidRPr="005C584F">
              <w:rPr>
                <w:b/>
                <w:sz w:val="24"/>
                <w:szCs w:val="24"/>
              </w:rPr>
              <w:t>Turto ir lėšų administravimas, papildomų finansinių išteklių pritraukimas</w:t>
            </w:r>
          </w:p>
          <w:p w:rsidR="00C42A50" w:rsidRPr="005C584F" w:rsidRDefault="00C42A50" w:rsidP="00C42A50">
            <w:pPr>
              <w:jc w:val="both"/>
              <w:rPr>
                <w:sz w:val="24"/>
                <w:szCs w:val="24"/>
              </w:rPr>
            </w:pPr>
            <w:r w:rsidRPr="005C584F">
              <w:rPr>
                <w:sz w:val="24"/>
                <w:szCs w:val="24"/>
                <w:shd w:val="clear" w:color="auto" w:fill="FFFFFF"/>
              </w:rPr>
              <w:t>Mokyklos biudžetas buvo sudarytas iš mokymo lėšų 583 700 Eur (2020 m. - 526 700 Eur, 2019 m. – 451 600 Eur),savivaldybės lėšų 363 700 Eur (2020 m. - 338 900 Eur, 2019 m. – 382 600 Eur), valstybės lėšos skirtos gimnazijos išlaikymui 29 000,00 Eur,valstybės lėšų mokinių maitinimo 28 200 Eur, specialiųjų lėšų 16 400 Eur, valstybės lėšų skirtų skaitmeniniam turiniui įsigyti 5 100 Eur, valstybės lėšų konsultacijoms 3 800 Eur. 2021 m. Stakliškių gimnazijos biudžetą sudarė 1 029 900 Eur (2020 m. – 912 000 Eur, 2019 m. – 876 800 Eur). Įstaigoje formuojama finansų politika, suburtos viešųjų pirkimų organizavimo, turto nurašymo, turto inventorizacijos komisijos. 2021 m. gruodžio 31 d. ilgalaikio turto, valdomo patikėjimo teise, įsigijimo savikaina sudarė 1 665 053,68 Eur. Turtas, naudojamas pagal panaudos sutartis, sudaro 43 861,27 Eur. Įsiskolinimų iš mokinio krepšelio neliko. Lėšos panaudotos pagal paskirtį. Savivaldybės skirtų lėšų savarankiškoms funkcijoms atlikti pakako. Įsiskolinimas liko už gruodžio mėn. komunalines, ryšio, transporto panaudojimo ir kt. paslaugas. 2021 m. gauta parama pagal GPM 1,2% - 1 235,13 Eur.</w:t>
            </w:r>
          </w:p>
          <w:p w:rsidR="001C5B47" w:rsidRPr="005C584F" w:rsidRDefault="001C5B47" w:rsidP="001C5B47">
            <w:pPr>
              <w:jc w:val="both"/>
              <w:rPr>
                <w:rFonts w:eastAsiaTheme="minorHAnsi"/>
                <w:b/>
                <w:bCs/>
                <w:sz w:val="24"/>
                <w:szCs w:val="24"/>
                <w:lang w:eastAsia="lt-LT"/>
              </w:rPr>
            </w:pPr>
            <w:r w:rsidRPr="005C584F">
              <w:rPr>
                <w:rFonts w:eastAsiaTheme="minorHAnsi"/>
                <w:b/>
                <w:bCs/>
                <w:sz w:val="24"/>
                <w:szCs w:val="24"/>
                <w:lang w:eastAsia="lt-LT"/>
              </w:rPr>
              <w:t>Strateginio plano įgyvendinimas</w:t>
            </w:r>
          </w:p>
          <w:p w:rsidR="005E530C" w:rsidRPr="005C584F" w:rsidRDefault="005E530C" w:rsidP="00DB758A">
            <w:pPr>
              <w:jc w:val="both"/>
              <w:rPr>
                <w:sz w:val="24"/>
                <w:szCs w:val="24"/>
              </w:rPr>
            </w:pPr>
            <w:r w:rsidRPr="005C584F">
              <w:rPr>
                <w:rFonts w:eastAsiaTheme="minorHAnsi"/>
                <w:sz w:val="24"/>
                <w:szCs w:val="24"/>
                <w:lang w:eastAsia="lt-LT"/>
              </w:rPr>
              <w:t xml:space="preserve">Prienų r. Stakliškių gimnazijos 2019 m. birželio 14 d. direktoriaus įsakymu Nr. V-124 patvirtinto Prienų r. Stakliškių gimnazijos 2019-2021 strateginio veiklos plano vizija: </w:t>
            </w:r>
            <w:r w:rsidRPr="005C584F">
              <w:rPr>
                <w:sz w:val="24"/>
                <w:szCs w:val="24"/>
              </w:rPr>
              <w:t xml:space="preserve">veikianti pagal integruoto ugdymo modelį, skatinanti mąstymo kultūrą, atvira bendruomenei, inovatyvi, nuolat besimokanti ir </w:t>
            </w:r>
            <w:r w:rsidRPr="005C584F">
              <w:rPr>
                <w:sz w:val="24"/>
                <w:szCs w:val="24"/>
              </w:rPr>
              <w:lastRenderedPageBreak/>
              <w:t>siekianti kiekvieno bendruomenės nario pažangos gimnazija.</w:t>
            </w:r>
          </w:p>
          <w:p w:rsidR="005E530C" w:rsidRPr="005C584F" w:rsidRDefault="005E530C" w:rsidP="005E530C">
            <w:pPr>
              <w:jc w:val="both"/>
              <w:rPr>
                <w:sz w:val="24"/>
                <w:szCs w:val="24"/>
              </w:rPr>
            </w:pPr>
            <w:r w:rsidRPr="005C584F">
              <w:rPr>
                <w:sz w:val="24"/>
                <w:szCs w:val="24"/>
              </w:rPr>
              <w:t>Prioritetai:</w:t>
            </w:r>
          </w:p>
          <w:p w:rsidR="00A91FA4" w:rsidRPr="005C584F" w:rsidRDefault="005E530C" w:rsidP="00D03D7F">
            <w:pPr>
              <w:pStyle w:val="ListParagraph"/>
              <w:numPr>
                <w:ilvl w:val="0"/>
                <w:numId w:val="1"/>
              </w:numPr>
              <w:tabs>
                <w:tab w:val="left" w:pos="425"/>
              </w:tabs>
              <w:spacing w:after="0"/>
              <w:ind w:left="0" w:firstLine="0"/>
              <w:jc w:val="both"/>
              <w:rPr>
                <w:sz w:val="24"/>
                <w:szCs w:val="24"/>
                <w:lang w:val="lt-LT" w:eastAsia="lt-LT"/>
              </w:rPr>
            </w:pPr>
            <w:r w:rsidRPr="005C584F">
              <w:rPr>
                <w:rFonts w:ascii="Times New Roman" w:hAnsi="Times New Roman"/>
                <w:b/>
                <w:sz w:val="24"/>
                <w:szCs w:val="24"/>
                <w:lang w:val="lt-LT"/>
              </w:rPr>
              <w:t>Mokinio pasiekimai ir pažanga, mąstymo ir integralumo skatinimas</w:t>
            </w:r>
            <w:r w:rsidRPr="005C584F">
              <w:rPr>
                <w:rFonts w:ascii="Times New Roman" w:hAnsi="Times New Roman"/>
                <w:sz w:val="24"/>
                <w:szCs w:val="24"/>
                <w:lang w:val="lt-LT"/>
              </w:rPr>
              <w:t xml:space="preserve">- </w:t>
            </w:r>
            <w:r w:rsidR="00A91FA4" w:rsidRPr="005C584F">
              <w:rPr>
                <w:rFonts w:ascii="Times New Roman" w:hAnsi="Times New Roman"/>
                <w:sz w:val="24"/>
                <w:szCs w:val="24"/>
                <w:lang w:val="lt-LT"/>
              </w:rPr>
              <w:t xml:space="preserve">2019 m. birželio 21 d. direktoriaus isakymu Nr. V-126 patvirtinta Prienų r. Stakliškių gimnazijos mokinių pasiekimų ir pažangos vertinimo tvarka. Iš mokinių apklausos paaiškėjo, kad 7,9 proc. mokinių kasdien aptaria pasiektus rezultatus, 44,1 proc. tai daro dažnai, o 46 proc. retai. 84 proc. mokinių teigia, kad mokytojai jiems padeda atskleisti gabumus. </w:t>
            </w:r>
            <w:r w:rsidR="00A91FA4" w:rsidRPr="005C584F">
              <w:rPr>
                <w:rFonts w:ascii="Times New Roman" w:hAnsi="Times New Roman"/>
                <w:color w:val="000000"/>
                <w:sz w:val="24"/>
                <w:szCs w:val="24"/>
                <w:lang w:val="lt-LT"/>
              </w:rPr>
              <w:t>2020 metais i</w:t>
            </w:r>
            <w:r w:rsidR="00A91FA4" w:rsidRPr="005C584F">
              <w:rPr>
                <w:rFonts w:ascii="Times New Roman" w:hAnsi="Times New Roman"/>
                <w:sz w:val="24"/>
                <w:szCs w:val="24"/>
                <w:lang w:val="lt-LT" w:eastAsia="lt-LT"/>
              </w:rPr>
              <w:t>š mokinių apklausos paaiškėjo, kad 87 proc. mokinių aptaria mokymosi sėkmes (tokios nuomonės laikosi 96 proc. tėvų bei 100 proc. mokytojų). 83 proc. mokinių teigia, kad mokytojai jiems padeda įsivertinti savo pažangą (tokios pat nuomonės laikosi ir 82 proc. tėvų bei 96 proc. mokytojų).  86 proc. mokinių ir 95 proc. tėvų teigia, kad mokytojai jiems padeda atskleisti gabumus. 98 proc. mokinių mokymasis yra svarbus (91 proc. tėvų nuomonė tokia pat.</w:t>
            </w:r>
          </w:p>
          <w:p w:rsidR="00304CF6" w:rsidRPr="005C584F" w:rsidRDefault="00A91FA4" w:rsidP="00935ABB">
            <w:pPr>
              <w:jc w:val="both"/>
              <w:rPr>
                <w:bCs/>
                <w:sz w:val="24"/>
                <w:szCs w:val="24"/>
              </w:rPr>
            </w:pPr>
            <w:r w:rsidRPr="005C584F">
              <w:rPr>
                <w:b/>
                <w:sz w:val="24"/>
                <w:szCs w:val="24"/>
                <w:lang w:eastAsia="lt-LT"/>
              </w:rPr>
              <w:t xml:space="preserve">2. </w:t>
            </w:r>
            <w:r w:rsidR="005E530C" w:rsidRPr="005C584F">
              <w:rPr>
                <w:b/>
                <w:sz w:val="24"/>
                <w:szCs w:val="24"/>
              </w:rPr>
              <w:t>Mokyklos pasiekimai ir pažanga. Pasiekimų ir pažangos pagrįstumas -</w:t>
            </w:r>
            <w:r w:rsidR="00304CF6" w:rsidRPr="005C584F">
              <w:rPr>
                <w:bCs/>
                <w:sz w:val="24"/>
                <w:szCs w:val="24"/>
              </w:rPr>
              <w:t>2019 m.</w:t>
            </w:r>
            <w:r w:rsidR="00304CF6" w:rsidRPr="005C584F">
              <w:rPr>
                <w:sz w:val="24"/>
                <w:szCs w:val="24"/>
              </w:rPr>
              <w:t>visi VBE rezultatai gerėjo, o lietuvių kalbos ir literatūros bei anglų kalbos rezultatai geresni nei šalies ar rajono vidurkis. Gimnazijos mokinių pažangumas buvo 100 procentų. Bendra gimnazijos mokinių per metus padaryta pažanga buvo +0,21. Mokinių pasiskirstymas pagal mokymosi lygmenį rodo, kad gimnazijoje yra l0 procentų mokinių pasiekusių aukštesnį lygmenį, 32 procentai - pagrindinį ir 58 procentai -  patenkinamą. Aukštesnio lygmens pasiekusių mokinių skaičius padidėjo 10 procentų.2020 metų VBE rezultatai gerėjo. Gimnazijos mokinių pažangumas buvo 99 %. Bendra gimnazijos mokinių per metus padaryta pažanga +0,07. Mokinių pasiskirstymas pagal mokymosi lygmenį rodo, kad gimnazijoje yra 7 % mokinių pasiekusių aukštesnį lygmenį, 34 % - pagrindinį ir 58 % patenkinamą.</w:t>
            </w:r>
            <w:r w:rsidR="00304CF6" w:rsidRPr="005C584F">
              <w:rPr>
                <w:bCs/>
                <w:sz w:val="24"/>
                <w:szCs w:val="24"/>
              </w:rPr>
              <w:t xml:space="preserve">2021 metų VBE rezultatai buvo žemesni nei šalies ar rajono vidurkis, bet mokiniai išlaikė aukščiau savo mokymosi galimybių. Gimnazijos mokinių pažangumas buvo 100 %. </w:t>
            </w:r>
            <w:r w:rsidR="00304CF6" w:rsidRPr="005C584F">
              <w:rPr>
                <w:sz w:val="24"/>
                <w:szCs w:val="24"/>
              </w:rPr>
              <w:t>Bendra gimnazijos mokinių per metus padaryta pažanga +0,17. Mokinių pasiskirstymas pagal mokymosi lygmenį rodo, kad gimnazijoje yra 10 % mokinių pasiekusių aukštesnį lygmenį, 36% - pagrindinį ir 51 % patenkinamą.</w:t>
            </w:r>
          </w:p>
          <w:p w:rsidR="00304CF6" w:rsidRPr="005C584F" w:rsidRDefault="005E530C" w:rsidP="00FC6AA9">
            <w:pPr>
              <w:pStyle w:val="ListParagraph"/>
              <w:numPr>
                <w:ilvl w:val="0"/>
                <w:numId w:val="3"/>
              </w:numPr>
              <w:tabs>
                <w:tab w:val="left" w:pos="447"/>
              </w:tabs>
              <w:spacing w:after="0"/>
              <w:ind w:left="0" w:firstLine="0"/>
              <w:jc w:val="both"/>
              <w:rPr>
                <w:rFonts w:ascii="Times New Roman" w:hAnsi="Times New Roman"/>
                <w:bCs/>
                <w:sz w:val="24"/>
                <w:szCs w:val="24"/>
                <w:lang w:val="lt-LT"/>
              </w:rPr>
            </w:pPr>
            <w:r w:rsidRPr="005C584F">
              <w:rPr>
                <w:rFonts w:ascii="Times New Roman" w:hAnsi="Times New Roman"/>
                <w:b/>
                <w:sz w:val="24"/>
                <w:szCs w:val="24"/>
                <w:lang w:val="lt-LT"/>
              </w:rPr>
              <w:t>Ugdymo organizavimas. Diferencijavimas, individualizavimas, suasmeninimas</w:t>
            </w:r>
            <w:r w:rsidRPr="005C584F">
              <w:rPr>
                <w:rFonts w:ascii="Times New Roman" w:hAnsi="Times New Roman"/>
                <w:sz w:val="24"/>
                <w:szCs w:val="24"/>
                <w:lang w:val="lt-LT"/>
              </w:rPr>
              <w:t xml:space="preserve"> - </w:t>
            </w:r>
            <w:r w:rsidR="00935ABB" w:rsidRPr="005C584F">
              <w:rPr>
                <w:rFonts w:ascii="Times New Roman" w:hAnsi="Times New Roman"/>
                <w:sz w:val="24"/>
                <w:szCs w:val="24"/>
                <w:lang w:val="lt-LT"/>
              </w:rPr>
              <w:t>i</w:t>
            </w:r>
            <w:r w:rsidR="00304CF6" w:rsidRPr="005C584F">
              <w:rPr>
                <w:rFonts w:ascii="Times New Roman" w:hAnsi="Times New Roman"/>
                <w:sz w:val="24"/>
                <w:szCs w:val="24"/>
                <w:lang w:val="lt-LT"/>
              </w:rPr>
              <w:t xml:space="preserve">š mokytojų savianalizės duomenų matyti, kad 80 proc. mokytojų panaudojo ne mažiau kaip du naujus metodus savo pamokose. 60 proc. mokytojų dalinosi patirtimi su kolegomis. Mokytojai standartizuotų testų, egzaminų rezultatus analizuoja mokytojų tarybos posėdžiuose ir metodinėse grupėse. </w:t>
            </w:r>
            <w:r w:rsidR="00304CF6" w:rsidRPr="005C584F">
              <w:rPr>
                <w:rFonts w:ascii="Times New Roman" w:hAnsi="Times New Roman"/>
                <w:bCs/>
                <w:sz w:val="24"/>
                <w:szCs w:val="24"/>
                <w:lang w:val="lt-LT"/>
              </w:rPr>
              <w:t>91 proc. mokinių teigė, kad mokytojai juos skatina bendradarbiauti (tokios nuomonės ir 93 proc. tėvų). 74 proc. mokinių teigia, kad kartu su mokytojais įsitraukia į mokymosi planavimą (taip mano ir 82 proc. tėvų). 80 proc. mokinių mano, kad mokytojai atsižvelgia į jų nuomonę (tokią nuomonę palaiko ir 86 proc. tėvų bei 100 proc. mokytojų).</w:t>
            </w:r>
          </w:p>
          <w:p w:rsidR="00627327" w:rsidRPr="005C584F" w:rsidRDefault="00304CF6" w:rsidP="00935ABB">
            <w:pPr>
              <w:jc w:val="both"/>
              <w:rPr>
                <w:sz w:val="24"/>
                <w:szCs w:val="24"/>
              </w:rPr>
            </w:pPr>
            <w:r w:rsidRPr="005C584F">
              <w:rPr>
                <w:b/>
                <w:bCs/>
                <w:sz w:val="24"/>
                <w:szCs w:val="24"/>
              </w:rPr>
              <w:t xml:space="preserve">4. </w:t>
            </w:r>
            <w:r w:rsidR="005E530C" w:rsidRPr="005C584F">
              <w:rPr>
                <w:b/>
                <w:sz w:val="24"/>
                <w:szCs w:val="24"/>
              </w:rPr>
              <w:t>Perspektyva ir bendruomenės susitarimai. Optimalus išteklių paskirstymas -</w:t>
            </w:r>
            <w:r w:rsidR="00627327" w:rsidRPr="005C584F">
              <w:rPr>
                <w:bCs/>
                <w:sz w:val="24"/>
                <w:szCs w:val="24"/>
              </w:rPr>
              <w:t>2019 metais</w:t>
            </w:r>
            <w:r w:rsidR="00627327" w:rsidRPr="005C584F">
              <w:rPr>
                <w:sz w:val="24"/>
                <w:szCs w:val="24"/>
              </w:rPr>
              <w:t>atnaujintas Stakliškių darželis, pastatyta tvora, įrengta vaikų žaidimų aikštelė (Stakliškėse ir Pieštuvėnuose), atnaujintos dalis gimnazijos 2 ir 3 aukšto kabinetų, atnaujintos valgyklos patalpos. 2020 m. Pieštuvėnų darželyje atlikti darbai: stogo remontas (apskardintas kraigas, ventiliacijos kaminai, pusei stogo sudėti lietaus latakai), kosmetinis remontas miegamojo patalpoje, santechnikos naujinimo darbai prausykloje ir virtuvėlėje, sutvarkytas pandusas ir lauko laiptai. Stakliškių gimnazijoje baigtas visų klasių remontas, atnaujintos erdvės, sukurtos mokymosi erdvės lauke.</w:t>
            </w:r>
            <w:r w:rsidR="00627327" w:rsidRPr="005C584F">
              <w:rPr>
                <w:bCs/>
                <w:sz w:val="24"/>
                <w:szCs w:val="24"/>
              </w:rPr>
              <w:t>2021 metais Pieštuvėnų darželyje pastatyta nauja tvora, gimnazijoje atnaujintas stadionas, krepšinio aikštelė, bėgimo takai, tinklinio aikštelė, renovuota šildymo sistema, suremontuota aktų salė, suremontuotos techninės patalpos, ap</w:t>
            </w:r>
            <w:r w:rsidR="00627327" w:rsidRPr="005C584F">
              <w:rPr>
                <w:sz w:val="24"/>
                <w:szCs w:val="24"/>
              </w:rPr>
              <w:t>šiltinta pagrindinė palėpės dalis, vyko gaisrinių hidrantų atnaujinimo darbai. Stakliškių gimnazijos darželis gavo higienos pasą.</w:t>
            </w:r>
          </w:p>
          <w:p w:rsidR="00627327" w:rsidRPr="005C584F" w:rsidRDefault="00627327" w:rsidP="00935ABB">
            <w:pPr>
              <w:tabs>
                <w:tab w:val="left" w:pos="426"/>
              </w:tabs>
              <w:jc w:val="both"/>
              <w:rPr>
                <w:bCs/>
                <w:sz w:val="24"/>
                <w:szCs w:val="24"/>
              </w:rPr>
            </w:pPr>
            <w:r w:rsidRPr="005C584F">
              <w:rPr>
                <w:b/>
                <w:bCs/>
                <w:sz w:val="24"/>
                <w:szCs w:val="24"/>
              </w:rPr>
              <w:t xml:space="preserve">5. </w:t>
            </w:r>
            <w:r w:rsidR="005E530C" w:rsidRPr="005C584F">
              <w:rPr>
                <w:b/>
                <w:bCs/>
                <w:sz w:val="24"/>
                <w:szCs w:val="24"/>
              </w:rPr>
              <w:t>Perspektyva ir bendruomenės susitarimai. Sprendimų pagrįstumas -</w:t>
            </w:r>
            <w:r w:rsidR="00935ABB" w:rsidRPr="005C584F">
              <w:rPr>
                <w:bCs/>
                <w:sz w:val="24"/>
                <w:szCs w:val="24"/>
              </w:rPr>
              <w:t>v</w:t>
            </w:r>
            <w:r w:rsidRPr="005C584F">
              <w:rPr>
                <w:sz w:val="24"/>
                <w:szCs w:val="24"/>
              </w:rPr>
              <w:t xml:space="preserve">isi mokytojai pripažino, kad gimnazijoje sudarytos sąlygos dalyvauti sprendimų priėmime dėl mokyklos veiklos bei teikti savo iniciatyvas, o 60 proc. mokytojų teikia tokias iniciatyvas ir jas įgyvendina. </w:t>
            </w:r>
            <w:r w:rsidRPr="005C584F">
              <w:rPr>
                <w:bCs/>
                <w:sz w:val="24"/>
                <w:szCs w:val="24"/>
              </w:rPr>
              <w:t xml:space="preserve">2 mokyklos </w:t>
            </w:r>
            <w:r w:rsidRPr="005C584F">
              <w:rPr>
                <w:bCs/>
                <w:sz w:val="24"/>
                <w:szCs w:val="24"/>
              </w:rPr>
              <w:lastRenderedPageBreak/>
              <w:t>darbuotojai mokosi ir ruošiasi laikyti egzaminus, kad papultų į vadovų rezervą. Sklandus darbas nuotoliniu būdu parodo komandos sutelktumą ir mokytojų lyderystę dirbant kartu nuolatinių iššūkių sąlygomis.</w:t>
            </w:r>
          </w:p>
          <w:p w:rsidR="005E530C" w:rsidRPr="005C584F" w:rsidRDefault="00627327" w:rsidP="00627327">
            <w:pPr>
              <w:jc w:val="both"/>
              <w:rPr>
                <w:bCs/>
                <w:sz w:val="24"/>
                <w:szCs w:val="24"/>
              </w:rPr>
            </w:pPr>
            <w:r w:rsidRPr="005C584F">
              <w:rPr>
                <w:b/>
                <w:bCs/>
                <w:sz w:val="24"/>
                <w:szCs w:val="24"/>
              </w:rPr>
              <w:t xml:space="preserve">6. </w:t>
            </w:r>
            <w:r w:rsidR="005E530C" w:rsidRPr="005C584F">
              <w:rPr>
                <w:b/>
                <w:sz w:val="24"/>
                <w:szCs w:val="24"/>
              </w:rPr>
              <w:t>Vertinimas ugdymui. Vertinimo įvairovė ir pažangą skatinantis grįžtamasis ryšys -</w:t>
            </w:r>
            <w:r w:rsidRPr="005C584F">
              <w:rPr>
                <w:sz w:val="24"/>
                <w:szCs w:val="24"/>
              </w:rPr>
              <w:t xml:space="preserve">2019 m. birželio 21 d. direktoriaus įsakymu Nr. V-l26 patvirtinta Prienų r. Stakliškių gimnazijos mokinių pasiekimų ir pažangos vertinimo tvarka. 50 proc. </w:t>
            </w:r>
            <w:r w:rsidR="00334103" w:rsidRPr="005C584F">
              <w:rPr>
                <w:sz w:val="24"/>
                <w:szCs w:val="24"/>
              </w:rPr>
              <w:t>stebėtų</w:t>
            </w:r>
            <w:r w:rsidRPr="005C584F">
              <w:rPr>
                <w:sz w:val="24"/>
                <w:szCs w:val="24"/>
              </w:rPr>
              <w:t xml:space="preserve"> pamokų vertinimo kriterijai buvo aiškūs ir aptarti su mokiniais. 98 proc. mokinių teigia, kad su jais mokytojai aptaria mokymosi rezultatus ir padarytą pažangą. 89 proc. mokinių pažymėjo, kad įsivertina pamokose. 2020 metais Sukurtos rekomendacijos mokytojams dėl vertinimo objektyvumo. </w:t>
            </w:r>
            <w:r w:rsidRPr="005C584F">
              <w:rPr>
                <w:sz w:val="24"/>
                <w:szCs w:val="24"/>
                <w:lang w:eastAsia="lt-LT"/>
              </w:rPr>
              <w:t>87 proc. mokinių aptarė mokymosi sėkmes (tokios nuomonės laikėsi 96 proc. tėvų bei 100 proc. mokytojų). 76 proc. mokinių nebijo suklysti pamokos metu (tokios nuomonės laikėsi 86 proc. tėvų bei 96 proc. mokytojų). 92 proc. mokinių vertinimas buvo aiškus (tokios nuomonės laikosi 91 proc. tėvų bei 100 proc. mokytojų).</w:t>
            </w:r>
          </w:p>
          <w:p w:rsidR="00E17397" w:rsidRPr="005C584F" w:rsidRDefault="00627327" w:rsidP="00935ABB">
            <w:pPr>
              <w:tabs>
                <w:tab w:val="left" w:pos="382"/>
              </w:tabs>
              <w:jc w:val="both"/>
              <w:rPr>
                <w:sz w:val="24"/>
                <w:szCs w:val="24"/>
              </w:rPr>
            </w:pPr>
            <w:r w:rsidRPr="005C584F">
              <w:rPr>
                <w:b/>
                <w:sz w:val="24"/>
                <w:szCs w:val="24"/>
              </w:rPr>
              <w:t xml:space="preserve">7. </w:t>
            </w:r>
            <w:r w:rsidR="005E530C" w:rsidRPr="005C584F">
              <w:rPr>
                <w:b/>
                <w:sz w:val="24"/>
                <w:szCs w:val="24"/>
              </w:rPr>
              <w:t>Veikimas kartu. Bendradarbiavimo kultūra</w:t>
            </w:r>
            <w:r w:rsidR="005E530C" w:rsidRPr="005C584F">
              <w:rPr>
                <w:sz w:val="24"/>
                <w:szCs w:val="24"/>
              </w:rPr>
              <w:t xml:space="preserve"> - </w:t>
            </w:r>
            <w:r w:rsidR="00362B43" w:rsidRPr="005C584F">
              <w:rPr>
                <w:bCs/>
                <w:sz w:val="24"/>
                <w:szCs w:val="24"/>
              </w:rPr>
              <w:t xml:space="preserve">2019 metų balandžio mėnesį gimnazijoje vyko respublikine konferencija ,,Šiuolaikinė mokykla: nuo įsivertinimo iki pažangos", kurioje su kitų mokyklų mokytojais buvo dalintasi patirtimi. Kartu komandose ruošiamas strateginis, veiklos, ugdymo planai. Dalyvauta bendruose mokymuose, stiprinant mokytojų komunikavimo ir bendradarbiavimo kompetencijas: kovo </w:t>
            </w:r>
            <w:r w:rsidR="00334103" w:rsidRPr="005C584F">
              <w:rPr>
                <w:bCs/>
                <w:sz w:val="24"/>
                <w:szCs w:val="24"/>
              </w:rPr>
              <w:t>mėn.</w:t>
            </w:r>
            <w:r w:rsidR="00362B43" w:rsidRPr="005C584F">
              <w:rPr>
                <w:bCs/>
                <w:sz w:val="24"/>
                <w:szCs w:val="24"/>
              </w:rPr>
              <w:t xml:space="preserve"> mokytojai dalyvavo seminare ,,Interaktyvi pamoka - žaismingas ir aktyvus ugdymas(is)“, rugpjūčio mėnesį - seminare ,,Vertinimas ir įsivertinimas. Praktiniai pavyzdžiai", spalio mėnesį Mokytojų dienos renginyje, o gruodžio mėnesį dalyvavo savęs pažinimo mokymuose. 2019 metais </w:t>
            </w:r>
            <w:r w:rsidR="00362B43" w:rsidRPr="005C584F">
              <w:rPr>
                <w:sz w:val="24"/>
                <w:szCs w:val="24"/>
              </w:rPr>
              <w:t xml:space="preserve">įvyko 112 išvykų: 37 išvykos į konkursus ir olimpiadas, 57 išvykos organizuojant netradicines, integruotas pamokas, edukacijas, 20 išvykų į sporto varžybas, 4 išvykos į šventes ir festivalius, renginius. 2020 metais 74 proc. mokinių manė, kad jiems sekasi nuotolinis mokymas (tėvai galvoja, kad 77 proc. mokinių sekasi, o mokytojai – 81 proc.). Kartu komandose buvo ruošiamas veiklos, ugdymo planai. Dalyvauta bendruose mokymuose, stiprinant mokytojų komunikavimo ir bendradarbiavimo kompetencijas: 2020-02-20 „Mokinių įsivertinimas, asmeninės pažangos stebėjimas ir fiksavimas“, 2020-06-18 „Atsakomybė mokyti ir mokytis: veikiame kartu!”, 2020-09-24 „Diferencijavimas ir individualizavimas pamokoje“, 2020-12-03 „Veiksniai, įtakojantys sėkmingą specialiųjų ugdymo(si) poreikių turinčių mokinių įtrauktį pamokoje“, 2020-12-23 „Kas yra emocinis intelektas, kuo jis svarbus ir kaip jį ugdyti?“. </w:t>
            </w:r>
            <w:r w:rsidR="00362B43" w:rsidRPr="005C584F">
              <w:rPr>
                <w:kern w:val="24"/>
                <w:sz w:val="24"/>
                <w:szCs w:val="24"/>
              </w:rPr>
              <w:t>2</w:t>
            </w:r>
            <w:r w:rsidR="00362B43" w:rsidRPr="005C584F">
              <w:rPr>
                <w:sz w:val="24"/>
                <w:szCs w:val="24"/>
              </w:rPr>
              <w:t>020 m. įvyko 36 išvykos: 17 išvykų į konkursus ir olimpiadas, 14 išvykų organizuojant netradicines, integruotas pamokas, edukacijas, 5 išvykos į šventes ir festivalius. 2021 m. buvo organizuota 57 išvykos: 45 išvykos organizuojant netradicines, integruotas pamokas, edukacijas, 12 išvykų į šventes ir festivalius, konkursus, vertinimus. Kryptingas vaikų mokymosi mokytis kompetencijų ugdymas taikant „Mąstymo įpročių metodą“ seminarai: 2021-03-19, 2021-09-29, 2021-10-26 ir 2021-12-20.</w:t>
            </w:r>
            <w:r w:rsidR="00E17397" w:rsidRPr="005C584F">
              <w:rPr>
                <w:sz w:val="24"/>
                <w:szCs w:val="24"/>
              </w:rPr>
              <w:t xml:space="preserve"> Kartu su mokytojais tobulintasi ugdymo turinio atnaujinimo ir darbo su specialiųjų poreikių mokiniais renginiuose. Suorganizuoti tradiciniai renginiai: Rugsėjo pirmosios šventė, Kalbų diena, Mokytojų diena, Konstitucijos diena, Kariuomenės diena, šventė „Kalėdų belaukiant“, Karjeros diena, Sausio 13, Vasario 16 bei Kovo 11 akcijos, Sporto šventės, Mokslo metų užbaigimo ir kitos.</w:t>
            </w:r>
            <w:r w:rsidR="002032AF" w:rsidRPr="005C584F">
              <w:rPr>
                <w:sz w:val="24"/>
                <w:szCs w:val="24"/>
                <w:lang w:eastAsia="lt-LT"/>
              </w:rPr>
              <w:t>2021 metais pravesta 10 seminarų ir užsiėmimų mokytojams, tėveliams ir mokiniams apie planavimo svarbą mokantis.</w:t>
            </w:r>
          </w:p>
          <w:p w:rsidR="00E64DC5" w:rsidRPr="005C584F" w:rsidRDefault="005E530C" w:rsidP="005E530C">
            <w:pPr>
              <w:jc w:val="both"/>
              <w:rPr>
                <w:b/>
                <w:sz w:val="24"/>
                <w:szCs w:val="24"/>
              </w:rPr>
            </w:pPr>
            <w:r w:rsidRPr="005C584F">
              <w:rPr>
                <w:bCs/>
                <w:sz w:val="24"/>
                <w:szCs w:val="24"/>
              </w:rPr>
              <w:t xml:space="preserve">Strateginis planas įgyvendintas </w:t>
            </w:r>
            <w:r w:rsidR="00362B43" w:rsidRPr="005C584F">
              <w:rPr>
                <w:bCs/>
                <w:sz w:val="24"/>
                <w:szCs w:val="24"/>
              </w:rPr>
              <w:t>100</w:t>
            </w:r>
            <w:r w:rsidRPr="005C584F">
              <w:rPr>
                <w:bCs/>
                <w:sz w:val="24"/>
                <w:szCs w:val="24"/>
              </w:rPr>
              <w:t xml:space="preserve"> %. </w:t>
            </w:r>
          </w:p>
          <w:p w:rsidR="002032AF" w:rsidRPr="005C584F" w:rsidRDefault="002032AF" w:rsidP="005E530C">
            <w:pPr>
              <w:jc w:val="both"/>
              <w:rPr>
                <w:b/>
                <w:sz w:val="24"/>
                <w:szCs w:val="24"/>
              </w:rPr>
            </w:pPr>
          </w:p>
          <w:p w:rsidR="005E530C" w:rsidRPr="005C584F" w:rsidRDefault="00362B43" w:rsidP="005E530C">
            <w:pPr>
              <w:jc w:val="both"/>
              <w:rPr>
                <w:b/>
                <w:sz w:val="24"/>
                <w:szCs w:val="24"/>
              </w:rPr>
            </w:pPr>
            <w:r w:rsidRPr="005C584F">
              <w:rPr>
                <w:b/>
                <w:sz w:val="24"/>
                <w:szCs w:val="24"/>
              </w:rPr>
              <w:t>Veiklos plano įgyvendinimo analizė</w:t>
            </w:r>
          </w:p>
          <w:p w:rsidR="005E530C" w:rsidRPr="005C584F" w:rsidRDefault="005E530C" w:rsidP="00935ABB">
            <w:pPr>
              <w:pStyle w:val="ListParagraph"/>
              <w:spacing w:after="0" w:line="240" w:lineRule="auto"/>
              <w:ind w:left="0"/>
              <w:jc w:val="both"/>
              <w:rPr>
                <w:rFonts w:ascii="Times New Roman" w:hAnsi="Times New Roman"/>
                <w:kern w:val="24"/>
                <w:sz w:val="24"/>
                <w:szCs w:val="24"/>
                <w:lang w:val="lt-LT"/>
              </w:rPr>
            </w:pPr>
            <w:r w:rsidRPr="005C584F">
              <w:rPr>
                <w:rFonts w:ascii="Times New Roman" w:eastAsiaTheme="minorHAnsi" w:hAnsi="Times New Roman"/>
                <w:sz w:val="24"/>
                <w:szCs w:val="24"/>
                <w:lang w:val="lt-LT" w:eastAsia="lt-LT"/>
              </w:rPr>
              <w:t xml:space="preserve">Prienų r. Stakliškių gimnazijos 2020 m. rugsėjo 3 d. direktoriaus įsakymu Nr. V-133 patvirtinto Prienų r. Stakliškių gimnazijos 2020-2021 mokslo metų veiklos plano </w:t>
            </w:r>
            <w:r w:rsidRPr="005C584F">
              <w:rPr>
                <w:rFonts w:ascii="Times New Roman" w:hAnsi="Times New Roman"/>
                <w:sz w:val="24"/>
                <w:szCs w:val="24"/>
                <w:lang w:val="lt-LT"/>
              </w:rPr>
              <w:t>prioritetas</w:t>
            </w:r>
            <w:r w:rsidRPr="005C584F">
              <w:rPr>
                <w:rFonts w:ascii="Times New Roman" w:hAnsi="Times New Roman"/>
                <w:b/>
                <w:sz w:val="24"/>
                <w:szCs w:val="24"/>
                <w:lang w:val="lt-LT"/>
              </w:rPr>
              <w:t xml:space="preserve">: </w:t>
            </w:r>
            <w:r w:rsidRPr="005C584F">
              <w:rPr>
                <w:rFonts w:ascii="Times New Roman" w:hAnsi="Times New Roman"/>
                <w:sz w:val="24"/>
                <w:szCs w:val="24"/>
                <w:lang w:val="lt-LT"/>
              </w:rPr>
              <w:t>mokinio pasiekimai ir pažanga bei mąstymo ir integralumo skatinimas</w:t>
            </w:r>
            <w:r w:rsidRPr="005C584F">
              <w:rPr>
                <w:rFonts w:ascii="Times New Roman" w:hAnsi="Times New Roman"/>
                <w:kern w:val="24"/>
                <w:sz w:val="24"/>
                <w:szCs w:val="24"/>
                <w:lang w:val="lt-LT"/>
              </w:rPr>
              <w:t xml:space="preserve">. </w:t>
            </w:r>
          </w:p>
          <w:p w:rsidR="005E530C" w:rsidRPr="005C584F" w:rsidRDefault="005E530C" w:rsidP="005E530C">
            <w:pPr>
              <w:tabs>
                <w:tab w:val="left" w:pos="1307"/>
              </w:tabs>
              <w:ind w:firstLine="851"/>
              <w:rPr>
                <w:b/>
                <w:sz w:val="24"/>
                <w:szCs w:val="24"/>
              </w:rPr>
            </w:pPr>
            <w:r w:rsidRPr="005C584F">
              <w:rPr>
                <w:b/>
                <w:sz w:val="24"/>
                <w:szCs w:val="24"/>
              </w:rPr>
              <w:t>Uždaviniai:</w:t>
            </w:r>
          </w:p>
          <w:p w:rsidR="005E530C" w:rsidRPr="005C584F" w:rsidRDefault="005E530C" w:rsidP="00E64DC5">
            <w:pPr>
              <w:pStyle w:val="Default"/>
              <w:jc w:val="both"/>
              <w:rPr>
                <w:rFonts w:ascii="Times New Roman" w:hAnsi="Times New Roman" w:cs="Times New Roman"/>
              </w:rPr>
            </w:pPr>
            <w:r w:rsidRPr="005C584F">
              <w:rPr>
                <w:rFonts w:ascii="Times New Roman" w:hAnsi="Times New Roman"/>
                <w:b/>
                <w:bCs/>
                <w:kern w:val="24"/>
              </w:rPr>
              <w:t>Telkti mokyklos bendruomenę bendrai veiklai</w:t>
            </w:r>
            <w:r w:rsidRPr="005C584F">
              <w:rPr>
                <w:rFonts w:ascii="Times New Roman" w:hAnsi="Times New Roman"/>
                <w:kern w:val="24"/>
              </w:rPr>
              <w:t xml:space="preserve"> – </w:t>
            </w:r>
            <w:r w:rsidR="00362B43" w:rsidRPr="005C584F">
              <w:rPr>
                <w:rFonts w:ascii="Times New Roman" w:hAnsi="Times New Roman" w:cs="Times New Roman"/>
              </w:rPr>
              <w:t>2021 m. buvo organizuota 57 išvykos: 45 išvykos organizuojant netradicines, integruotas pamokas, edukacijas, 12 išvykų į šventes ir festivalius, konkursus, vertinimus. Kryptingas vaikų mokymosi mokytis kompetencijų ugdymas taikant „Mąstymo įpročių metodą“ seminarai: 2021-03-19, 2021-09-29, 2021-10-26 ir 2021-12-20</w:t>
            </w:r>
            <w:r w:rsidRPr="005C584F">
              <w:rPr>
                <w:rFonts w:ascii="Times New Roman" w:hAnsi="Times New Roman" w:cs="Times New Roman"/>
              </w:rPr>
              <w:t>.</w:t>
            </w:r>
            <w:r w:rsidR="00E17397" w:rsidRPr="005C584F">
              <w:rPr>
                <w:rFonts w:ascii="Times New Roman" w:hAnsi="Times New Roman" w:cs="Times New Roman"/>
              </w:rPr>
              <w:t xml:space="preserve">Kartu su </w:t>
            </w:r>
            <w:r w:rsidR="00E17397" w:rsidRPr="005C584F">
              <w:rPr>
                <w:rFonts w:ascii="Times New Roman" w:hAnsi="Times New Roman" w:cs="Times New Roman"/>
              </w:rPr>
              <w:lastRenderedPageBreak/>
              <w:t xml:space="preserve">mokytojais tobulintasi ugdymo turinio atnaujinimo ir darbo su specialiųjų poreikių mokiniais renginiuose. </w:t>
            </w:r>
            <w:r w:rsidR="00897948" w:rsidRPr="005C584F">
              <w:rPr>
                <w:rFonts w:ascii="Times New Roman" w:hAnsi="Times New Roman" w:cs="Times New Roman"/>
              </w:rPr>
              <w:t xml:space="preserve">Suorganizuoti tradiciniai renginiai: </w:t>
            </w:r>
            <w:r w:rsidR="00E17397" w:rsidRPr="005C584F">
              <w:rPr>
                <w:rFonts w:ascii="Times New Roman" w:hAnsi="Times New Roman" w:cs="Times New Roman"/>
              </w:rPr>
              <w:t>R</w:t>
            </w:r>
            <w:r w:rsidR="00897948" w:rsidRPr="005C584F">
              <w:rPr>
                <w:rFonts w:ascii="Times New Roman" w:hAnsi="Times New Roman" w:cs="Times New Roman"/>
              </w:rPr>
              <w:t xml:space="preserve">ugsėjo pirmosios šventė, </w:t>
            </w:r>
            <w:r w:rsidR="00E17397" w:rsidRPr="005C584F">
              <w:rPr>
                <w:rFonts w:ascii="Times New Roman" w:hAnsi="Times New Roman" w:cs="Times New Roman"/>
              </w:rPr>
              <w:t>K</w:t>
            </w:r>
            <w:r w:rsidR="00897948" w:rsidRPr="005C584F">
              <w:rPr>
                <w:rFonts w:ascii="Times New Roman" w:hAnsi="Times New Roman" w:cs="Times New Roman"/>
              </w:rPr>
              <w:t xml:space="preserve">albų diena, </w:t>
            </w:r>
            <w:r w:rsidR="00E17397" w:rsidRPr="005C584F">
              <w:rPr>
                <w:rFonts w:ascii="Times New Roman" w:hAnsi="Times New Roman" w:cs="Times New Roman"/>
              </w:rPr>
              <w:t>Mokytojų diena, Konstitucijos diena, Kariuomenės diena, šventė „Kalėdų belaukiant“, Karjeros diena, Sausio 13, Vasario 16 bei Kovo 11 akcijos, Sporto šventės, Mokslo metų užbaigimo ir kitos.</w:t>
            </w:r>
            <w:r w:rsidR="00E64DC5" w:rsidRPr="005C584F">
              <w:rPr>
                <w:rFonts w:ascii="Times New Roman" w:hAnsi="Times New Roman" w:cs="Times New Roman"/>
                <w:color w:val="auto"/>
              </w:rPr>
              <w:t xml:space="preserve">2021 metais Stakliškių gimnazijoje pabaigta įgyvendinti 40 val. kvalifikacijos kėlimo programa „Ugdymo kokybės gerinimas pamokoje, atsižvelgiant į kiekvieno mokinio poreikius“. </w:t>
            </w:r>
            <w:r w:rsidR="00E64DC5" w:rsidRPr="005C584F">
              <w:rPr>
                <w:rFonts w:ascii="Times New Roman" w:hAnsi="Times New Roman" w:cs="Times New Roman"/>
              </w:rPr>
              <w:t>I modulis Mokinių įsivertinimas, asmeninės pažangos stebėjimas, vertinimas, fiksavimas (10 akad. val.). II modulis. Diferencijavimas ir individualizavimas pamokoje (10 akad. val.). III modulis Vaikai, patiriantys ugdymosi sunkumų: kaip atpažinti, suprasti ir padėti (10 akad. val.). IV modulis. Kas yra emocinis intelektas, kuo jis svarbus ir kaip jį ugdyti? (10 akad. val.).</w:t>
            </w:r>
            <w:r w:rsidR="002032AF" w:rsidRPr="005C584F">
              <w:rPr>
                <w:rFonts w:ascii="Times New Roman" w:hAnsi="Times New Roman" w:cs="Times New Roman"/>
              </w:rPr>
              <w:t>2021 metais pravesta 10 seminarų ir užsiėmimų mokytojams, tėveliams ir mokiniams apie planavimo svarbą mokantis.</w:t>
            </w:r>
          </w:p>
          <w:p w:rsidR="005E530C" w:rsidRPr="005C584F" w:rsidRDefault="005E530C" w:rsidP="00362B43">
            <w:pPr>
              <w:pStyle w:val="ListParagraph"/>
              <w:tabs>
                <w:tab w:val="left" w:pos="720"/>
              </w:tabs>
              <w:overflowPunct/>
              <w:autoSpaceDE/>
              <w:autoSpaceDN/>
              <w:adjustRightInd/>
              <w:spacing w:after="0" w:line="240" w:lineRule="auto"/>
              <w:ind w:left="0"/>
              <w:jc w:val="both"/>
              <w:textAlignment w:val="auto"/>
              <w:rPr>
                <w:rFonts w:ascii="Times New Roman" w:hAnsi="Times New Roman"/>
                <w:sz w:val="24"/>
                <w:szCs w:val="24"/>
                <w:lang w:val="lt-LT"/>
              </w:rPr>
            </w:pPr>
            <w:r w:rsidRPr="005C584F">
              <w:rPr>
                <w:rFonts w:ascii="Times New Roman" w:hAnsi="Times New Roman"/>
                <w:b/>
                <w:bCs/>
                <w:kern w:val="24"/>
                <w:sz w:val="24"/>
                <w:szCs w:val="24"/>
                <w:lang w:val="lt-LT"/>
              </w:rPr>
              <w:t>Skatinti mokinius mokytis efektyviai taikant mąstymo strategijas</w:t>
            </w:r>
            <w:r w:rsidRPr="005C584F">
              <w:rPr>
                <w:rFonts w:ascii="Times New Roman" w:hAnsi="Times New Roman"/>
                <w:kern w:val="24"/>
                <w:sz w:val="24"/>
                <w:szCs w:val="24"/>
                <w:lang w:val="lt-LT"/>
              </w:rPr>
              <w:t xml:space="preserve"> – </w:t>
            </w:r>
            <w:r w:rsidRPr="005C584F">
              <w:rPr>
                <w:rFonts w:ascii="Times New Roman" w:hAnsi="Times New Roman"/>
                <w:sz w:val="24"/>
                <w:szCs w:val="24"/>
                <w:lang w:val="lt-LT" w:eastAsia="lt-LT"/>
              </w:rPr>
              <w:t>Kartu su kitais darželiais įgyvendinamas ES finansuojamas projektas „</w:t>
            </w:r>
            <w:r w:rsidRPr="005C584F">
              <w:rPr>
                <w:rFonts w:ascii="Times New Roman" w:hAnsi="Times New Roman"/>
                <w:bCs/>
                <w:sz w:val="24"/>
                <w:szCs w:val="24"/>
                <w:lang w:val="lt-LT"/>
              </w:rPr>
              <w:t xml:space="preserve">Kryptingas vaikų mokymosi mokytis kompetencijų ugdymas taikant „mąstymo įpročių“ metodą“ padeda sustiprinti mąstymo strategijų taikymą gimnazijos darželiuose. Suorganizuoti 4 seminarai siekiant kryptingo vaikų mokymosi per mąstymo įpročių metodus. Parengtos ir pravestos </w:t>
            </w:r>
            <w:r w:rsidR="00160B75" w:rsidRPr="005C584F">
              <w:rPr>
                <w:rFonts w:ascii="Times New Roman" w:hAnsi="Times New Roman"/>
                <w:bCs/>
                <w:sz w:val="24"/>
                <w:szCs w:val="24"/>
                <w:lang w:val="lt-LT"/>
              </w:rPr>
              <w:t>daugiau nei 100</w:t>
            </w:r>
            <w:r w:rsidRPr="005C584F">
              <w:rPr>
                <w:rFonts w:ascii="Times New Roman" w:hAnsi="Times New Roman"/>
                <w:bCs/>
                <w:sz w:val="24"/>
                <w:szCs w:val="24"/>
                <w:lang w:val="lt-LT"/>
              </w:rPr>
              <w:t xml:space="preserve"> veikl</w:t>
            </w:r>
            <w:r w:rsidR="00160B75" w:rsidRPr="005C584F">
              <w:rPr>
                <w:rFonts w:ascii="Times New Roman" w:hAnsi="Times New Roman"/>
                <w:bCs/>
                <w:sz w:val="24"/>
                <w:szCs w:val="24"/>
                <w:lang w:val="lt-LT"/>
              </w:rPr>
              <w:t>ų</w:t>
            </w:r>
            <w:r w:rsidRPr="005C584F">
              <w:rPr>
                <w:rFonts w:ascii="Times New Roman" w:hAnsi="Times New Roman"/>
                <w:bCs/>
                <w:sz w:val="24"/>
                <w:szCs w:val="24"/>
                <w:lang w:val="lt-LT"/>
              </w:rPr>
              <w:t>, pritaikant mąstymo įpročius ir įrankius.</w:t>
            </w:r>
            <w:r w:rsidR="00E0443E" w:rsidRPr="005C584F">
              <w:rPr>
                <w:rFonts w:ascii="Times New Roman" w:hAnsi="Times New Roman"/>
                <w:bCs/>
                <w:sz w:val="24"/>
                <w:szCs w:val="24"/>
                <w:lang w:val="lt-LT"/>
              </w:rPr>
              <w:t>2021 metų rugsėjį patvirtintos atnaujintos priešmokyklinio ir ikimokyklinio programos gimnazijoje, integruojant mąstymo įrankius ir metodus.</w:t>
            </w:r>
            <w:r w:rsidR="00E0443E" w:rsidRPr="005C584F">
              <w:rPr>
                <w:rFonts w:ascii="Times New Roman" w:hAnsi="Times New Roman"/>
                <w:sz w:val="24"/>
                <w:szCs w:val="24"/>
                <w:lang w:val="lt-LT" w:eastAsia="lt-LT"/>
              </w:rPr>
              <w:t>Kartu su kitais darželiais įgyvendinančiais ES finansuojamą projektą parengta bendra metodinė priemonė, kuri padės mokytojams pritaikyti mąstymo įrankius savo pamokose (veikloje).</w:t>
            </w:r>
          </w:p>
          <w:p w:rsidR="005E530C" w:rsidRPr="005C584F" w:rsidRDefault="005E530C" w:rsidP="00362B43">
            <w:pPr>
              <w:pStyle w:val="ListParagraph"/>
              <w:tabs>
                <w:tab w:val="left" w:pos="720"/>
              </w:tabs>
              <w:overflowPunct/>
              <w:autoSpaceDE/>
              <w:autoSpaceDN/>
              <w:adjustRightInd/>
              <w:spacing w:after="0" w:line="240" w:lineRule="auto"/>
              <w:ind w:left="0"/>
              <w:jc w:val="both"/>
              <w:textAlignment w:val="auto"/>
              <w:rPr>
                <w:rFonts w:ascii="Times New Roman" w:hAnsi="Times New Roman"/>
                <w:sz w:val="24"/>
                <w:szCs w:val="24"/>
                <w:lang w:val="lt-LT" w:eastAsia="lt-LT"/>
              </w:rPr>
            </w:pPr>
            <w:r w:rsidRPr="005C584F">
              <w:rPr>
                <w:rFonts w:ascii="Times New Roman" w:hAnsi="Times New Roman"/>
                <w:b/>
                <w:bCs/>
                <w:kern w:val="24"/>
                <w:sz w:val="24"/>
                <w:szCs w:val="24"/>
                <w:lang w:val="lt-LT"/>
              </w:rPr>
              <w:t>Stebėti, fiksuoti ir analizuoti asmeninę mokinių pažangą ir pasiekimus</w:t>
            </w:r>
            <w:r w:rsidRPr="005C584F">
              <w:rPr>
                <w:rFonts w:ascii="Times New Roman" w:hAnsi="Times New Roman"/>
                <w:kern w:val="24"/>
                <w:sz w:val="24"/>
                <w:szCs w:val="24"/>
                <w:lang w:val="lt-LT"/>
              </w:rPr>
              <w:t xml:space="preserve"> - Tradiciškai analizuojami mokinių pasiekimai, analizuojama pažanga, o mokiniai atlieka įsivertinimą. </w:t>
            </w:r>
            <w:r w:rsidR="00362B43" w:rsidRPr="005C584F">
              <w:rPr>
                <w:rFonts w:ascii="Times New Roman" w:hAnsi="Times New Roman"/>
                <w:bCs/>
                <w:sz w:val="24"/>
                <w:szCs w:val="24"/>
                <w:lang w:val="lt-LT"/>
              </w:rPr>
              <w:t xml:space="preserve">Gimnazijos mokinių pažangumas buvo 100 %. </w:t>
            </w:r>
            <w:r w:rsidR="00362B43" w:rsidRPr="005C584F">
              <w:rPr>
                <w:rFonts w:ascii="Times New Roman" w:hAnsi="Times New Roman"/>
                <w:sz w:val="24"/>
                <w:szCs w:val="24"/>
                <w:lang w:val="lt-LT"/>
              </w:rPr>
              <w:t>Bendra gimnazijos mokinių per metus padaryta pažanga +0,17. Mokinių pasiskirstymas pagal mokymosi lygmenį rodo, kad gimnazijoje yra 10 % mokinių pasiekusių aukštesnį lygmenį, 36% - pagrindinį ir 51 % patenkinamą.</w:t>
            </w:r>
          </w:p>
        </w:tc>
      </w:tr>
    </w:tbl>
    <w:p w:rsidR="002604FB" w:rsidRDefault="002604FB" w:rsidP="002604FB">
      <w:pPr>
        <w:jc w:val="center"/>
        <w:rPr>
          <w:b/>
          <w:sz w:val="22"/>
          <w:szCs w:val="22"/>
          <w:lang w:eastAsia="lt-LT"/>
        </w:rPr>
      </w:pPr>
    </w:p>
    <w:p w:rsidR="005C584F" w:rsidRDefault="005C584F" w:rsidP="002604FB">
      <w:pPr>
        <w:jc w:val="center"/>
        <w:rPr>
          <w:b/>
          <w:sz w:val="22"/>
          <w:szCs w:val="22"/>
          <w:lang w:eastAsia="lt-LT"/>
        </w:rPr>
      </w:pPr>
    </w:p>
    <w:p w:rsidR="005C584F" w:rsidRPr="00334103" w:rsidRDefault="00A10507" w:rsidP="00A10507">
      <w:pPr>
        <w:jc w:val="center"/>
        <w:rPr>
          <w:b/>
          <w:sz w:val="22"/>
          <w:szCs w:val="22"/>
          <w:lang w:eastAsia="lt-LT"/>
        </w:rPr>
      </w:pPr>
      <w:r>
        <w:rPr>
          <w:b/>
          <w:sz w:val="22"/>
          <w:szCs w:val="22"/>
          <w:lang w:eastAsia="lt-LT"/>
        </w:rPr>
        <w:t>____________________________________________________________________</w:t>
      </w:r>
    </w:p>
    <w:sectPr w:rsidR="005C584F" w:rsidRPr="00334103" w:rsidSect="00A10507">
      <w:headerReference w:type="default" r:id="rId10"/>
      <w:headerReference w:type="first" r:id="rId11"/>
      <w:pgSz w:w="11906" w:h="16838"/>
      <w:pgMar w:top="1134" w:right="707" w:bottom="1440" w:left="1440"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32A" w:rsidRDefault="00EB232A" w:rsidP="00A10507">
      <w:r>
        <w:separator/>
      </w:r>
    </w:p>
  </w:endnote>
  <w:endnote w:type="continuationSeparator" w:id="1">
    <w:p w:rsidR="00EB232A" w:rsidRDefault="00EB232A" w:rsidP="00A105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32A" w:rsidRDefault="00EB232A" w:rsidP="00A10507">
      <w:r>
        <w:separator/>
      </w:r>
    </w:p>
  </w:footnote>
  <w:footnote w:type="continuationSeparator" w:id="1">
    <w:p w:rsidR="00EB232A" w:rsidRDefault="00EB232A" w:rsidP="00A105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425001"/>
      <w:docPartObj>
        <w:docPartGallery w:val="Page Numbers (Top of Page)"/>
        <w:docPartUnique/>
      </w:docPartObj>
    </w:sdtPr>
    <w:sdtContent>
      <w:p w:rsidR="00A10507" w:rsidRDefault="00EC6806">
        <w:pPr>
          <w:pStyle w:val="Header"/>
          <w:jc w:val="center"/>
        </w:pPr>
        <w:fldSimple w:instr=" PAGE   \* MERGEFORMAT ">
          <w:r w:rsidR="003D6B66">
            <w:rPr>
              <w:noProof/>
            </w:rPr>
            <w:t>5</w:t>
          </w:r>
        </w:fldSimple>
      </w:p>
    </w:sdtContent>
  </w:sdt>
  <w:p w:rsidR="00A10507" w:rsidRDefault="00A105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507" w:rsidRDefault="00A10507" w:rsidP="00A10507">
    <w:pPr>
      <w:pStyle w:val="Header"/>
      <w:tabs>
        <w:tab w:val="left" w:pos="6000"/>
      </w:tabs>
      <w:spacing w:line="276" w:lineRule="auto"/>
      <w:ind w:firstLine="6300"/>
      <w:rPr>
        <w:szCs w:val="24"/>
      </w:rPr>
    </w:pPr>
    <w:r>
      <w:rPr>
        <w:szCs w:val="24"/>
      </w:rPr>
      <w:t xml:space="preserve">PRITARTA </w:t>
    </w:r>
  </w:p>
  <w:p w:rsidR="00A10507" w:rsidRDefault="00A10507" w:rsidP="00A10507">
    <w:pPr>
      <w:pStyle w:val="Header"/>
      <w:tabs>
        <w:tab w:val="left" w:pos="6000"/>
      </w:tabs>
      <w:spacing w:line="276" w:lineRule="auto"/>
      <w:ind w:firstLine="6300"/>
      <w:rPr>
        <w:szCs w:val="24"/>
      </w:rPr>
    </w:pPr>
    <w:r>
      <w:rPr>
        <w:szCs w:val="24"/>
      </w:rPr>
      <w:tab/>
      <w:t>Prienų rajono savivaldybės tarybos</w:t>
    </w:r>
  </w:p>
  <w:p w:rsidR="00A10507" w:rsidRDefault="00A10507" w:rsidP="00A10507">
    <w:pPr>
      <w:pStyle w:val="Header"/>
      <w:tabs>
        <w:tab w:val="left" w:pos="6000"/>
      </w:tabs>
      <w:spacing w:line="276" w:lineRule="auto"/>
      <w:ind w:firstLine="6300"/>
      <w:rPr>
        <w:szCs w:val="24"/>
      </w:rPr>
    </w:pPr>
    <w:r>
      <w:rPr>
        <w:szCs w:val="24"/>
      </w:rPr>
      <w:t xml:space="preserve">2022 m. balandžio </w:t>
    </w:r>
    <w:r w:rsidR="003D6B66">
      <w:rPr>
        <w:szCs w:val="24"/>
      </w:rPr>
      <w:t xml:space="preserve">14 </w:t>
    </w:r>
    <w:r>
      <w:rPr>
        <w:szCs w:val="24"/>
      </w:rPr>
      <w:t xml:space="preserve">d.                  </w:t>
    </w:r>
  </w:p>
  <w:p w:rsidR="00A10507" w:rsidRDefault="00A10507" w:rsidP="00A10507">
    <w:pPr>
      <w:pStyle w:val="Header"/>
      <w:spacing w:line="276" w:lineRule="auto"/>
      <w:ind w:firstLine="6300"/>
      <w:rPr>
        <w:szCs w:val="24"/>
      </w:rPr>
    </w:pPr>
    <w:r>
      <w:rPr>
        <w:szCs w:val="24"/>
      </w:rPr>
      <w:t>sprendimu Nr. T3-</w:t>
    </w:r>
    <w:r w:rsidR="003D6B66">
      <w:rPr>
        <w:szCs w:val="24"/>
      </w:rPr>
      <w:t>116</w:t>
    </w:r>
    <w:r>
      <w:rPr>
        <w:szCs w:val="24"/>
      </w:rPr>
      <w:tab/>
    </w:r>
  </w:p>
  <w:p w:rsidR="00A10507" w:rsidRDefault="00A10507" w:rsidP="00A10507">
    <w:pPr>
      <w:pStyle w:val="Header"/>
      <w:tabs>
        <w:tab w:val="left" w:pos="9722"/>
      </w:tabs>
    </w:pPr>
    <w:r>
      <w:tab/>
    </w:r>
  </w:p>
  <w:p w:rsidR="00A10507" w:rsidRDefault="00A105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07BE3"/>
    <w:multiLevelType w:val="hybridMultilevel"/>
    <w:tmpl w:val="4D8A3972"/>
    <w:lvl w:ilvl="0" w:tplc="8778AEB2">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1D46C7B"/>
    <w:multiLevelType w:val="multilevel"/>
    <w:tmpl w:val="21D46C7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49895786"/>
    <w:multiLevelType w:val="hybridMultilevel"/>
    <w:tmpl w:val="6BE804BA"/>
    <w:lvl w:ilvl="0" w:tplc="C2246D0E">
      <w:start w:val="1"/>
      <w:numFmt w:val="decimal"/>
      <w:lvlText w:val="%1."/>
      <w:lvlJc w:val="left"/>
      <w:pPr>
        <w:ind w:left="1636" w:hanging="360"/>
      </w:pPr>
      <w:rPr>
        <w:rFonts w:ascii="Times New Roman" w:hAnsi="Times New Roman" w:cs="Times New Roman" w:hint="default"/>
        <w:sz w:val="24"/>
        <w:szCs w:val="36"/>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nsid w:val="6B6674DF"/>
    <w:multiLevelType w:val="hybridMultilevel"/>
    <w:tmpl w:val="F4F289BA"/>
    <w:lvl w:ilvl="0" w:tplc="40521DFE">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1296"/>
  <w:hyphenationZone w:val="396"/>
  <w:drawingGridHorizontalSpacing w:val="120"/>
  <w:displayHorizontalDrawingGridEvery w:val="2"/>
  <w:characterSpacingControl w:val="doNotCompress"/>
  <w:footnotePr>
    <w:footnote w:id="0"/>
    <w:footnote w:id="1"/>
  </w:footnotePr>
  <w:endnotePr>
    <w:endnote w:id="0"/>
    <w:endnote w:id="1"/>
  </w:endnotePr>
  <w:compat/>
  <w:rsids>
    <w:rsidRoot w:val="002604FB"/>
    <w:rsid w:val="00007EA9"/>
    <w:rsid w:val="0002426D"/>
    <w:rsid w:val="00092E10"/>
    <w:rsid w:val="000D6C91"/>
    <w:rsid w:val="000F78B3"/>
    <w:rsid w:val="001308F1"/>
    <w:rsid w:val="0015213F"/>
    <w:rsid w:val="00160B75"/>
    <w:rsid w:val="00164BCB"/>
    <w:rsid w:val="00194173"/>
    <w:rsid w:val="001B34D5"/>
    <w:rsid w:val="001C5B47"/>
    <w:rsid w:val="002032AF"/>
    <w:rsid w:val="002604FB"/>
    <w:rsid w:val="00263B5F"/>
    <w:rsid w:val="002C0AE2"/>
    <w:rsid w:val="002F7127"/>
    <w:rsid w:val="00304CF6"/>
    <w:rsid w:val="00334103"/>
    <w:rsid w:val="00362B43"/>
    <w:rsid w:val="00374634"/>
    <w:rsid w:val="00383A17"/>
    <w:rsid w:val="003A1838"/>
    <w:rsid w:val="003D6B66"/>
    <w:rsid w:val="003F4A37"/>
    <w:rsid w:val="004376D8"/>
    <w:rsid w:val="004501B8"/>
    <w:rsid w:val="004634F4"/>
    <w:rsid w:val="00490CA4"/>
    <w:rsid w:val="004C1FEF"/>
    <w:rsid w:val="004F1068"/>
    <w:rsid w:val="00506B67"/>
    <w:rsid w:val="0051172D"/>
    <w:rsid w:val="005260B7"/>
    <w:rsid w:val="00531D30"/>
    <w:rsid w:val="00577A9A"/>
    <w:rsid w:val="005C584F"/>
    <w:rsid w:val="005E530C"/>
    <w:rsid w:val="00617AE7"/>
    <w:rsid w:val="00627327"/>
    <w:rsid w:val="00695D3F"/>
    <w:rsid w:val="006C6E41"/>
    <w:rsid w:val="00786370"/>
    <w:rsid w:val="007965EE"/>
    <w:rsid w:val="00801EA0"/>
    <w:rsid w:val="00847D44"/>
    <w:rsid w:val="00847FF0"/>
    <w:rsid w:val="00853AD1"/>
    <w:rsid w:val="00897948"/>
    <w:rsid w:val="008F0C08"/>
    <w:rsid w:val="00935ABB"/>
    <w:rsid w:val="009861E9"/>
    <w:rsid w:val="009C38F2"/>
    <w:rsid w:val="009D0F5F"/>
    <w:rsid w:val="009F2A27"/>
    <w:rsid w:val="00A10507"/>
    <w:rsid w:val="00A83499"/>
    <w:rsid w:val="00A91FA4"/>
    <w:rsid w:val="00A95075"/>
    <w:rsid w:val="00AB0921"/>
    <w:rsid w:val="00B2103C"/>
    <w:rsid w:val="00B43918"/>
    <w:rsid w:val="00B462B3"/>
    <w:rsid w:val="00BC35E3"/>
    <w:rsid w:val="00BE303D"/>
    <w:rsid w:val="00C42A50"/>
    <w:rsid w:val="00C656F9"/>
    <w:rsid w:val="00CC67D6"/>
    <w:rsid w:val="00CC75E8"/>
    <w:rsid w:val="00D12FE8"/>
    <w:rsid w:val="00D57A89"/>
    <w:rsid w:val="00D61325"/>
    <w:rsid w:val="00DB758A"/>
    <w:rsid w:val="00E0443E"/>
    <w:rsid w:val="00E17397"/>
    <w:rsid w:val="00E206DC"/>
    <w:rsid w:val="00E64DC5"/>
    <w:rsid w:val="00EB232A"/>
    <w:rsid w:val="00EB6C6F"/>
    <w:rsid w:val="00EC0104"/>
    <w:rsid w:val="00EC6806"/>
    <w:rsid w:val="00ED0EE9"/>
    <w:rsid w:val="00ED4A69"/>
    <w:rsid w:val="00EF65D0"/>
    <w:rsid w:val="00F31CB6"/>
    <w:rsid w:val="00F4075E"/>
    <w:rsid w:val="00F42769"/>
    <w:rsid w:val="00F53FDB"/>
    <w:rsid w:val="00FE4B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4F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04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5E530C"/>
    <w:pPr>
      <w:overflowPunct w:val="0"/>
      <w:autoSpaceDE w:val="0"/>
      <w:autoSpaceDN w:val="0"/>
      <w:adjustRightInd w:val="0"/>
      <w:spacing w:after="200" w:line="276" w:lineRule="auto"/>
      <w:ind w:left="720"/>
      <w:contextualSpacing/>
      <w:textAlignment w:val="baseline"/>
    </w:pPr>
    <w:rPr>
      <w:rFonts w:ascii="HelveticaLT" w:hAnsi="HelveticaLT"/>
      <w:sz w:val="20"/>
      <w:lang w:val="en-GB"/>
    </w:rPr>
  </w:style>
  <w:style w:type="paragraph" w:customStyle="1" w:styleId="Default">
    <w:name w:val="Default"/>
    <w:rsid w:val="00E206DC"/>
    <w:pPr>
      <w:autoSpaceDE w:val="0"/>
      <w:autoSpaceDN w:val="0"/>
      <w:adjustRightInd w:val="0"/>
      <w:spacing w:after="0" w:line="240" w:lineRule="auto"/>
    </w:pPr>
    <w:rPr>
      <w:rFonts w:ascii="Calibri" w:eastAsia="SimSun" w:hAnsi="Calibri" w:cs="Calibri"/>
      <w:color w:val="000000"/>
      <w:sz w:val="24"/>
      <w:szCs w:val="24"/>
      <w:lang w:eastAsia="lt-LT"/>
    </w:rPr>
  </w:style>
  <w:style w:type="paragraph" w:styleId="BalloonText">
    <w:name w:val="Balloon Text"/>
    <w:basedOn w:val="Normal"/>
    <w:link w:val="BalloonTextChar"/>
    <w:uiPriority w:val="99"/>
    <w:semiHidden/>
    <w:unhideWhenUsed/>
    <w:rsid w:val="005C584F"/>
    <w:rPr>
      <w:rFonts w:ascii="Tahoma" w:hAnsi="Tahoma" w:cs="Tahoma"/>
      <w:sz w:val="16"/>
      <w:szCs w:val="16"/>
    </w:rPr>
  </w:style>
  <w:style w:type="character" w:customStyle="1" w:styleId="BalloonTextChar">
    <w:name w:val="Balloon Text Char"/>
    <w:basedOn w:val="DefaultParagraphFont"/>
    <w:link w:val="BalloonText"/>
    <w:uiPriority w:val="99"/>
    <w:semiHidden/>
    <w:rsid w:val="005C584F"/>
    <w:rPr>
      <w:rFonts w:ascii="Tahoma" w:eastAsia="Times New Roman" w:hAnsi="Tahoma" w:cs="Tahoma"/>
      <w:sz w:val="16"/>
      <w:szCs w:val="16"/>
    </w:rPr>
  </w:style>
  <w:style w:type="paragraph" w:styleId="Header">
    <w:name w:val="header"/>
    <w:basedOn w:val="Normal"/>
    <w:link w:val="HeaderChar"/>
    <w:uiPriority w:val="99"/>
    <w:unhideWhenUsed/>
    <w:rsid w:val="00A10507"/>
    <w:pPr>
      <w:tabs>
        <w:tab w:val="center" w:pos="4680"/>
        <w:tab w:val="right" w:pos="9360"/>
      </w:tabs>
    </w:pPr>
  </w:style>
  <w:style w:type="character" w:customStyle="1" w:styleId="HeaderChar">
    <w:name w:val="Header Char"/>
    <w:basedOn w:val="DefaultParagraphFont"/>
    <w:link w:val="Header"/>
    <w:uiPriority w:val="99"/>
    <w:rsid w:val="00A10507"/>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A10507"/>
    <w:pPr>
      <w:tabs>
        <w:tab w:val="center" w:pos="4680"/>
        <w:tab w:val="right" w:pos="9360"/>
      </w:tabs>
    </w:pPr>
  </w:style>
  <w:style w:type="character" w:customStyle="1" w:styleId="FooterChar">
    <w:name w:val="Footer Char"/>
    <w:basedOn w:val="DefaultParagraphFont"/>
    <w:link w:val="Footer"/>
    <w:uiPriority w:val="99"/>
    <w:semiHidden/>
    <w:rsid w:val="00A10507"/>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53509319">
      <w:bodyDiv w:val="1"/>
      <w:marLeft w:val="0"/>
      <w:marRight w:val="0"/>
      <w:marTop w:val="0"/>
      <w:marBottom w:val="0"/>
      <w:divBdr>
        <w:top w:val="none" w:sz="0" w:space="0" w:color="auto"/>
        <w:left w:val="none" w:sz="0" w:space="0" w:color="auto"/>
        <w:bottom w:val="none" w:sz="0" w:space="0" w:color="auto"/>
        <w:right w:val="none" w:sz="0" w:space="0" w:color="auto"/>
      </w:divBdr>
    </w:div>
    <w:div w:id="43833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Lapas1!$B$1</c:f>
              <c:strCache>
                <c:ptCount val="1"/>
                <c:pt idx="0">
                  <c:v>I pusmetis</c:v>
                </c:pt>
              </c:strCache>
            </c:strRef>
          </c:tx>
          <c:dLbls>
            <c:dLbl>
              <c:idx val="0"/>
              <c:layout>
                <c:manualLayout>
                  <c:x val="-2.1667795553127939E-2"/>
                  <c:y val="-8.5227272727272912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EFE-4508-BBAB-E810BAFDBB75}"/>
                </c:ext>
              </c:extLst>
            </c:dLbl>
            <c:dLbl>
              <c:idx val="1"/>
              <c:layout>
                <c:manualLayout>
                  <c:x val="-8.3337675204338095E-3"/>
                  <c:y val="-2.8409090909090932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EFE-4508-BBAB-E810BAFDBB75}"/>
                </c:ext>
              </c:extLst>
            </c:dLbl>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0"/>
              </c:ext>
            </c:extLst>
          </c:dLbls>
          <c:cat>
            <c:numRef>
              <c:f>Lapas1!$A$2:$A$9</c:f>
              <c:numCache>
                <c:formatCode>General</c:formatCode>
                <c:ptCount val="8"/>
                <c:pt idx="0">
                  <c:v>5</c:v>
                </c:pt>
                <c:pt idx="1">
                  <c:v>6</c:v>
                </c:pt>
                <c:pt idx="2">
                  <c:v>7</c:v>
                </c:pt>
                <c:pt idx="3">
                  <c:v>8</c:v>
                </c:pt>
                <c:pt idx="4">
                  <c:v>9</c:v>
                </c:pt>
                <c:pt idx="5">
                  <c:v>10</c:v>
                </c:pt>
                <c:pt idx="6">
                  <c:v>11</c:v>
                </c:pt>
                <c:pt idx="7">
                  <c:v>12</c:v>
                </c:pt>
              </c:numCache>
            </c:numRef>
          </c:cat>
          <c:val>
            <c:numRef>
              <c:f>Lapas1!$B$2:$B$9</c:f>
              <c:numCache>
                <c:formatCode>General</c:formatCode>
                <c:ptCount val="8"/>
                <c:pt idx="0">
                  <c:v>8.02</c:v>
                </c:pt>
                <c:pt idx="1">
                  <c:v>7.41</c:v>
                </c:pt>
                <c:pt idx="2">
                  <c:v>7.02</c:v>
                </c:pt>
                <c:pt idx="3">
                  <c:v>7.51</c:v>
                </c:pt>
                <c:pt idx="4">
                  <c:v>7</c:v>
                </c:pt>
                <c:pt idx="5">
                  <c:v>6.67</c:v>
                </c:pt>
                <c:pt idx="6">
                  <c:v>7.14</c:v>
                </c:pt>
                <c:pt idx="7">
                  <c:v>6.3</c:v>
                </c:pt>
              </c:numCache>
            </c:numRef>
          </c:val>
          <c:extLst xmlns:c16r2="http://schemas.microsoft.com/office/drawing/2015/06/chart">
            <c:ext xmlns:c16="http://schemas.microsoft.com/office/drawing/2014/chart" uri="{C3380CC4-5D6E-409C-BE32-E72D297353CC}">
              <c16:uniqueId val="{00000002-CEFE-4508-BBAB-E810BAFDBB75}"/>
            </c:ext>
          </c:extLst>
        </c:ser>
        <c:ser>
          <c:idx val="1"/>
          <c:order val="1"/>
          <c:tx>
            <c:strRef>
              <c:f>Lapas1!$C$1</c:f>
              <c:strCache>
                <c:ptCount val="1"/>
                <c:pt idx="0">
                  <c:v>Metinis</c:v>
                </c:pt>
              </c:strCache>
            </c:strRef>
          </c:tx>
          <c:dLbls>
            <c:dLbl>
              <c:idx val="0"/>
              <c:layout>
                <c:manualLayout>
                  <c:x val="5.0002605122602874E-3"/>
                  <c:y val="-1.1363636363636407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EFE-4508-BBAB-E810BAFDBB75}"/>
                </c:ext>
              </c:extLst>
            </c:dLbl>
            <c:dLbl>
              <c:idx val="1"/>
              <c:layout>
                <c:manualLayout>
                  <c:x val="2.0421273916764439E-2"/>
                  <c:y val="-2.2727272727272759E-2"/>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EFE-4508-BBAB-E810BAFDBB75}"/>
                </c:ext>
              </c:extLst>
            </c:dLbl>
            <c:dLbl>
              <c:idx val="2"/>
              <c:layout>
                <c:manualLayout>
                  <c:x val="2.1256642700844028E-2"/>
                  <c:y val="0"/>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CEFE-4508-BBAB-E810BAFDBB75}"/>
                </c:ext>
              </c:extLst>
            </c:dLbl>
            <c:dLbl>
              <c:idx val="3"/>
              <c:layout>
                <c:manualLayout>
                  <c:x val="1.3754298218193201E-2"/>
                  <c:y val="5.6818181818181906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EFE-4508-BBAB-E810BAFDBB75}"/>
                </c:ext>
              </c:extLst>
            </c:dLbl>
            <c:dLbl>
              <c:idx val="4"/>
              <c:layout>
                <c:manualLayout>
                  <c:x val="2.0006251953735472E-2"/>
                  <c:y val="8.5227272727272912E-3"/>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CEFE-4508-BBAB-E810BAFDBB75}"/>
                </c:ext>
              </c:extLst>
            </c:dLbl>
            <c:dLbl>
              <c:idx val="5"/>
              <c:layout>
                <c:manualLayout>
                  <c:x val="2.6258205689277957E-2"/>
                  <c:y val="-6.5103414586466292E-18"/>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CEFE-4508-BBAB-E810BAFDBB75}"/>
                </c:ext>
              </c:extLst>
            </c:dLbl>
            <c:dLbl>
              <c:idx val="6"/>
              <c:layout>
                <c:manualLayout>
                  <c:x val="1.8755861206627127E-2"/>
                  <c:y val="0"/>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CEFE-4508-BBAB-E810BAFDBB75}"/>
                </c:ext>
              </c:extLst>
            </c:dLbl>
            <c:dLbl>
              <c:idx val="7"/>
              <c:layout>
                <c:manualLayout>
                  <c:x val="1.8755861206627127E-2"/>
                  <c:y val="0"/>
                </c:manualLayout>
              </c:layout>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CEFE-4508-BBAB-E810BAFDBB75}"/>
                </c:ext>
              </c:extLst>
            </c:dLbl>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0"/>
              </c:ext>
            </c:extLst>
          </c:dLbls>
          <c:cat>
            <c:numRef>
              <c:f>Lapas1!$A$2:$A$9</c:f>
              <c:numCache>
                <c:formatCode>General</c:formatCode>
                <c:ptCount val="8"/>
                <c:pt idx="0">
                  <c:v>5</c:v>
                </c:pt>
                <c:pt idx="1">
                  <c:v>6</c:v>
                </c:pt>
                <c:pt idx="2">
                  <c:v>7</c:v>
                </c:pt>
                <c:pt idx="3">
                  <c:v>8</c:v>
                </c:pt>
                <c:pt idx="4">
                  <c:v>9</c:v>
                </c:pt>
                <c:pt idx="5">
                  <c:v>10</c:v>
                </c:pt>
                <c:pt idx="6">
                  <c:v>11</c:v>
                </c:pt>
                <c:pt idx="7">
                  <c:v>12</c:v>
                </c:pt>
              </c:numCache>
            </c:numRef>
          </c:cat>
          <c:val>
            <c:numRef>
              <c:f>Lapas1!$C$2:$C$9</c:f>
              <c:numCache>
                <c:formatCode>General</c:formatCode>
                <c:ptCount val="8"/>
                <c:pt idx="0">
                  <c:v>8.07</c:v>
                </c:pt>
                <c:pt idx="1">
                  <c:v>7.58</c:v>
                </c:pt>
                <c:pt idx="2">
                  <c:v>7.24</c:v>
                </c:pt>
                <c:pt idx="3">
                  <c:v>7.79</c:v>
                </c:pt>
                <c:pt idx="4">
                  <c:v>7.05</c:v>
                </c:pt>
                <c:pt idx="5">
                  <c:v>6.95</c:v>
                </c:pt>
                <c:pt idx="6">
                  <c:v>7.23</c:v>
                </c:pt>
                <c:pt idx="7">
                  <c:v>6.58</c:v>
                </c:pt>
              </c:numCache>
            </c:numRef>
          </c:val>
          <c:extLst xmlns:c16r2="http://schemas.microsoft.com/office/drawing/2015/06/chart">
            <c:ext xmlns:c16="http://schemas.microsoft.com/office/drawing/2014/chart" uri="{C3380CC4-5D6E-409C-BE32-E72D297353CC}">
              <c16:uniqueId val="{0000000B-CEFE-4508-BBAB-E810BAFDBB75}"/>
            </c:ext>
          </c:extLst>
        </c:ser>
        <c:axId val="67039616"/>
        <c:axId val="67041152"/>
      </c:barChart>
      <c:catAx>
        <c:axId val="67039616"/>
        <c:scaling>
          <c:orientation val="minMax"/>
        </c:scaling>
        <c:axPos val="b"/>
        <c:numFmt formatCode="General" sourceLinked="1"/>
        <c:tickLblPos val="nextTo"/>
        <c:txPr>
          <a:bodyPr rot="-60000000" spcFirstLastPara="0" vertOverflow="ellipsis" vert="horz" wrap="square" anchor="ctr" anchorCtr="1"/>
          <a:lstStyle/>
          <a:p>
            <a:pPr>
              <a:defRPr lang="en-US" sz="1050" b="0" i="0" u="none" strike="noStrike" kern="1200" baseline="0">
                <a:solidFill>
                  <a:schemeClr val="tx1"/>
                </a:solidFill>
                <a:latin typeface="+mn-lt"/>
                <a:ea typeface="+mn-ea"/>
                <a:cs typeface="+mn-cs"/>
              </a:defRPr>
            </a:pPr>
            <a:endParaRPr lang="en-US"/>
          </a:p>
        </c:txPr>
        <c:crossAx val="67041152"/>
        <c:crosses val="autoZero"/>
        <c:auto val="1"/>
        <c:lblAlgn val="ctr"/>
        <c:lblOffset val="100"/>
      </c:catAx>
      <c:valAx>
        <c:axId val="67041152"/>
        <c:scaling>
          <c:orientation val="minMax"/>
        </c:scaling>
        <c:axPos val="l"/>
        <c:majorGridlines/>
        <c:numFmt formatCode="General" sourceLinked="1"/>
        <c:tickLblPos val="nextTo"/>
        <c:txPr>
          <a:bodyPr rot="-60000000" spcFirstLastPara="0" vertOverflow="ellipsis" vert="horz" wrap="square" anchor="ctr" anchorCtr="1"/>
          <a:lstStyle/>
          <a:p>
            <a:pPr>
              <a:defRPr lang="en-US" sz="1200" b="0" i="0" u="none" strike="noStrike" kern="1200" baseline="0">
                <a:solidFill>
                  <a:schemeClr val="tx1"/>
                </a:solidFill>
                <a:latin typeface="+mn-lt"/>
                <a:ea typeface="+mn-ea"/>
                <a:cs typeface="+mn-cs"/>
              </a:defRPr>
            </a:pPr>
            <a:endParaRPr lang="en-US"/>
          </a:p>
        </c:txPr>
        <c:crossAx val="67039616"/>
        <c:crosses val="autoZero"/>
        <c:crossBetween val="between"/>
      </c:valAx>
    </c:plotArea>
    <c:legend>
      <c:legendPos val="r"/>
      <c:txPr>
        <a:bodyPr rot="0" spcFirstLastPara="0" vertOverflow="ellipsis" vert="horz" wrap="square" anchor="ctr" anchorCtr="1"/>
        <a:lstStyle/>
        <a:p>
          <a:pPr>
            <a:defRPr lang="en-US" sz="105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en-US" sz="1800"/>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lt-LT" sz="1862" b="0" i="0" u="none" strike="noStrike" kern="1200" spc="0" baseline="0">
                <a:solidFill>
                  <a:schemeClr val="tx1">
                    <a:lumMod val="65000"/>
                    <a:lumOff val="35000"/>
                  </a:schemeClr>
                </a:solidFill>
                <a:latin typeface="+mn-lt"/>
                <a:ea typeface="+mn-ea"/>
                <a:cs typeface="+mn-cs"/>
              </a:defRPr>
            </a:pPr>
            <a:r>
              <a:rPr lang="lt-LT" sz="1200" b="1">
                <a:solidFill>
                  <a:sysClr val="windowText" lastClr="000000"/>
                </a:solidFill>
                <a:latin typeface="Times New Roman" panose="02020603050405020304" pitchFamily="18" charset="0"/>
                <a:cs typeface="Times New Roman" panose="02020603050405020304" pitchFamily="18" charset="0"/>
              </a:rPr>
              <a:t>Pastarųjų metų abiturientų mokymosi</a:t>
            </a:r>
            <a:r>
              <a:rPr lang="lt-LT" sz="1200" b="1" baseline="0">
                <a:solidFill>
                  <a:sysClr val="windowText" lastClr="000000"/>
                </a:solidFill>
                <a:latin typeface="Times New Roman" panose="02020603050405020304" pitchFamily="18" charset="0"/>
                <a:cs typeface="Times New Roman" panose="02020603050405020304" pitchFamily="18" charset="0"/>
              </a:rPr>
              <a:t> vidurkiai</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Lapas1!$B$1</c:f>
              <c:strCache>
                <c:ptCount val="1"/>
                <c:pt idx="0">
                  <c:v>Vidurkis</c:v>
                </c:pt>
              </c:strCache>
            </c:strRef>
          </c:tx>
          <c:spPr>
            <a:solidFill>
              <a:schemeClr val="accent1"/>
            </a:solidFill>
            <a:ln>
              <a:noFill/>
            </a:ln>
            <a:effectLst/>
            <a:sp3d/>
          </c:spPr>
          <c:dLbls>
            <c:dLbl>
              <c:idx val="0"/>
              <c:layout>
                <c:manualLayout>
                  <c:x val="2.9095716785583571E-2"/>
                  <c:y val="-9.253010643694431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BE0-407C-A593-EE584DED3EF8}"/>
                </c:ext>
              </c:extLst>
            </c:dLbl>
            <c:dLbl>
              <c:idx val="1"/>
              <c:layout>
                <c:manualLayout>
                  <c:x val="2.1160521298606166E-2"/>
                  <c:y val="-7.325300092924759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BE0-407C-A593-EE584DED3EF8}"/>
                </c:ext>
              </c:extLst>
            </c:dLbl>
            <c:dLbl>
              <c:idx val="2"/>
              <c:layout>
                <c:manualLayout>
                  <c:x val="2.380558646093198E-2"/>
                  <c:y val="-8.096384313232643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BE0-407C-A593-EE584DED3EF8}"/>
                </c:ext>
              </c:extLst>
            </c:dLbl>
            <c:spPr>
              <a:noFill/>
              <a:ln>
                <a:noFill/>
              </a:ln>
              <a:effectLst/>
            </c:spPr>
            <c:txPr>
              <a:bodyPr rot="0" spcFirstLastPara="1" vertOverflow="ellipsis" vert="horz" wrap="square" lIns="38100" tIns="19050" rIns="38100" bIns="19050" anchor="ctr" anchorCtr="1">
                <a:spAutoFit/>
              </a:bodyPr>
              <a:lstStyle/>
              <a:p>
                <a:pPr>
                  <a:defRPr lang="lt-LT"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2020/2021</c:v>
                </c:pt>
                <c:pt idx="1">
                  <c:v>2019/2020</c:v>
                </c:pt>
                <c:pt idx="2">
                  <c:v>2018/2019</c:v>
                </c:pt>
              </c:strCache>
            </c:strRef>
          </c:cat>
          <c:val>
            <c:numRef>
              <c:f>Lapas1!$B$2:$B$4</c:f>
              <c:numCache>
                <c:formatCode>General</c:formatCode>
                <c:ptCount val="3"/>
                <c:pt idx="0">
                  <c:v>6.58</c:v>
                </c:pt>
                <c:pt idx="1">
                  <c:v>8.01</c:v>
                </c:pt>
                <c:pt idx="2">
                  <c:v>7.54</c:v>
                </c:pt>
              </c:numCache>
            </c:numRef>
          </c:val>
          <c:extLst xmlns:c16r2="http://schemas.microsoft.com/office/drawing/2015/06/chart">
            <c:ext xmlns:c16="http://schemas.microsoft.com/office/drawing/2014/chart" uri="{C3380CC4-5D6E-409C-BE32-E72D297353CC}">
              <c16:uniqueId val="{00000003-FBE0-407C-A593-EE584DED3EF8}"/>
            </c:ext>
          </c:extLst>
        </c:ser>
        <c:shape val="box"/>
        <c:axId val="73700864"/>
        <c:axId val="74073216"/>
        <c:axId val="0"/>
      </c:bar3DChart>
      <c:catAx>
        <c:axId val="7370086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lt-LT"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073216"/>
        <c:crosses val="autoZero"/>
        <c:auto val="1"/>
        <c:lblAlgn val="ctr"/>
        <c:lblOffset val="100"/>
      </c:catAx>
      <c:valAx>
        <c:axId val="7407321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lt-LT"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70086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lt-LT" sz="11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0069E-DEF1-4D0F-AE4E-747B9FB7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2221</Words>
  <Characters>12662</Characters>
  <Application>Microsoft Office Word</Application>
  <DocSecurity>0</DocSecurity>
  <Lines>105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Stakliškių gimnazija</dc:creator>
  <cp:lastModifiedBy>BiruteZvi</cp:lastModifiedBy>
  <cp:revision>4</cp:revision>
  <cp:lastPrinted>2022-02-21T10:30:00Z</cp:lastPrinted>
  <dcterms:created xsi:type="dcterms:W3CDTF">2022-04-15T06:25:00Z</dcterms:created>
  <dcterms:modified xsi:type="dcterms:W3CDTF">2022-04-15T06:25:00Z</dcterms:modified>
</cp:coreProperties>
</file>