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B0" w:rsidRDefault="005F7116" w:rsidP="009206B0">
      <w:pPr>
        <w:tabs>
          <w:tab w:val="left" w:pos="5529"/>
          <w:tab w:val="left" w:pos="5954"/>
        </w:tabs>
        <w:spacing w:line="276" w:lineRule="auto"/>
        <w:ind w:left="9639" w:right="360" w:hanging="3519"/>
        <w:jc w:val="both"/>
      </w:pPr>
      <w:r w:rsidRPr="002C52DD">
        <w:t>PA</w:t>
      </w:r>
      <w:r w:rsidR="00836015" w:rsidRPr="002C52DD">
        <w:t>TVIRTINTA</w:t>
      </w:r>
    </w:p>
    <w:p w:rsidR="009206B0" w:rsidRDefault="00836015" w:rsidP="009206B0">
      <w:pPr>
        <w:tabs>
          <w:tab w:val="left" w:pos="5529"/>
          <w:tab w:val="left" w:pos="5954"/>
        </w:tabs>
        <w:spacing w:line="276" w:lineRule="auto"/>
        <w:ind w:left="9639" w:right="360" w:hanging="3519"/>
        <w:jc w:val="both"/>
      </w:pPr>
      <w:r w:rsidRPr="002C52DD">
        <w:t>Prienų rajono savivaldybės</w:t>
      </w:r>
      <w:r w:rsidR="009206B0">
        <w:t xml:space="preserve"> </w:t>
      </w:r>
      <w:r w:rsidRPr="002C52DD">
        <w:t>tarybos</w:t>
      </w:r>
    </w:p>
    <w:p w:rsidR="009206B0" w:rsidRDefault="00836015" w:rsidP="009206B0">
      <w:pPr>
        <w:tabs>
          <w:tab w:val="left" w:pos="5529"/>
          <w:tab w:val="left" w:pos="5954"/>
        </w:tabs>
        <w:spacing w:line="276" w:lineRule="auto"/>
        <w:ind w:left="9639" w:right="360" w:hanging="3519"/>
        <w:jc w:val="both"/>
      </w:pPr>
      <w:r w:rsidRPr="002C52DD">
        <w:t>2022 m.</w:t>
      </w:r>
      <w:r w:rsidR="001E2D6B">
        <w:t xml:space="preserve"> balandžio 28</w:t>
      </w:r>
      <w:r w:rsidRPr="002C52DD">
        <w:t xml:space="preserve"> d. </w:t>
      </w:r>
    </w:p>
    <w:p w:rsidR="00836015" w:rsidRPr="002C52DD" w:rsidRDefault="00836015" w:rsidP="009206B0">
      <w:pPr>
        <w:tabs>
          <w:tab w:val="left" w:pos="5529"/>
          <w:tab w:val="left" w:pos="5954"/>
        </w:tabs>
        <w:spacing w:line="276" w:lineRule="auto"/>
        <w:ind w:left="9639" w:right="360" w:hanging="3519"/>
        <w:jc w:val="both"/>
      </w:pPr>
      <w:r w:rsidRPr="002C52DD">
        <w:t>sprendimu Nr. T</w:t>
      </w:r>
      <w:r w:rsidR="009206B0">
        <w:t>3</w:t>
      </w:r>
      <w:r w:rsidRPr="002C52DD">
        <w:t>-</w:t>
      </w:r>
      <w:r w:rsidR="001E2D6B">
        <w:t>155</w:t>
      </w:r>
    </w:p>
    <w:p w:rsidR="006D4F14" w:rsidRPr="002C52DD" w:rsidRDefault="006D4F14" w:rsidP="00836015">
      <w:pPr>
        <w:ind w:right="4301"/>
        <w:jc w:val="center"/>
      </w:pPr>
    </w:p>
    <w:p w:rsidR="00FA305D" w:rsidRPr="002C52DD" w:rsidRDefault="00FA305D" w:rsidP="00AF63A2">
      <w:pPr>
        <w:ind w:right="360"/>
        <w:rPr>
          <w:b/>
        </w:rPr>
      </w:pPr>
    </w:p>
    <w:p w:rsidR="009028E8" w:rsidRPr="002C52DD" w:rsidRDefault="009028E8" w:rsidP="009028E8">
      <w:pPr>
        <w:spacing w:line="276" w:lineRule="auto"/>
        <w:ind w:right="360"/>
        <w:jc w:val="center"/>
        <w:rPr>
          <w:b/>
        </w:rPr>
      </w:pPr>
    </w:p>
    <w:p w:rsidR="0016739D" w:rsidRPr="002C52DD" w:rsidRDefault="007F256D" w:rsidP="00383DF5">
      <w:pPr>
        <w:ind w:right="360"/>
        <w:jc w:val="center"/>
        <w:rPr>
          <w:b/>
        </w:rPr>
      </w:pPr>
      <w:r w:rsidRPr="002C52DD">
        <w:rPr>
          <w:b/>
        </w:rPr>
        <w:t xml:space="preserve">PRIENŲ RAJONO SAVIVALDYBĖS </w:t>
      </w:r>
      <w:r w:rsidR="00655B23" w:rsidRPr="002C52DD">
        <w:rPr>
          <w:b/>
        </w:rPr>
        <w:t xml:space="preserve">SUSISIEKIMO KOMUNIKACIJŲ OBJEKTŲ, KURIUOSE ATLIEKAMI PAPRASTOJO REMONTO DARBAI </w:t>
      </w:r>
      <w:r w:rsidR="005F7116" w:rsidRPr="002C52DD">
        <w:rPr>
          <w:b/>
        </w:rPr>
        <w:t>(</w:t>
      </w:r>
      <w:r w:rsidR="00655B23" w:rsidRPr="002C52DD">
        <w:rPr>
          <w:b/>
        </w:rPr>
        <w:t>APIMTIS NE MAŽESNĖ NEI 1000 M²</w:t>
      </w:r>
      <w:r w:rsidR="005F7116" w:rsidRPr="002C52DD">
        <w:rPr>
          <w:b/>
        </w:rPr>
        <w:t>)</w:t>
      </w:r>
      <w:r w:rsidR="00655B23" w:rsidRPr="002C52DD">
        <w:rPr>
          <w:b/>
        </w:rPr>
        <w:t xml:space="preserve"> IR SU ŠIAIS DARBAIS SUSIJUSIOS INŽINERINĖS PASLAUGOS, </w:t>
      </w:r>
      <w:r w:rsidR="00773643" w:rsidRPr="002C52DD">
        <w:rPr>
          <w:b/>
        </w:rPr>
        <w:t xml:space="preserve">PRIORITETINIS TREJŲ METŲ </w:t>
      </w:r>
      <w:r w:rsidR="00CC07A3" w:rsidRPr="002C52DD">
        <w:rPr>
          <w:b/>
        </w:rPr>
        <w:t>SĄRAŠAS</w:t>
      </w:r>
    </w:p>
    <w:p w:rsidR="0016739D" w:rsidRPr="002C52DD" w:rsidRDefault="0016739D" w:rsidP="0096406B">
      <w:pPr>
        <w:spacing w:line="360" w:lineRule="auto"/>
        <w:ind w:right="360" w:firstLine="1298"/>
        <w:jc w:val="both"/>
      </w:pPr>
    </w:p>
    <w:tbl>
      <w:tblPr>
        <w:tblStyle w:val="TableGrid"/>
        <w:tblW w:w="9923" w:type="dxa"/>
        <w:tblInd w:w="-34" w:type="dxa"/>
        <w:tblLayout w:type="fixed"/>
        <w:tblLook w:val="04A0"/>
      </w:tblPr>
      <w:tblGrid>
        <w:gridCol w:w="924"/>
        <w:gridCol w:w="778"/>
        <w:gridCol w:w="6378"/>
        <w:gridCol w:w="1843"/>
      </w:tblGrid>
      <w:tr w:rsidR="003D0D89" w:rsidRPr="002C52DD" w:rsidTr="00963BB2">
        <w:trPr>
          <w:trHeight w:val="1824"/>
        </w:trPr>
        <w:tc>
          <w:tcPr>
            <w:tcW w:w="924" w:type="dxa"/>
            <w:tcBorders>
              <w:top w:val="single" w:sz="4" w:space="0" w:color="auto"/>
              <w:left w:val="single" w:sz="4" w:space="0" w:color="auto"/>
              <w:bottom w:val="single" w:sz="4" w:space="0" w:color="auto"/>
              <w:right w:val="single" w:sz="4" w:space="0" w:color="auto"/>
            </w:tcBorders>
            <w:vAlign w:val="center"/>
            <w:hideMark/>
          </w:tcPr>
          <w:p w:rsidR="003D0D89" w:rsidRPr="002C52DD" w:rsidRDefault="003D0D89" w:rsidP="00F40A83">
            <w:pPr>
              <w:spacing w:line="276" w:lineRule="auto"/>
              <w:ind w:right="-108" w:firstLine="34"/>
              <w:jc w:val="center"/>
              <w:rPr>
                <w:rFonts w:ascii="Times New Roman" w:hAnsi="Times New Roman" w:cs="Times New Roman"/>
                <w:sz w:val="24"/>
                <w:szCs w:val="24"/>
              </w:rPr>
            </w:pPr>
            <w:r w:rsidRPr="002C52DD">
              <w:rPr>
                <w:rFonts w:ascii="Times New Roman" w:hAnsi="Times New Roman" w:cs="Times New Roman"/>
                <w:sz w:val="24"/>
                <w:szCs w:val="24"/>
              </w:rPr>
              <w:t>Metai</w:t>
            </w:r>
          </w:p>
        </w:tc>
        <w:tc>
          <w:tcPr>
            <w:tcW w:w="778" w:type="dxa"/>
            <w:tcBorders>
              <w:top w:val="single" w:sz="4" w:space="0" w:color="auto"/>
              <w:left w:val="single" w:sz="4" w:space="0" w:color="auto"/>
              <w:bottom w:val="single" w:sz="4" w:space="0" w:color="auto"/>
              <w:right w:val="single" w:sz="4" w:space="0" w:color="auto"/>
            </w:tcBorders>
            <w:vAlign w:val="center"/>
          </w:tcPr>
          <w:p w:rsidR="003D0D89" w:rsidRPr="002C52DD" w:rsidRDefault="003D0D89" w:rsidP="00F40A83">
            <w:pPr>
              <w:spacing w:line="276" w:lineRule="auto"/>
              <w:ind w:right="72"/>
              <w:jc w:val="center"/>
              <w:rPr>
                <w:rFonts w:ascii="Times New Roman" w:hAnsi="Times New Roman" w:cs="Times New Roman"/>
                <w:sz w:val="24"/>
                <w:szCs w:val="24"/>
              </w:rPr>
            </w:pPr>
            <w:r w:rsidRPr="002C52DD">
              <w:rPr>
                <w:rFonts w:ascii="Times New Roman" w:hAnsi="Times New Roman" w:cs="Times New Roman"/>
                <w:sz w:val="24"/>
                <w:szCs w:val="24"/>
              </w:rPr>
              <w:t>Eil. Nr.</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D89" w:rsidRPr="002C52DD" w:rsidRDefault="003D0D89" w:rsidP="00F40A83">
            <w:pPr>
              <w:spacing w:line="276" w:lineRule="auto"/>
              <w:ind w:right="360"/>
              <w:jc w:val="center"/>
              <w:rPr>
                <w:rFonts w:ascii="Times New Roman" w:hAnsi="Times New Roman" w:cs="Times New Roman"/>
                <w:sz w:val="24"/>
                <w:szCs w:val="24"/>
              </w:rPr>
            </w:pPr>
            <w:r w:rsidRPr="002C52DD">
              <w:rPr>
                <w:rFonts w:ascii="Times New Roman" w:hAnsi="Times New Roman" w:cs="Times New Roman"/>
                <w:sz w:val="24"/>
                <w:szCs w:val="24"/>
              </w:rPr>
              <w:t>Numatomi įgyvendinti projektai</w:t>
            </w:r>
          </w:p>
        </w:tc>
        <w:tc>
          <w:tcPr>
            <w:tcW w:w="1843" w:type="dxa"/>
            <w:tcBorders>
              <w:top w:val="single" w:sz="4" w:space="0" w:color="auto"/>
              <w:left w:val="single" w:sz="4" w:space="0" w:color="auto"/>
              <w:bottom w:val="single" w:sz="4" w:space="0" w:color="auto"/>
              <w:right w:val="single" w:sz="4" w:space="0" w:color="auto"/>
            </w:tcBorders>
            <w:vAlign w:val="center"/>
          </w:tcPr>
          <w:p w:rsidR="003D0D89" w:rsidRPr="002C52DD" w:rsidRDefault="003D0D89" w:rsidP="00963BB2">
            <w:pPr>
              <w:spacing w:line="276" w:lineRule="auto"/>
              <w:ind w:right="-18"/>
              <w:jc w:val="center"/>
              <w:rPr>
                <w:rFonts w:ascii="Times New Roman" w:hAnsi="Times New Roman" w:cs="Times New Roman"/>
                <w:sz w:val="24"/>
                <w:szCs w:val="24"/>
              </w:rPr>
            </w:pPr>
            <w:r w:rsidRPr="002C52DD">
              <w:rPr>
                <w:rFonts w:ascii="Times New Roman" w:hAnsi="Times New Roman" w:cs="Times New Roman"/>
                <w:sz w:val="24"/>
                <w:szCs w:val="24"/>
              </w:rPr>
              <w:t>Preliminarus remontuojamo ruožo ilgis, m</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r w:rsidRPr="002C52DD">
              <w:rPr>
                <w:rFonts w:ascii="Times New Roman" w:hAnsi="Times New Roman" w:cs="Times New Roman"/>
                <w:b/>
                <w:sz w:val="24"/>
                <w:szCs w:val="24"/>
              </w:rPr>
              <w:t>2022</w:t>
            </w: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F00F50">
            <w:pPr>
              <w:spacing w:line="276" w:lineRule="auto"/>
              <w:ind w:left="150"/>
              <w:rPr>
                <w:rFonts w:ascii="Times New Roman" w:hAnsi="Times New Roman" w:cs="Times New Roman"/>
                <w:sz w:val="24"/>
                <w:szCs w:val="24"/>
              </w:rPr>
            </w:pPr>
            <w:r w:rsidRPr="002C52DD">
              <w:rPr>
                <w:rFonts w:ascii="Times New Roman" w:hAnsi="Times New Roman" w:cs="Times New Roman"/>
                <w:sz w:val="24"/>
                <w:szCs w:val="24"/>
              </w:rPr>
              <w:t>Riešuto g. (VE-294) Mažųjų Zariškių k. Veiverių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F00F50">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2200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2</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F00F50">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Nemuno g. (PR-206) Naravų k. Prienų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F00F50">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2500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3</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J. Janonio g. (PR-57) Prienų m. Prienų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140</w:t>
            </w:r>
          </w:p>
        </w:tc>
      </w:tr>
      <w:tr w:rsidR="003D0D89" w:rsidRPr="002C52DD" w:rsidTr="00963BB2">
        <w:trPr>
          <w:trHeight w:val="1050"/>
        </w:trPr>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4</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Sodų g. – Sodų g. 22B (PA-19) Pakuonio k. Pakuonio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180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5</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Žalioji g. (PR-172) Bagrėno k. Prienų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ir žvyro dangos)</w:t>
            </w:r>
          </w:p>
        </w:tc>
        <w:tc>
          <w:tcPr>
            <w:tcW w:w="1843" w:type="dxa"/>
            <w:tcBorders>
              <w:top w:val="single" w:sz="4" w:space="0" w:color="auto"/>
              <w:left w:val="single" w:sz="4" w:space="0" w:color="auto"/>
              <w:bottom w:val="single" w:sz="4" w:space="0" w:color="auto"/>
              <w:right w:val="single" w:sz="4" w:space="0" w:color="auto"/>
            </w:tcBorders>
          </w:tcPr>
          <w:p w:rsidR="00A25BFD" w:rsidRPr="002C52DD" w:rsidRDefault="007E3513">
            <w:pPr>
              <w:spacing w:line="276" w:lineRule="auto"/>
              <w:ind w:right="34"/>
              <w:rPr>
                <w:rFonts w:ascii="Times New Roman" w:hAnsi="Times New Roman" w:cs="Times New Roman"/>
                <w:sz w:val="24"/>
                <w:szCs w:val="24"/>
              </w:rPr>
            </w:pPr>
            <w:r w:rsidRPr="002C52DD">
              <w:rPr>
                <w:rFonts w:ascii="Times New Roman" w:hAnsi="Times New Roman" w:cs="Times New Roman"/>
                <w:sz w:val="24"/>
                <w:szCs w:val="24"/>
              </w:rPr>
              <w:t xml:space="preserve">Asfaltas – 299 </w:t>
            </w:r>
          </w:p>
          <w:p w:rsidR="00A25BFD" w:rsidRPr="002C52DD" w:rsidRDefault="007E3513">
            <w:pPr>
              <w:spacing w:line="276" w:lineRule="auto"/>
              <w:ind w:right="34"/>
              <w:rPr>
                <w:rFonts w:ascii="Times New Roman" w:hAnsi="Times New Roman" w:cs="Times New Roman"/>
                <w:sz w:val="24"/>
                <w:szCs w:val="24"/>
              </w:rPr>
            </w:pPr>
            <w:r w:rsidRPr="002C52DD">
              <w:rPr>
                <w:rFonts w:ascii="Times New Roman" w:hAnsi="Times New Roman" w:cs="Times New Roman"/>
                <w:sz w:val="24"/>
                <w:szCs w:val="24"/>
              </w:rPr>
              <w:t>Žvyras – 231</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6</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4F6504"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Žalioji g. (JI-2) Jiezno m.</w:t>
            </w:r>
            <w:r w:rsidR="003D0D89" w:rsidRPr="002C52DD">
              <w:rPr>
                <w:rFonts w:ascii="Times New Roman" w:hAnsi="Times New Roman" w:cs="Times New Roman"/>
                <w:sz w:val="24"/>
                <w:szCs w:val="24"/>
              </w:rPr>
              <w:t xml:space="preserve"> </w:t>
            </w:r>
            <w:r w:rsidRPr="002C52DD">
              <w:rPr>
                <w:rFonts w:ascii="Times New Roman" w:hAnsi="Times New Roman" w:cs="Times New Roman"/>
                <w:sz w:val="24"/>
                <w:szCs w:val="24"/>
              </w:rPr>
              <w:t xml:space="preserve">Jiezno sen. </w:t>
            </w:r>
            <w:r w:rsidR="003D0D89" w:rsidRPr="002C52DD">
              <w:rPr>
                <w:rFonts w:ascii="Times New Roman" w:hAnsi="Times New Roman" w:cs="Times New Roman"/>
                <w:sz w:val="24"/>
                <w:szCs w:val="24"/>
              </w:rPr>
              <w:t>(</w:t>
            </w:r>
            <w:r w:rsidRPr="002C52DD">
              <w:rPr>
                <w:rFonts w:ascii="Times New Roman" w:hAnsi="Times New Roman" w:cs="Times New Roman"/>
                <w:sz w:val="24"/>
                <w:szCs w:val="24"/>
              </w:rPr>
              <w:t>asfaltbetonio danga</w:t>
            </w:r>
            <w:r w:rsidR="003D0D89" w:rsidRPr="002C52D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550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7</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E33AA9">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Draugystės g. (VE-111) Mozūriškių k. Veiverių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E33AA9">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2031</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8</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pStyle w:val="ListParagraph"/>
              <w:autoSpaceDE w:val="0"/>
              <w:autoSpaceDN w:val="0"/>
              <w:adjustRightInd w:val="0"/>
              <w:spacing w:after="0"/>
              <w:ind w:left="150"/>
              <w:rPr>
                <w:rFonts w:ascii="Times New Roman" w:hAnsi="Times New Roman" w:cs="Times New Roman"/>
                <w:sz w:val="24"/>
                <w:szCs w:val="24"/>
              </w:rPr>
            </w:pPr>
            <w:r w:rsidRPr="002C52DD">
              <w:rPr>
                <w:rFonts w:ascii="Times New Roman" w:hAnsi="Times New Roman" w:cs="Times New Roman"/>
                <w:sz w:val="24"/>
                <w:szCs w:val="24"/>
              </w:rPr>
              <w:t>Šilo g. (IS-56) Pakumprio k. Išlaužo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270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r w:rsidRPr="002C52DD">
              <w:rPr>
                <w:rFonts w:ascii="Times New Roman" w:hAnsi="Times New Roman" w:cs="Times New Roman"/>
                <w:b/>
                <w:sz w:val="24"/>
                <w:szCs w:val="24"/>
              </w:rPr>
              <w:t>2023</w:t>
            </w: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9</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Gerulių g. (BA-26) dalis Balbieriškio mstl. Balbieriškio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541</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10</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Jaunimo g. (IS-43) Čiudiškių k. Išlaužo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397</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11</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Mokyklos g. (ST-114) Užuguosčio k. Stakliškių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715</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12</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Partizanų g. (BA-73) Balbieriškio mstl. Balbieriškio sen. (asfalt</w:t>
            </w:r>
            <w:r w:rsidR="005F7116" w:rsidRPr="002C52DD">
              <w:rPr>
                <w:rFonts w:ascii="Times New Roman" w:hAnsi="Times New Roman" w:cs="Times New Roman"/>
                <w:sz w:val="24"/>
                <w:szCs w:val="24"/>
              </w:rPr>
              <w:t>b</w:t>
            </w:r>
            <w:r w:rsidR="004F6504" w:rsidRPr="002C52DD">
              <w:rPr>
                <w:rFonts w:ascii="Times New Roman" w:hAnsi="Times New Roman" w:cs="Times New Roman"/>
                <w:sz w:val="24"/>
                <w:szCs w:val="24"/>
              </w:rPr>
              <w:t>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500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13</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Verknės g. (ST-128, ST-129) ir tilt</w:t>
            </w:r>
            <w:r w:rsidR="005F7116" w:rsidRPr="002C52DD">
              <w:rPr>
                <w:rFonts w:ascii="Times New Roman" w:hAnsi="Times New Roman" w:cs="Times New Roman"/>
                <w:sz w:val="24"/>
                <w:szCs w:val="24"/>
              </w:rPr>
              <w:t>as</w:t>
            </w:r>
            <w:r w:rsidRPr="002C52DD">
              <w:rPr>
                <w:rFonts w:ascii="Times New Roman" w:hAnsi="Times New Roman" w:cs="Times New Roman"/>
                <w:sz w:val="24"/>
                <w:szCs w:val="24"/>
              </w:rPr>
              <w:t xml:space="preserve"> per Ūsupio upelį </w:t>
            </w:r>
            <w:r w:rsidRPr="002C52DD">
              <w:rPr>
                <w:rFonts w:ascii="Times New Roman" w:hAnsi="Times New Roman" w:cs="Times New Roman"/>
                <w:sz w:val="24"/>
                <w:szCs w:val="24"/>
              </w:rPr>
              <w:lastRenderedPageBreak/>
              <w:t>Pikelionių, Pakrovų kaimuose Stakliškių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lastRenderedPageBreak/>
              <w:t>2190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14</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4F6504"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Kauno g. (JI-41) Jiezno m. Jiezno sen.</w:t>
            </w:r>
            <w:r w:rsidR="003D0D89" w:rsidRPr="002C52DD">
              <w:rPr>
                <w:rFonts w:ascii="Times New Roman" w:hAnsi="Times New Roman" w:cs="Times New Roman"/>
                <w:sz w:val="24"/>
                <w:szCs w:val="24"/>
              </w:rPr>
              <w:t xml:space="preserve"> (</w:t>
            </w:r>
            <w:r w:rsidRPr="002C52DD">
              <w:rPr>
                <w:rFonts w:ascii="Times New Roman" w:hAnsi="Times New Roman" w:cs="Times New Roman"/>
                <w:sz w:val="24"/>
                <w:szCs w:val="24"/>
              </w:rPr>
              <w:t>asfaltbetonio danga</w:t>
            </w:r>
            <w:r w:rsidR="003D0D89" w:rsidRPr="002C52D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470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15</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Debesų g. (PR-150) Pociūnų k. Prienų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809</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16</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Alytaus g. (IS-9) Išlaužo k. Išlaužo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336</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r w:rsidRPr="002C52DD">
              <w:rPr>
                <w:rFonts w:ascii="Times New Roman" w:hAnsi="Times New Roman" w:cs="Times New Roman"/>
                <w:b/>
                <w:sz w:val="24"/>
                <w:szCs w:val="24"/>
              </w:rPr>
              <w:t>2024</w:t>
            </w: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17</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BA4C8E">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Ryto g. (NA-34) Žemaitkiemio k. Naujosios Ūtos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BA4C8E">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1152</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18</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Ežero g. (SI-43) Prienlaukio k. Šilavoto sen</w:t>
            </w:r>
            <w:r w:rsidR="00D2191E" w:rsidRPr="002C52DD">
              <w:rPr>
                <w:rFonts w:ascii="Times New Roman" w:hAnsi="Times New Roman" w:cs="Times New Roman"/>
                <w:sz w:val="24"/>
                <w:szCs w:val="24"/>
              </w:rPr>
              <w:t>.</w:t>
            </w:r>
            <w:r w:rsidRPr="002C52DD">
              <w:rPr>
                <w:rFonts w:ascii="Times New Roman" w:hAnsi="Times New Roman" w:cs="Times New Roman"/>
                <w:sz w:val="24"/>
                <w:szCs w:val="24"/>
              </w:rPr>
              <w:t xml:space="preserve">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1402</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19</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Nemuno g. (PA-72) Vangų k. Pakuonio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1721</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20</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pStyle w:val="ListParagraph"/>
              <w:autoSpaceDE w:val="0"/>
              <w:autoSpaceDN w:val="0"/>
              <w:adjustRightInd w:val="0"/>
              <w:spacing w:after="0"/>
              <w:ind w:left="150"/>
              <w:rPr>
                <w:rFonts w:ascii="Times New Roman" w:hAnsi="Times New Roman" w:cs="Times New Roman"/>
                <w:sz w:val="24"/>
                <w:szCs w:val="24"/>
              </w:rPr>
            </w:pPr>
            <w:r w:rsidRPr="002C52DD">
              <w:rPr>
                <w:rFonts w:ascii="Times New Roman" w:hAnsi="Times New Roman" w:cs="Times New Roman"/>
                <w:sz w:val="24"/>
                <w:szCs w:val="24"/>
              </w:rPr>
              <w:t>Ežero g. (JI-91) Kašonių k. Jiezno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2000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21</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Pašilės g. (SI-58) dalis Ingavangio k. Šilavoto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800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22</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Pašilės g. (BA-28</w:t>
            </w:r>
            <w:r w:rsidR="005F7116" w:rsidRPr="002C52DD">
              <w:rPr>
                <w:rFonts w:ascii="Times New Roman" w:hAnsi="Times New Roman" w:cs="Times New Roman"/>
                <w:sz w:val="24"/>
                <w:szCs w:val="24"/>
              </w:rPr>
              <w:t>)</w:t>
            </w:r>
            <w:r w:rsidRPr="002C52DD">
              <w:rPr>
                <w:rFonts w:ascii="Times New Roman" w:hAnsi="Times New Roman" w:cs="Times New Roman"/>
                <w:sz w:val="24"/>
                <w:szCs w:val="24"/>
              </w:rPr>
              <w:t xml:space="preserve"> dalis Nešeikių, Mardosų, Norkūnų, Medžiukų, Daujotiškių kaimuose Balbieriškio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1800</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23</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AE1412">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Kelias NA-15 Pilotiškių k. Naujosios Ūtos sen. (žvyro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1916</w:t>
            </w:r>
          </w:p>
        </w:tc>
      </w:tr>
      <w:tr w:rsidR="003D0D89" w:rsidRPr="002C52DD" w:rsidTr="00963BB2">
        <w:tc>
          <w:tcPr>
            <w:tcW w:w="924" w:type="dxa"/>
            <w:tcBorders>
              <w:top w:val="single" w:sz="4" w:space="0" w:color="auto"/>
              <w:left w:val="single" w:sz="4" w:space="0" w:color="auto"/>
              <w:bottom w:val="single" w:sz="4" w:space="0" w:color="auto"/>
              <w:right w:val="single" w:sz="4" w:space="0" w:color="auto"/>
            </w:tcBorders>
          </w:tcPr>
          <w:p w:rsidR="003D0D89" w:rsidRPr="002C52DD" w:rsidRDefault="003D0D89"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3D0D89" w:rsidRPr="002C52DD" w:rsidRDefault="003D0D89" w:rsidP="00A55522">
            <w:pPr>
              <w:pStyle w:val="ListParagraph"/>
              <w:spacing w:after="0"/>
              <w:ind w:left="5" w:right="173"/>
              <w:jc w:val="center"/>
              <w:rPr>
                <w:rFonts w:ascii="Times New Roman" w:hAnsi="Times New Roman" w:cs="Times New Roman"/>
                <w:sz w:val="24"/>
                <w:szCs w:val="24"/>
              </w:rPr>
            </w:pPr>
            <w:r w:rsidRPr="002C52DD">
              <w:rPr>
                <w:rFonts w:ascii="Times New Roman" w:hAnsi="Times New Roman" w:cs="Times New Roman"/>
                <w:sz w:val="24"/>
                <w:szCs w:val="24"/>
              </w:rPr>
              <w:t>24</w:t>
            </w:r>
            <w:r w:rsidR="003933B5">
              <w:rPr>
                <w:rFonts w:ascii="Times New Roman" w:hAnsi="Times New Roman" w:cs="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hideMark/>
          </w:tcPr>
          <w:p w:rsidR="003D0D89" w:rsidRPr="002C52DD" w:rsidRDefault="003D0D89" w:rsidP="004F6504">
            <w:pPr>
              <w:spacing w:line="276" w:lineRule="auto"/>
              <w:ind w:left="150" w:right="201"/>
              <w:rPr>
                <w:rFonts w:ascii="Times New Roman" w:hAnsi="Times New Roman" w:cs="Times New Roman"/>
                <w:sz w:val="24"/>
                <w:szCs w:val="24"/>
              </w:rPr>
            </w:pPr>
            <w:r w:rsidRPr="002C52DD">
              <w:rPr>
                <w:rFonts w:ascii="Times New Roman" w:hAnsi="Times New Roman" w:cs="Times New Roman"/>
                <w:sz w:val="24"/>
                <w:szCs w:val="24"/>
              </w:rPr>
              <w:t>Žiedo g. (ST-182) Vyšniūnų k. Stakliškių sen. (asfalt</w:t>
            </w:r>
            <w:r w:rsidR="004F6504" w:rsidRPr="002C52DD">
              <w:rPr>
                <w:rFonts w:ascii="Times New Roman" w:hAnsi="Times New Roman" w:cs="Times New Roman"/>
                <w:sz w:val="24"/>
                <w:szCs w:val="24"/>
              </w:rPr>
              <w:t>betonio</w:t>
            </w:r>
            <w:r w:rsidRPr="002C52DD">
              <w:rPr>
                <w:rFonts w:ascii="Times New Roman" w:hAnsi="Times New Roman" w:cs="Times New Roman"/>
                <w:sz w:val="24"/>
                <w:szCs w:val="24"/>
              </w:rPr>
              <w:t xml:space="preserve"> danga)</w:t>
            </w:r>
          </w:p>
        </w:tc>
        <w:tc>
          <w:tcPr>
            <w:tcW w:w="1843" w:type="dxa"/>
            <w:tcBorders>
              <w:top w:val="single" w:sz="4" w:space="0" w:color="auto"/>
              <w:left w:val="single" w:sz="4" w:space="0" w:color="auto"/>
              <w:bottom w:val="single" w:sz="4" w:space="0" w:color="auto"/>
              <w:right w:val="single" w:sz="4" w:space="0" w:color="auto"/>
            </w:tcBorders>
          </w:tcPr>
          <w:p w:rsidR="003D0D89" w:rsidRPr="002C52DD" w:rsidRDefault="003D0D89" w:rsidP="00AE1412">
            <w:pPr>
              <w:spacing w:line="276" w:lineRule="auto"/>
              <w:ind w:right="34"/>
              <w:jc w:val="center"/>
              <w:rPr>
                <w:rFonts w:ascii="Times New Roman" w:hAnsi="Times New Roman" w:cs="Times New Roman"/>
                <w:sz w:val="24"/>
                <w:szCs w:val="24"/>
              </w:rPr>
            </w:pPr>
            <w:r w:rsidRPr="002C52DD">
              <w:rPr>
                <w:rFonts w:ascii="Times New Roman" w:hAnsi="Times New Roman" w:cs="Times New Roman"/>
                <w:sz w:val="24"/>
                <w:szCs w:val="24"/>
              </w:rPr>
              <w:t>500</w:t>
            </w:r>
          </w:p>
        </w:tc>
      </w:tr>
    </w:tbl>
    <w:p w:rsidR="00227B6F" w:rsidRPr="002C52DD" w:rsidRDefault="00227B6F" w:rsidP="00E623CA">
      <w:pPr>
        <w:spacing w:line="276" w:lineRule="auto"/>
        <w:ind w:right="360" w:firstLine="1134"/>
        <w:jc w:val="both"/>
      </w:pPr>
    </w:p>
    <w:p w:rsidR="00CA5D40" w:rsidRPr="002C52DD" w:rsidRDefault="005E5C68" w:rsidP="005F7116">
      <w:pPr>
        <w:tabs>
          <w:tab w:val="left" w:pos="9781"/>
          <w:tab w:val="left" w:pos="9923"/>
        </w:tabs>
        <w:spacing w:line="276" w:lineRule="auto"/>
        <w:ind w:left="-142" w:right="757"/>
        <w:jc w:val="both"/>
        <w:rPr>
          <w:b/>
          <w:i/>
        </w:rPr>
      </w:pPr>
      <w:r w:rsidRPr="002C52DD">
        <w:rPr>
          <w:b/>
          <w:i/>
        </w:rPr>
        <w:t>Pastaba.</w:t>
      </w:r>
      <w:r w:rsidRPr="002C52DD">
        <w:rPr>
          <w:i/>
        </w:rPr>
        <w:t xml:space="preserve"> Visos lėšos, sutaupytos atlikus viešųjų pirkimų procedūras ir statybos darbus, pagal poreikį skiriamos einamaisiais metais numatytiems projektams. Jei einamųjų metų projektams papildomo lėšų poreikio nėra, sutaupytomis lėšomis pradedamas įgyvendinti kitais metais numatytas projektas.</w:t>
      </w:r>
      <w:r w:rsidR="0052359B" w:rsidRPr="002C52DD">
        <w:rPr>
          <w:i/>
        </w:rPr>
        <w:t xml:space="preserve"> </w:t>
      </w:r>
      <w:r w:rsidRPr="002C52DD">
        <w:rPr>
          <w:i/>
        </w:rPr>
        <w:t>Jeigu įgyvendinant projektus pritrūk</w:t>
      </w:r>
      <w:r w:rsidR="005F7116" w:rsidRPr="002C52DD">
        <w:rPr>
          <w:i/>
        </w:rPr>
        <w:t>sta</w:t>
      </w:r>
      <w:r w:rsidRPr="002C52DD">
        <w:rPr>
          <w:i/>
        </w:rPr>
        <w:t xml:space="preserve"> einamųjų metų lėšų, ateinančiais metais yra užbaigiami pradėti projektai ir pereinama prie kitų (pagal sudarytą sąrašą) projektų.</w:t>
      </w:r>
    </w:p>
    <w:p w:rsidR="00CA5D40" w:rsidRPr="002C52DD" w:rsidRDefault="00CA5D40" w:rsidP="00836015">
      <w:pPr>
        <w:spacing w:line="276" w:lineRule="auto"/>
        <w:ind w:left="-426" w:right="757"/>
        <w:jc w:val="both"/>
        <w:rPr>
          <w:u w:val="single"/>
        </w:rPr>
      </w:pPr>
      <w:r w:rsidRPr="002C52DD">
        <w:tab/>
      </w:r>
      <w:r w:rsidRPr="002C52DD">
        <w:tab/>
      </w:r>
      <w:r w:rsidRPr="002C52DD">
        <w:tab/>
      </w:r>
      <w:r w:rsidRPr="002C52DD">
        <w:tab/>
      </w:r>
      <w:r w:rsidRPr="002C52DD">
        <w:tab/>
      </w:r>
      <w:r w:rsidRPr="002C52DD">
        <w:rPr>
          <w:u w:val="single"/>
        </w:rPr>
        <w:tab/>
      </w:r>
      <w:r w:rsidRPr="002C52DD">
        <w:rPr>
          <w:u w:val="single"/>
        </w:rPr>
        <w:tab/>
      </w:r>
      <w:r w:rsidRPr="002C52DD">
        <w:rPr>
          <w:u w:val="single"/>
        </w:rPr>
        <w:tab/>
      </w:r>
      <w:r w:rsidRPr="002C52DD">
        <w:rPr>
          <w:u w:val="single"/>
        </w:rPr>
        <w:tab/>
      </w:r>
    </w:p>
    <w:sectPr w:rsidR="00CA5D40" w:rsidRPr="002C52DD" w:rsidSect="00BC26F2">
      <w:headerReference w:type="default" r:id="rId8"/>
      <w:headerReference w:type="first" r:id="rId9"/>
      <w:pgSz w:w="12240" w:h="15840"/>
      <w:pgMar w:top="1134" w:right="426" w:bottom="1276"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1DF" w:rsidRDefault="009231DF" w:rsidP="00466047">
      <w:r>
        <w:separator/>
      </w:r>
    </w:p>
  </w:endnote>
  <w:endnote w:type="continuationSeparator" w:id="1">
    <w:p w:rsidR="009231DF" w:rsidRDefault="009231DF" w:rsidP="00466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1DF" w:rsidRDefault="009231DF" w:rsidP="00466047">
      <w:r>
        <w:separator/>
      </w:r>
    </w:p>
  </w:footnote>
  <w:footnote w:type="continuationSeparator" w:id="1">
    <w:p w:rsidR="009231DF" w:rsidRDefault="009231DF" w:rsidP="00466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888795"/>
      <w:docPartObj>
        <w:docPartGallery w:val="Page Numbers (Top of Page)"/>
        <w:docPartUnique/>
      </w:docPartObj>
    </w:sdtPr>
    <w:sdtContent>
      <w:p w:rsidR="00BA4C8E" w:rsidRDefault="000617E7">
        <w:pPr>
          <w:pStyle w:val="Header"/>
          <w:jc w:val="center"/>
        </w:pPr>
        <w:fldSimple w:instr="PAGE   \* MERGEFORMAT">
          <w:r w:rsidR="001E2D6B">
            <w:rPr>
              <w:noProof/>
            </w:rPr>
            <w:t>2</w:t>
          </w:r>
        </w:fldSimple>
      </w:p>
    </w:sdtContent>
  </w:sdt>
  <w:p w:rsidR="00BA4C8E" w:rsidRDefault="00BA4C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8E" w:rsidRDefault="00BA4C8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D4F"/>
    <w:multiLevelType w:val="hybridMultilevel"/>
    <w:tmpl w:val="9CD64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
    <w:nsid w:val="264C7A05"/>
    <w:multiLevelType w:val="hybridMultilevel"/>
    <w:tmpl w:val="393AE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80E4D4D"/>
    <w:multiLevelType w:val="hybridMultilevel"/>
    <w:tmpl w:val="3D5A0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60F1643"/>
    <w:multiLevelType w:val="hybridMultilevel"/>
    <w:tmpl w:val="C8FE6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F55280D"/>
    <w:multiLevelType w:val="hybridMultilevel"/>
    <w:tmpl w:val="50263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9990A66"/>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396"/>
  <w:drawingGridHorizontalSpacing w:val="120"/>
  <w:displayHorizontalDrawingGridEvery w:val="2"/>
  <w:characterSpacingControl w:val="doNotCompress"/>
  <w:hdrShapeDefaults>
    <o:shapedefaults v:ext="edit" spidmax="190466"/>
  </w:hdrShapeDefaults>
  <w:footnotePr>
    <w:footnote w:id="0"/>
    <w:footnote w:id="1"/>
  </w:footnotePr>
  <w:endnotePr>
    <w:endnote w:id="0"/>
    <w:endnote w:id="1"/>
  </w:endnotePr>
  <w:compat/>
  <w:rsids>
    <w:rsidRoot w:val="00AA11CF"/>
    <w:rsid w:val="00002C27"/>
    <w:rsid w:val="000034DD"/>
    <w:rsid w:val="00006650"/>
    <w:rsid w:val="000103D4"/>
    <w:rsid w:val="00015B9B"/>
    <w:rsid w:val="00016177"/>
    <w:rsid w:val="0003528F"/>
    <w:rsid w:val="000352E9"/>
    <w:rsid w:val="000379C5"/>
    <w:rsid w:val="00047B04"/>
    <w:rsid w:val="00053184"/>
    <w:rsid w:val="0005607D"/>
    <w:rsid w:val="00056A7D"/>
    <w:rsid w:val="00060E15"/>
    <w:rsid w:val="000617E7"/>
    <w:rsid w:val="000635A5"/>
    <w:rsid w:val="000734FE"/>
    <w:rsid w:val="00080B4C"/>
    <w:rsid w:val="00081826"/>
    <w:rsid w:val="000879D7"/>
    <w:rsid w:val="0009008F"/>
    <w:rsid w:val="000903C1"/>
    <w:rsid w:val="00094203"/>
    <w:rsid w:val="00094ED0"/>
    <w:rsid w:val="000960F0"/>
    <w:rsid w:val="000967A3"/>
    <w:rsid w:val="00096D36"/>
    <w:rsid w:val="000A0808"/>
    <w:rsid w:val="000A25A9"/>
    <w:rsid w:val="000A3481"/>
    <w:rsid w:val="000A3624"/>
    <w:rsid w:val="000A3860"/>
    <w:rsid w:val="000B12C5"/>
    <w:rsid w:val="000B516E"/>
    <w:rsid w:val="000B6E09"/>
    <w:rsid w:val="000B7335"/>
    <w:rsid w:val="000C0916"/>
    <w:rsid w:val="000C372F"/>
    <w:rsid w:val="000D206B"/>
    <w:rsid w:val="000D7BC9"/>
    <w:rsid w:val="000E579E"/>
    <w:rsid w:val="000E7ADD"/>
    <w:rsid w:val="000F73E9"/>
    <w:rsid w:val="00106E62"/>
    <w:rsid w:val="00124304"/>
    <w:rsid w:val="00125834"/>
    <w:rsid w:val="00132153"/>
    <w:rsid w:val="00135424"/>
    <w:rsid w:val="0014124C"/>
    <w:rsid w:val="00147DB2"/>
    <w:rsid w:val="00152553"/>
    <w:rsid w:val="001556A5"/>
    <w:rsid w:val="00156CB8"/>
    <w:rsid w:val="00157B33"/>
    <w:rsid w:val="00161520"/>
    <w:rsid w:val="00162DCC"/>
    <w:rsid w:val="001666CD"/>
    <w:rsid w:val="0016739D"/>
    <w:rsid w:val="00167BAC"/>
    <w:rsid w:val="00170924"/>
    <w:rsid w:val="00176F8A"/>
    <w:rsid w:val="001833C8"/>
    <w:rsid w:val="00192066"/>
    <w:rsid w:val="001A3383"/>
    <w:rsid w:val="001A532C"/>
    <w:rsid w:val="001B0F2B"/>
    <w:rsid w:val="001B35E3"/>
    <w:rsid w:val="001B4ED6"/>
    <w:rsid w:val="001B4F72"/>
    <w:rsid w:val="001B7094"/>
    <w:rsid w:val="001C4D7E"/>
    <w:rsid w:val="001C4EAC"/>
    <w:rsid w:val="001C5C24"/>
    <w:rsid w:val="001C5D33"/>
    <w:rsid w:val="001D6051"/>
    <w:rsid w:val="001D6307"/>
    <w:rsid w:val="001D6B5A"/>
    <w:rsid w:val="001E0BB5"/>
    <w:rsid w:val="001E15B6"/>
    <w:rsid w:val="001E2D6B"/>
    <w:rsid w:val="001F31C7"/>
    <w:rsid w:val="001F79D5"/>
    <w:rsid w:val="00201F09"/>
    <w:rsid w:val="00202BE2"/>
    <w:rsid w:val="0020677C"/>
    <w:rsid w:val="00211827"/>
    <w:rsid w:val="00212F5B"/>
    <w:rsid w:val="00221B13"/>
    <w:rsid w:val="00224809"/>
    <w:rsid w:val="00227B6F"/>
    <w:rsid w:val="00227EE6"/>
    <w:rsid w:val="002304AC"/>
    <w:rsid w:val="00231450"/>
    <w:rsid w:val="00233F56"/>
    <w:rsid w:val="0023574D"/>
    <w:rsid w:val="00237CB2"/>
    <w:rsid w:val="00244BB9"/>
    <w:rsid w:val="00250037"/>
    <w:rsid w:val="002508DF"/>
    <w:rsid w:val="00253A2A"/>
    <w:rsid w:val="002544FE"/>
    <w:rsid w:val="00266BA4"/>
    <w:rsid w:val="00277DC3"/>
    <w:rsid w:val="00282EAE"/>
    <w:rsid w:val="0028737A"/>
    <w:rsid w:val="00287A8E"/>
    <w:rsid w:val="00290817"/>
    <w:rsid w:val="00292982"/>
    <w:rsid w:val="002933C0"/>
    <w:rsid w:val="00294BD5"/>
    <w:rsid w:val="002B13F4"/>
    <w:rsid w:val="002B166B"/>
    <w:rsid w:val="002B25A0"/>
    <w:rsid w:val="002B4B87"/>
    <w:rsid w:val="002B6020"/>
    <w:rsid w:val="002C52DD"/>
    <w:rsid w:val="002D3704"/>
    <w:rsid w:val="002D443C"/>
    <w:rsid w:val="002E2C27"/>
    <w:rsid w:val="002E614F"/>
    <w:rsid w:val="002E65A6"/>
    <w:rsid w:val="002E73E5"/>
    <w:rsid w:val="002F0284"/>
    <w:rsid w:val="002F0522"/>
    <w:rsid w:val="002F354C"/>
    <w:rsid w:val="003102D9"/>
    <w:rsid w:val="00314607"/>
    <w:rsid w:val="00315C44"/>
    <w:rsid w:val="0031713C"/>
    <w:rsid w:val="003179F6"/>
    <w:rsid w:val="0032183C"/>
    <w:rsid w:val="00323BA6"/>
    <w:rsid w:val="00324A9C"/>
    <w:rsid w:val="00334197"/>
    <w:rsid w:val="0034025E"/>
    <w:rsid w:val="003422EA"/>
    <w:rsid w:val="003463A4"/>
    <w:rsid w:val="003558A2"/>
    <w:rsid w:val="003601BB"/>
    <w:rsid w:val="00370791"/>
    <w:rsid w:val="00375709"/>
    <w:rsid w:val="00376117"/>
    <w:rsid w:val="00376340"/>
    <w:rsid w:val="00383DF5"/>
    <w:rsid w:val="00386479"/>
    <w:rsid w:val="003933B5"/>
    <w:rsid w:val="00395290"/>
    <w:rsid w:val="00395B11"/>
    <w:rsid w:val="003A116D"/>
    <w:rsid w:val="003B05D3"/>
    <w:rsid w:val="003B69DA"/>
    <w:rsid w:val="003C0D92"/>
    <w:rsid w:val="003D0C14"/>
    <w:rsid w:val="003D0D89"/>
    <w:rsid w:val="003D355F"/>
    <w:rsid w:val="003D5F9A"/>
    <w:rsid w:val="003E2877"/>
    <w:rsid w:val="003F6F40"/>
    <w:rsid w:val="00402F1F"/>
    <w:rsid w:val="004126BE"/>
    <w:rsid w:val="004148E2"/>
    <w:rsid w:val="00415198"/>
    <w:rsid w:val="004308B9"/>
    <w:rsid w:val="004409B2"/>
    <w:rsid w:val="0044726F"/>
    <w:rsid w:val="0046399D"/>
    <w:rsid w:val="00466047"/>
    <w:rsid w:val="00476B9C"/>
    <w:rsid w:val="004772E7"/>
    <w:rsid w:val="004811DE"/>
    <w:rsid w:val="004874AE"/>
    <w:rsid w:val="004903E7"/>
    <w:rsid w:val="004B0789"/>
    <w:rsid w:val="004B13E6"/>
    <w:rsid w:val="004D032E"/>
    <w:rsid w:val="004D3213"/>
    <w:rsid w:val="004D3855"/>
    <w:rsid w:val="004E211F"/>
    <w:rsid w:val="004E3891"/>
    <w:rsid w:val="004E5109"/>
    <w:rsid w:val="004E7683"/>
    <w:rsid w:val="004F409C"/>
    <w:rsid w:val="004F6504"/>
    <w:rsid w:val="004F7958"/>
    <w:rsid w:val="00503610"/>
    <w:rsid w:val="005107F7"/>
    <w:rsid w:val="0051134A"/>
    <w:rsid w:val="00512D35"/>
    <w:rsid w:val="00517153"/>
    <w:rsid w:val="00521A95"/>
    <w:rsid w:val="0052359B"/>
    <w:rsid w:val="00526754"/>
    <w:rsid w:val="00534A19"/>
    <w:rsid w:val="005366F1"/>
    <w:rsid w:val="005400FC"/>
    <w:rsid w:val="0054219B"/>
    <w:rsid w:val="00542CE9"/>
    <w:rsid w:val="0054367A"/>
    <w:rsid w:val="00543E50"/>
    <w:rsid w:val="005512B8"/>
    <w:rsid w:val="0055792F"/>
    <w:rsid w:val="0057124C"/>
    <w:rsid w:val="00575BA6"/>
    <w:rsid w:val="00586C2D"/>
    <w:rsid w:val="00586E85"/>
    <w:rsid w:val="00596B6D"/>
    <w:rsid w:val="005B2E19"/>
    <w:rsid w:val="005B4678"/>
    <w:rsid w:val="005D2E55"/>
    <w:rsid w:val="005E1E71"/>
    <w:rsid w:val="005E4D1C"/>
    <w:rsid w:val="005E5C68"/>
    <w:rsid w:val="005F7116"/>
    <w:rsid w:val="00602812"/>
    <w:rsid w:val="00603877"/>
    <w:rsid w:val="00610CDB"/>
    <w:rsid w:val="00620144"/>
    <w:rsid w:val="006230F5"/>
    <w:rsid w:val="0062347C"/>
    <w:rsid w:val="00626DFC"/>
    <w:rsid w:val="0062797E"/>
    <w:rsid w:val="006311A5"/>
    <w:rsid w:val="006321E6"/>
    <w:rsid w:val="00633632"/>
    <w:rsid w:val="00641737"/>
    <w:rsid w:val="00646C5E"/>
    <w:rsid w:val="006522BF"/>
    <w:rsid w:val="00655B23"/>
    <w:rsid w:val="006571F2"/>
    <w:rsid w:val="006618C9"/>
    <w:rsid w:val="00663099"/>
    <w:rsid w:val="00663734"/>
    <w:rsid w:val="0066438F"/>
    <w:rsid w:val="00664D16"/>
    <w:rsid w:val="006679E0"/>
    <w:rsid w:val="00667A3C"/>
    <w:rsid w:val="00676D6C"/>
    <w:rsid w:val="0068743A"/>
    <w:rsid w:val="006923A0"/>
    <w:rsid w:val="00694AA8"/>
    <w:rsid w:val="006971E3"/>
    <w:rsid w:val="006A1C7B"/>
    <w:rsid w:val="006B06C1"/>
    <w:rsid w:val="006B5F3B"/>
    <w:rsid w:val="006C3114"/>
    <w:rsid w:val="006C618D"/>
    <w:rsid w:val="006C7CD4"/>
    <w:rsid w:val="006D1495"/>
    <w:rsid w:val="006D2484"/>
    <w:rsid w:val="006D42F7"/>
    <w:rsid w:val="006D4F14"/>
    <w:rsid w:val="006D59C4"/>
    <w:rsid w:val="006D7575"/>
    <w:rsid w:val="006E1F53"/>
    <w:rsid w:val="006E255C"/>
    <w:rsid w:val="006E6352"/>
    <w:rsid w:val="006F65DE"/>
    <w:rsid w:val="00701E11"/>
    <w:rsid w:val="00703E0F"/>
    <w:rsid w:val="007074D5"/>
    <w:rsid w:val="00707E5E"/>
    <w:rsid w:val="007127E3"/>
    <w:rsid w:val="0071630E"/>
    <w:rsid w:val="007214D4"/>
    <w:rsid w:val="007229C9"/>
    <w:rsid w:val="00725E42"/>
    <w:rsid w:val="00726CCB"/>
    <w:rsid w:val="00730225"/>
    <w:rsid w:val="007313B4"/>
    <w:rsid w:val="00733A10"/>
    <w:rsid w:val="00746A4F"/>
    <w:rsid w:val="00760E22"/>
    <w:rsid w:val="00761299"/>
    <w:rsid w:val="007665B5"/>
    <w:rsid w:val="00766DC4"/>
    <w:rsid w:val="00771507"/>
    <w:rsid w:val="00773643"/>
    <w:rsid w:val="00773F9E"/>
    <w:rsid w:val="00777401"/>
    <w:rsid w:val="007774A3"/>
    <w:rsid w:val="00780660"/>
    <w:rsid w:val="007857F7"/>
    <w:rsid w:val="00785FBF"/>
    <w:rsid w:val="00790358"/>
    <w:rsid w:val="00790420"/>
    <w:rsid w:val="007906FB"/>
    <w:rsid w:val="00790FD9"/>
    <w:rsid w:val="00793462"/>
    <w:rsid w:val="00794C70"/>
    <w:rsid w:val="00797168"/>
    <w:rsid w:val="007A7A70"/>
    <w:rsid w:val="007B3534"/>
    <w:rsid w:val="007C09B3"/>
    <w:rsid w:val="007C5506"/>
    <w:rsid w:val="007D0AFE"/>
    <w:rsid w:val="007E31E5"/>
    <w:rsid w:val="007E3513"/>
    <w:rsid w:val="007E4670"/>
    <w:rsid w:val="007E5462"/>
    <w:rsid w:val="007E73DA"/>
    <w:rsid w:val="007F22C8"/>
    <w:rsid w:val="007F256D"/>
    <w:rsid w:val="007F4006"/>
    <w:rsid w:val="007F5A45"/>
    <w:rsid w:val="00801ADC"/>
    <w:rsid w:val="00812497"/>
    <w:rsid w:val="00812DF5"/>
    <w:rsid w:val="008132E1"/>
    <w:rsid w:val="008141E7"/>
    <w:rsid w:val="00815ADE"/>
    <w:rsid w:val="00816BC0"/>
    <w:rsid w:val="008200F0"/>
    <w:rsid w:val="00822A25"/>
    <w:rsid w:val="0083150F"/>
    <w:rsid w:val="008343BB"/>
    <w:rsid w:val="00835D95"/>
    <w:rsid w:val="00836015"/>
    <w:rsid w:val="008447BF"/>
    <w:rsid w:val="008519F5"/>
    <w:rsid w:val="00857321"/>
    <w:rsid w:val="00863C99"/>
    <w:rsid w:val="00866401"/>
    <w:rsid w:val="00866942"/>
    <w:rsid w:val="008670BC"/>
    <w:rsid w:val="0087081A"/>
    <w:rsid w:val="008744B7"/>
    <w:rsid w:val="008769C3"/>
    <w:rsid w:val="0088136B"/>
    <w:rsid w:val="00885E28"/>
    <w:rsid w:val="00892650"/>
    <w:rsid w:val="00895CC4"/>
    <w:rsid w:val="00896751"/>
    <w:rsid w:val="0089757A"/>
    <w:rsid w:val="008A0B1D"/>
    <w:rsid w:val="008A6238"/>
    <w:rsid w:val="008B29F8"/>
    <w:rsid w:val="008C34FE"/>
    <w:rsid w:val="008C575C"/>
    <w:rsid w:val="008D26B2"/>
    <w:rsid w:val="008D6B33"/>
    <w:rsid w:val="008F03C5"/>
    <w:rsid w:val="008F2FDB"/>
    <w:rsid w:val="00901AFB"/>
    <w:rsid w:val="009020D4"/>
    <w:rsid w:val="009028E8"/>
    <w:rsid w:val="0090422F"/>
    <w:rsid w:val="00905819"/>
    <w:rsid w:val="00910E37"/>
    <w:rsid w:val="00912DDC"/>
    <w:rsid w:val="00913CEC"/>
    <w:rsid w:val="00915276"/>
    <w:rsid w:val="009206B0"/>
    <w:rsid w:val="009231DF"/>
    <w:rsid w:val="00925DBD"/>
    <w:rsid w:val="00930386"/>
    <w:rsid w:val="00931986"/>
    <w:rsid w:val="00931993"/>
    <w:rsid w:val="0094321E"/>
    <w:rsid w:val="009440A1"/>
    <w:rsid w:val="009452AA"/>
    <w:rsid w:val="00962B11"/>
    <w:rsid w:val="00963BB2"/>
    <w:rsid w:val="0096406B"/>
    <w:rsid w:val="00964276"/>
    <w:rsid w:val="00965B9A"/>
    <w:rsid w:val="00967394"/>
    <w:rsid w:val="00970207"/>
    <w:rsid w:val="009702EC"/>
    <w:rsid w:val="00974A3F"/>
    <w:rsid w:val="0097714B"/>
    <w:rsid w:val="00977B2D"/>
    <w:rsid w:val="00980517"/>
    <w:rsid w:val="009845DD"/>
    <w:rsid w:val="00985093"/>
    <w:rsid w:val="009930BF"/>
    <w:rsid w:val="00994576"/>
    <w:rsid w:val="00996616"/>
    <w:rsid w:val="00996E67"/>
    <w:rsid w:val="009A14C4"/>
    <w:rsid w:val="009A541B"/>
    <w:rsid w:val="009A5B06"/>
    <w:rsid w:val="009A6F14"/>
    <w:rsid w:val="009C6F61"/>
    <w:rsid w:val="009D0A5D"/>
    <w:rsid w:val="009D1B86"/>
    <w:rsid w:val="009D218F"/>
    <w:rsid w:val="009E2935"/>
    <w:rsid w:val="00A0033D"/>
    <w:rsid w:val="00A00EA0"/>
    <w:rsid w:val="00A00FFE"/>
    <w:rsid w:val="00A0600C"/>
    <w:rsid w:val="00A06373"/>
    <w:rsid w:val="00A07FE2"/>
    <w:rsid w:val="00A10B34"/>
    <w:rsid w:val="00A11751"/>
    <w:rsid w:val="00A1722C"/>
    <w:rsid w:val="00A25BFD"/>
    <w:rsid w:val="00A306C5"/>
    <w:rsid w:val="00A30AED"/>
    <w:rsid w:val="00A31F8F"/>
    <w:rsid w:val="00A34710"/>
    <w:rsid w:val="00A34BE1"/>
    <w:rsid w:val="00A539F1"/>
    <w:rsid w:val="00A5429E"/>
    <w:rsid w:val="00A54347"/>
    <w:rsid w:val="00A54B61"/>
    <w:rsid w:val="00A55522"/>
    <w:rsid w:val="00A57D2A"/>
    <w:rsid w:val="00A609E9"/>
    <w:rsid w:val="00A613FD"/>
    <w:rsid w:val="00A679F3"/>
    <w:rsid w:val="00A67B72"/>
    <w:rsid w:val="00A70B46"/>
    <w:rsid w:val="00A70F85"/>
    <w:rsid w:val="00A71BD2"/>
    <w:rsid w:val="00A75B8B"/>
    <w:rsid w:val="00A81090"/>
    <w:rsid w:val="00A85647"/>
    <w:rsid w:val="00A86B0E"/>
    <w:rsid w:val="00A97C40"/>
    <w:rsid w:val="00AA11CF"/>
    <w:rsid w:val="00AA16A1"/>
    <w:rsid w:val="00AA5792"/>
    <w:rsid w:val="00AC35A1"/>
    <w:rsid w:val="00AC6158"/>
    <w:rsid w:val="00AC7D92"/>
    <w:rsid w:val="00AC7F3B"/>
    <w:rsid w:val="00AD1CA3"/>
    <w:rsid w:val="00AD2201"/>
    <w:rsid w:val="00AD45EC"/>
    <w:rsid w:val="00AE013D"/>
    <w:rsid w:val="00AE1412"/>
    <w:rsid w:val="00AE16FF"/>
    <w:rsid w:val="00AE1DBF"/>
    <w:rsid w:val="00AE2C29"/>
    <w:rsid w:val="00AE3CF7"/>
    <w:rsid w:val="00AE4F20"/>
    <w:rsid w:val="00AF475D"/>
    <w:rsid w:val="00AF4799"/>
    <w:rsid w:val="00AF4E67"/>
    <w:rsid w:val="00AF53AF"/>
    <w:rsid w:val="00AF628F"/>
    <w:rsid w:val="00AF63A2"/>
    <w:rsid w:val="00B07150"/>
    <w:rsid w:val="00B07953"/>
    <w:rsid w:val="00B07E51"/>
    <w:rsid w:val="00B10FA5"/>
    <w:rsid w:val="00B129EB"/>
    <w:rsid w:val="00B12FFE"/>
    <w:rsid w:val="00B16B44"/>
    <w:rsid w:val="00B3222A"/>
    <w:rsid w:val="00B3264F"/>
    <w:rsid w:val="00B43643"/>
    <w:rsid w:val="00B53CE1"/>
    <w:rsid w:val="00B570D5"/>
    <w:rsid w:val="00B63BA3"/>
    <w:rsid w:val="00B64114"/>
    <w:rsid w:val="00B65155"/>
    <w:rsid w:val="00B67AC8"/>
    <w:rsid w:val="00B7287E"/>
    <w:rsid w:val="00B73994"/>
    <w:rsid w:val="00B7669D"/>
    <w:rsid w:val="00B816B8"/>
    <w:rsid w:val="00B85054"/>
    <w:rsid w:val="00B87DF7"/>
    <w:rsid w:val="00B90002"/>
    <w:rsid w:val="00B93180"/>
    <w:rsid w:val="00B9665B"/>
    <w:rsid w:val="00B97097"/>
    <w:rsid w:val="00BA2528"/>
    <w:rsid w:val="00BA26DB"/>
    <w:rsid w:val="00BA4C8E"/>
    <w:rsid w:val="00BB09BD"/>
    <w:rsid w:val="00BB493D"/>
    <w:rsid w:val="00BB5824"/>
    <w:rsid w:val="00BC10C2"/>
    <w:rsid w:val="00BC26F2"/>
    <w:rsid w:val="00BC2A8D"/>
    <w:rsid w:val="00BC34A5"/>
    <w:rsid w:val="00BD2CA5"/>
    <w:rsid w:val="00BD2FD9"/>
    <w:rsid w:val="00BD31CC"/>
    <w:rsid w:val="00BD6E8E"/>
    <w:rsid w:val="00BF011C"/>
    <w:rsid w:val="00BF2B9D"/>
    <w:rsid w:val="00BF6F58"/>
    <w:rsid w:val="00BF7387"/>
    <w:rsid w:val="00C00CEA"/>
    <w:rsid w:val="00C00D98"/>
    <w:rsid w:val="00C0131B"/>
    <w:rsid w:val="00C04BC2"/>
    <w:rsid w:val="00C05B2B"/>
    <w:rsid w:val="00C079EA"/>
    <w:rsid w:val="00C15C69"/>
    <w:rsid w:val="00C175D4"/>
    <w:rsid w:val="00C22D58"/>
    <w:rsid w:val="00C238DE"/>
    <w:rsid w:val="00C27CA2"/>
    <w:rsid w:val="00C27E05"/>
    <w:rsid w:val="00C325E5"/>
    <w:rsid w:val="00C32F4A"/>
    <w:rsid w:val="00C337B3"/>
    <w:rsid w:val="00C37478"/>
    <w:rsid w:val="00C3795B"/>
    <w:rsid w:val="00C4027E"/>
    <w:rsid w:val="00C40C39"/>
    <w:rsid w:val="00C42C9F"/>
    <w:rsid w:val="00C431CB"/>
    <w:rsid w:val="00C5226C"/>
    <w:rsid w:val="00C52A90"/>
    <w:rsid w:val="00C652B7"/>
    <w:rsid w:val="00C677C5"/>
    <w:rsid w:val="00C82667"/>
    <w:rsid w:val="00C84D3D"/>
    <w:rsid w:val="00C91055"/>
    <w:rsid w:val="00C91451"/>
    <w:rsid w:val="00C936DF"/>
    <w:rsid w:val="00CA5D40"/>
    <w:rsid w:val="00CA6291"/>
    <w:rsid w:val="00CA6FA3"/>
    <w:rsid w:val="00CB7900"/>
    <w:rsid w:val="00CB7AC9"/>
    <w:rsid w:val="00CC07A3"/>
    <w:rsid w:val="00CC0830"/>
    <w:rsid w:val="00CC284F"/>
    <w:rsid w:val="00CC3F48"/>
    <w:rsid w:val="00CC4FE1"/>
    <w:rsid w:val="00CC6598"/>
    <w:rsid w:val="00CD2966"/>
    <w:rsid w:val="00CD5265"/>
    <w:rsid w:val="00CE2032"/>
    <w:rsid w:val="00CE2905"/>
    <w:rsid w:val="00CE2F75"/>
    <w:rsid w:val="00CE5737"/>
    <w:rsid w:val="00CF2188"/>
    <w:rsid w:val="00CF2993"/>
    <w:rsid w:val="00D02E66"/>
    <w:rsid w:val="00D031BA"/>
    <w:rsid w:val="00D07A8C"/>
    <w:rsid w:val="00D135C0"/>
    <w:rsid w:val="00D2191E"/>
    <w:rsid w:val="00D22D86"/>
    <w:rsid w:val="00D236A2"/>
    <w:rsid w:val="00D25910"/>
    <w:rsid w:val="00D36656"/>
    <w:rsid w:val="00D40D33"/>
    <w:rsid w:val="00D41226"/>
    <w:rsid w:val="00D42CAB"/>
    <w:rsid w:val="00D44095"/>
    <w:rsid w:val="00D47267"/>
    <w:rsid w:val="00D51581"/>
    <w:rsid w:val="00D51BCD"/>
    <w:rsid w:val="00D526E0"/>
    <w:rsid w:val="00D64389"/>
    <w:rsid w:val="00D67A5B"/>
    <w:rsid w:val="00D67B8D"/>
    <w:rsid w:val="00D76693"/>
    <w:rsid w:val="00D82009"/>
    <w:rsid w:val="00D84871"/>
    <w:rsid w:val="00D90B8C"/>
    <w:rsid w:val="00D920E9"/>
    <w:rsid w:val="00D95BAE"/>
    <w:rsid w:val="00DA02CA"/>
    <w:rsid w:val="00DA130E"/>
    <w:rsid w:val="00DA28E4"/>
    <w:rsid w:val="00DA4687"/>
    <w:rsid w:val="00DA4788"/>
    <w:rsid w:val="00DA569C"/>
    <w:rsid w:val="00DA5890"/>
    <w:rsid w:val="00DA7925"/>
    <w:rsid w:val="00DC23B4"/>
    <w:rsid w:val="00DC33AB"/>
    <w:rsid w:val="00DC7053"/>
    <w:rsid w:val="00DD322B"/>
    <w:rsid w:val="00DE6EA1"/>
    <w:rsid w:val="00DF7EA3"/>
    <w:rsid w:val="00E034D6"/>
    <w:rsid w:val="00E128D6"/>
    <w:rsid w:val="00E13BCC"/>
    <w:rsid w:val="00E14321"/>
    <w:rsid w:val="00E1523A"/>
    <w:rsid w:val="00E16071"/>
    <w:rsid w:val="00E27D13"/>
    <w:rsid w:val="00E30524"/>
    <w:rsid w:val="00E334BD"/>
    <w:rsid w:val="00E33AA9"/>
    <w:rsid w:val="00E34319"/>
    <w:rsid w:val="00E3783A"/>
    <w:rsid w:val="00E3793E"/>
    <w:rsid w:val="00E43F9C"/>
    <w:rsid w:val="00E449E7"/>
    <w:rsid w:val="00E465E0"/>
    <w:rsid w:val="00E46700"/>
    <w:rsid w:val="00E53077"/>
    <w:rsid w:val="00E623CA"/>
    <w:rsid w:val="00E625DF"/>
    <w:rsid w:val="00E62C22"/>
    <w:rsid w:val="00E666BC"/>
    <w:rsid w:val="00E66B65"/>
    <w:rsid w:val="00E706BF"/>
    <w:rsid w:val="00E70B28"/>
    <w:rsid w:val="00E72A8B"/>
    <w:rsid w:val="00E72D23"/>
    <w:rsid w:val="00E7472F"/>
    <w:rsid w:val="00E7664C"/>
    <w:rsid w:val="00E768F2"/>
    <w:rsid w:val="00E83E66"/>
    <w:rsid w:val="00E851B4"/>
    <w:rsid w:val="00E90E69"/>
    <w:rsid w:val="00E92F5B"/>
    <w:rsid w:val="00E94E63"/>
    <w:rsid w:val="00E953AB"/>
    <w:rsid w:val="00EA0233"/>
    <w:rsid w:val="00EB3C04"/>
    <w:rsid w:val="00EB406B"/>
    <w:rsid w:val="00EB4D37"/>
    <w:rsid w:val="00EC08F2"/>
    <w:rsid w:val="00EC361F"/>
    <w:rsid w:val="00EC7003"/>
    <w:rsid w:val="00ED49AD"/>
    <w:rsid w:val="00EE1787"/>
    <w:rsid w:val="00EE34CE"/>
    <w:rsid w:val="00EE6A21"/>
    <w:rsid w:val="00EF4428"/>
    <w:rsid w:val="00EF7FAB"/>
    <w:rsid w:val="00F00F50"/>
    <w:rsid w:val="00F10102"/>
    <w:rsid w:val="00F20C77"/>
    <w:rsid w:val="00F212B9"/>
    <w:rsid w:val="00F219C1"/>
    <w:rsid w:val="00F24337"/>
    <w:rsid w:val="00F30087"/>
    <w:rsid w:val="00F40A83"/>
    <w:rsid w:val="00F40EEA"/>
    <w:rsid w:val="00F50F82"/>
    <w:rsid w:val="00F56517"/>
    <w:rsid w:val="00F61ACE"/>
    <w:rsid w:val="00F63D30"/>
    <w:rsid w:val="00F66441"/>
    <w:rsid w:val="00F7584D"/>
    <w:rsid w:val="00F776C2"/>
    <w:rsid w:val="00F961D2"/>
    <w:rsid w:val="00F9729F"/>
    <w:rsid w:val="00FA0FB7"/>
    <w:rsid w:val="00FA2BC3"/>
    <w:rsid w:val="00FA305D"/>
    <w:rsid w:val="00FA38B1"/>
    <w:rsid w:val="00FB1B24"/>
    <w:rsid w:val="00FB2ED3"/>
    <w:rsid w:val="00FB5486"/>
    <w:rsid w:val="00FB67F3"/>
    <w:rsid w:val="00FC5197"/>
    <w:rsid w:val="00FC68A8"/>
    <w:rsid w:val="00FD1562"/>
    <w:rsid w:val="00FE0A72"/>
    <w:rsid w:val="00FE0CEA"/>
    <w:rsid w:val="00FE0D21"/>
    <w:rsid w:val="00FE181D"/>
    <w:rsid w:val="00FE224B"/>
    <w:rsid w:val="00FE257A"/>
    <w:rsid w:val="00FE26E2"/>
    <w:rsid w:val="00FF6DEE"/>
    <w:rsid w:val="00FF7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5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6B65"/>
    <w:rPr>
      <w:rFonts w:ascii="Tahoma" w:hAnsi="Tahoma" w:cs="Tahoma"/>
      <w:sz w:val="16"/>
      <w:szCs w:val="16"/>
    </w:rPr>
  </w:style>
  <w:style w:type="table" w:styleId="TableGrid">
    <w:name w:val="Table Grid"/>
    <w:basedOn w:val="TableNormal"/>
    <w:uiPriority w:val="59"/>
    <w:rsid w:val="001C4D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4D7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66047"/>
    <w:pPr>
      <w:tabs>
        <w:tab w:val="center" w:pos="4819"/>
        <w:tab w:val="right" w:pos="9638"/>
      </w:tabs>
    </w:pPr>
  </w:style>
  <w:style w:type="character" w:customStyle="1" w:styleId="HeaderChar">
    <w:name w:val="Header Char"/>
    <w:basedOn w:val="DefaultParagraphFont"/>
    <w:link w:val="Header"/>
    <w:uiPriority w:val="99"/>
    <w:rsid w:val="00466047"/>
    <w:rPr>
      <w:sz w:val="24"/>
      <w:szCs w:val="24"/>
      <w:lang w:eastAsia="en-US"/>
    </w:rPr>
  </w:style>
  <w:style w:type="paragraph" w:styleId="Footer">
    <w:name w:val="footer"/>
    <w:basedOn w:val="Normal"/>
    <w:link w:val="FooterChar"/>
    <w:uiPriority w:val="99"/>
    <w:rsid w:val="00466047"/>
    <w:pPr>
      <w:tabs>
        <w:tab w:val="center" w:pos="4819"/>
        <w:tab w:val="right" w:pos="9638"/>
      </w:tabs>
    </w:pPr>
  </w:style>
  <w:style w:type="character" w:customStyle="1" w:styleId="FooterChar">
    <w:name w:val="Footer Char"/>
    <w:basedOn w:val="DefaultParagraphFont"/>
    <w:link w:val="Footer"/>
    <w:uiPriority w:val="99"/>
    <w:rsid w:val="00466047"/>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973103505">
      <w:bodyDiv w:val="1"/>
      <w:marLeft w:val="0"/>
      <w:marRight w:val="0"/>
      <w:marTop w:val="0"/>
      <w:marBottom w:val="0"/>
      <w:divBdr>
        <w:top w:val="none" w:sz="0" w:space="0" w:color="auto"/>
        <w:left w:val="none" w:sz="0" w:space="0" w:color="auto"/>
        <w:bottom w:val="none" w:sz="0" w:space="0" w:color="auto"/>
        <w:right w:val="none" w:sz="0" w:space="0" w:color="auto"/>
      </w:divBdr>
    </w:div>
    <w:div w:id="1082145964">
      <w:bodyDiv w:val="1"/>
      <w:marLeft w:val="0"/>
      <w:marRight w:val="0"/>
      <w:marTop w:val="0"/>
      <w:marBottom w:val="0"/>
      <w:divBdr>
        <w:top w:val="none" w:sz="0" w:space="0" w:color="auto"/>
        <w:left w:val="none" w:sz="0" w:space="0" w:color="auto"/>
        <w:bottom w:val="none" w:sz="0" w:space="0" w:color="auto"/>
        <w:right w:val="none" w:sz="0" w:space="0" w:color="auto"/>
      </w:divBdr>
      <w:divsChild>
        <w:div w:id="1696617843">
          <w:marLeft w:val="0"/>
          <w:marRight w:val="0"/>
          <w:marTop w:val="0"/>
          <w:marBottom w:val="0"/>
          <w:divBdr>
            <w:top w:val="none" w:sz="0" w:space="0" w:color="auto"/>
            <w:left w:val="none" w:sz="0" w:space="0" w:color="auto"/>
            <w:bottom w:val="none" w:sz="0" w:space="0" w:color="auto"/>
            <w:right w:val="none" w:sz="0" w:space="0" w:color="auto"/>
          </w:divBdr>
          <w:divsChild>
            <w:div w:id="767849669">
              <w:marLeft w:val="0"/>
              <w:marRight w:val="0"/>
              <w:marTop w:val="0"/>
              <w:marBottom w:val="0"/>
              <w:divBdr>
                <w:top w:val="none" w:sz="0" w:space="0" w:color="auto"/>
                <w:left w:val="none" w:sz="0" w:space="0" w:color="auto"/>
                <w:bottom w:val="none" w:sz="0" w:space="0" w:color="auto"/>
                <w:right w:val="none" w:sz="0" w:space="0" w:color="auto"/>
              </w:divBdr>
              <w:divsChild>
                <w:div w:id="14238836">
                  <w:marLeft w:val="0"/>
                  <w:marRight w:val="0"/>
                  <w:marTop w:val="0"/>
                  <w:marBottom w:val="0"/>
                  <w:divBdr>
                    <w:top w:val="none" w:sz="0" w:space="0" w:color="auto"/>
                    <w:left w:val="none" w:sz="0" w:space="0" w:color="auto"/>
                    <w:bottom w:val="none" w:sz="0" w:space="0" w:color="auto"/>
                    <w:right w:val="none" w:sz="0" w:space="0" w:color="auto"/>
                  </w:divBdr>
                  <w:divsChild>
                    <w:div w:id="1674529841">
                      <w:marLeft w:val="0"/>
                      <w:marRight w:val="0"/>
                      <w:marTop w:val="188"/>
                      <w:marBottom w:val="0"/>
                      <w:divBdr>
                        <w:top w:val="single" w:sz="4" w:space="6" w:color="9CDA67"/>
                        <w:left w:val="single" w:sz="4" w:space="6" w:color="9CDA67"/>
                        <w:bottom w:val="single" w:sz="4" w:space="0" w:color="9CDA67"/>
                        <w:right w:val="single" w:sz="4" w:space="6" w:color="9CDA67"/>
                      </w:divBdr>
                      <w:divsChild>
                        <w:div w:id="381561281">
                          <w:marLeft w:val="0"/>
                          <w:marRight w:val="0"/>
                          <w:marTop w:val="0"/>
                          <w:marBottom w:val="0"/>
                          <w:divBdr>
                            <w:top w:val="none" w:sz="0" w:space="0" w:color="auto"/>
                            <w:left w:val="none" w:sz="0" w:space="0" w:color="auto"/>
                            <w:bottom w:val="none" w:sz="0" w:space="0" w:color="auto"/>
                            <w:right w:val="none" w:sz="0" w:space="0" w:color="auto"/>
                          </w:divBdr>
                          <w:divsChild>
                            <w:div w:id="1410737332">
                              <w:marLeft w:val="0"/>
                              <w:marRight w:val="0"/>
                              <w:marTop w:val="0"/>
                              <w:marBottom w:val="0"/>
                              <w:divBdr>
                                <w:top w:val="none" w:sz="0" w:space="0" w:color="auto"/>
                                <w:left w:val="none" w:sz="0" w:space="0" w:color="auto"/>
                                <w:bottom w:val="none" w:sz="0" w:space="0" w:color="auto"/>
                                <w:right w:val="none" w:sz="0" w:space="0" w:color="auto"/>
                              </w:divBdr>
                              <w:divsChild>
                                <w:div w:id="10621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E950-5D48-4050-AD34-D522F05D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2419</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vt:lpstr>
      <vt:lpstr>KELMĖS RAJONO SAVIVALDYBĖS</vt:lpstr>
    </vt:vector>
  </TitlesOfParts>
  <Company>Kelmės raj. savivaldybė - statybininkai</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dc:title>
  <dc:creator>2017-09-28 T1-300</dc:creator>
  <cp:lastModifiedBy>BiruteZvi</cp:lastModifiedBy>
  <cp:revision>3</cp:revision>
  <cp:lastPrinted>2022-04-13T07:24:00Z</cp:lastPrinted>
  <dcterms:created xsi:type="dcterms:W3CDTF">2022-04-27T10:11:00Z</dcterms:created>
  <dcterms:modified xsi:type="dcterms:W3CDTF">2022-04-27T10:11:00Z</dcterms:modified>
</cp:coreProperties>
</file>