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D5" w:rsidRPr="00C90FB6" w:rsidRDefault="00344BD5" w:rsidP="0080240A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C90FB6">
        <w:rPr>
          <w:rFonts w:ascii="Times New Roman" w:eastAsia="Calibri" w:hAnsi="Times New Roman"/>
          <w:b/>
        </w:rPr>
        <w:t>ĮSAKYMAS</w:t>
      </w:r>
    </w:p>
    <w:p w:rsidR="00AA57E3" w:rsidRPr="00C90FB6" w:rsidRDefault="00AA57E3" w:rsidP="0080240A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  <w:b/>
        </w:rPr>
        <w:t>DĖL VALSTYBĖS TURTO PRIPAŽINIMO NETINKAMU (NEGALIMU) NAUDOTI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eastAsia="Calibri" w:hAnsi="Times New Roman"/>
        </w:rPr>
      </w:pPr>
    </w:p>
    <w:p w:rsidR="00AA57E3" w:rsidRPr="00C90FB6" w:rsidRDefault="00121F2D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Nr. 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Prienai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eastAsia="Calibri" w:hAnsi="Times New Roman"/>
        </w:rPr>
      </w:pP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Vadovaudamasi Lietuvos Respublikos valstybės ir savivaldybių turto valdymo, naudojimo ir disponavimo juo įstatymu, Lietuvos Respublikos Vyriausybės 2001 m. spalio 19 d. nutarimu Nr. 1250 ,,Dėl </w:t>
      </w:r>
      <w:r w:rsidR="004B5365">
        <w:rPr>
          <w:rFonts w:ascii="Times New Roman" w:eastAsia="Calibri" w:hAnsi="Times New Roman"/>
        </w:rPr>
        <w:t>P</w:t>
      </w:r>
      <w:r w:rsidRPr="00C90FB6">
        <w:rPr>
          <w:rFonts w:ascii="Times New Roman" w:eastAsia="Calibri" w:hAnsi="Times New Roman"/>
        </w:rPr>
        <w:t xml:space="preserve">ripažinto nereikalingu arba netinkamu (negalimu) naudoti valstybės ir savivaldybių turto nurašymo, išardymo ir likvidavimo tvarkos </w:t>
      </w:r>
      <w:r w:rsidR="007B4292" w:rsidRPr="00C90FB6">
        <w:rPr>
          <w:rFonts w:ascii="Times New Roman" w:eastAsia="Calibri" w:hAnsi="Times New Roman"/>
        </w:rPr>
        <w:t xml:space="preserve">aprašo </w:t>
      </w:r>
      <w:r w:rsidRPr="00C90FB6">
        <w:rPr>
          <w:rFonts w:ascii="Times New Roman" w:eastAsia="Calibri" w:hAnsi="Times New Roman"/>
        </w:rPr>
        <w:t xml:space="preserve">patvirtinimo“ ir atsižvelgdama į Nereikalingo arba netinkamo (negalimo) naudoti nematerialiojo ir ilgalaikio materialiojo turto siūlymo nurašyti 2021 m. </w:t>
      </w:r>
      <w:r w:rsidR="00985E5F">
        <w:rPr>
          <w:rFonts w:ascii="Times New Roman" w:eastAsia="Calibri" w:hAnsi="Times New Roman"/>
        </w:rPr>
        <w:t>gruodžio 10</w:t>
      </w:r>
      <w:r w:rsidRPr="00C90FB6">
        <w:rPr>
          <w:rFonts w:ascii="Times New Roman" w:eastAsia="Calibri" w:hAnsi="Times New Roman"/>
        </w:rPr>
        <w:t xml:space="preserve"> d. akt</w:t>
      </w:r>
      <w:r w:rsidR="00985E5F">
        <w:rPr>
          <w:rFonts w:ascii="Times New Roman" w:eastAsia="Calibri" w:hAnsi="Times New Roman"/>
        </w:rPr>
        <w:t>us</w:t>
      </w:r>
      <w:r w:rsidRPr="00C90FB6">
        <w:rPr>
          <w:rFonts w:ascii="Times New Roman" w:eastAsia="Calibri" w:hAnsi="Times New Roman"/>
        </w:rPr>
        <w:t xml:space="preserve"> Nr. (9.23E)AR4-</w:t>
      </w:r>
      <w:r w:rsidR="00985E5F">
        <w:rPr>
          <w:rFonts w:ascii="Times New Roman" w:eastAsia="Calibri" w:hAnsi="Times New Roman"/>
        </w:rPr>
        <w:t>5394 ir Nr. (9.23E)AR4-5408</w:t>
      </w:r>
      <w:r w:rsidRPr="00C90FB6">
        <w:rPr>
          <w:rFonts w:ascii="Times New Roman" w:eastAsia="Calibri" w:hAnsi="Times New Roman"/>
        </w:rPr>
        <w:t>:</w:t>
      </w:r>
      <w:r w:rsidR="007B4292" w:rsidRPr="00C90FB6">
        <w:rPr>
          <w:rFonts w:ascii="Times New Roman" w:hAnsi="Times New Roman"/>
          <w:b/>
          <w:bCs/>
          <w:color w:val="000000"/>
        </w:rPr>
        <w:t xml:space="preserve"> </w:t>
      </w:r>
    </w:p>
    <w:p w:rsidR="00AA57E3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P r i p a ž į s t u netinkamu (negalimu) naudoti dėl fizinio ir funkcinio (technologinio) nusidėvėjimo Prienų rajono savivaldybės patikėjimo teise valdomą valstybei nuosavybės teise priklausantį ir šiuo metu </w:t>
      </w:r>
      <w:r w:rsidR="00985E5F">
        <w:rPr>
          <w:rFonts w:ascii="Times New Roman" w:eastAsia="Calibri" w:hAnsi="Times New Roman"/>
        </w:rPr>
        <w:t>viešosios įstaigos Prienų rajono pirminės sveikatos priežiūros centro patikėjimo teise pagal patikėjimo sutartį</w:t>
      </w:r>
      <w:r w:rsidRPr="00C90FB6">
        <w:rPr>
          <w:rFonts w:ascii="Times New Roman" w:eastAsia="Calibri" w:hAnsi="Times New Roman"/>
        </w:rPr>
        <w:t xml:space="preserve"> valdomą turtą: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1.1. ilgalaikį turtą: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1.1.1. asmeninį kompiuterį ,,DTK Office PC MS 6215“ ir monitorių </w:t>
      </w:r>
      <w:r w:rsidR="0080240A">
        <w:rPr>
          <w:rFonts w:ascii="Times New Roman" w:eastAsia="Calibri" w:hAnsi="Times New Roman"/>
        </w:rPr>
        <w:t>„</w:t>
      </w:r>
      <w:r>
        <w:rPr>
          <w:rFonts w:ascii="Times New Roman" w:eastAsia="Calibri" w:hAnsi="Times New Roman"/>
        </w:rPr>
        <w:t>17 CRT</w:t>
      </w:r>
      <w:r w:rsidR="0080240A">
        <w:rPr>
          <w:rFonts w:ascii="Times New Roman" w:eastAsia="Calibri" w:hAnsi="Times New Roman"/>
        </w:rPr>
        <w:t>“</w:t>
      </w:r>
      <w:r>
        <w:rPr>
          <w:rFonts w:ascii="Times New Roman" w:eastAsia="Calibri" w:hAnsi="Times New Roman"/>
        </w:rPr>
        <w:t xml:space="preserve">, atidavimo naudoti metai – 2007, inventorinis Nr. 014833, 1 vnt., pradinė įsigijimo vertė – 1 193,66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 xml:space="preserve">, nusidėvėjimas – 1 193,66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>, be likutinės vertės;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1.1.2. eritrocitų nusėdimo greičio analizatori</w:t>
      </w:r>
      <w:r w:rsidR="00354399">
        <w:rPr>
          <w:rFonts w:ascii="Times New Roman" w:eastAsia="Calibri" w:hAnsi="Times New Roman"/>
        </w:rPr>
        <w:t>ų</w:t>
      </w:r>
      <w:r>
        <w:rPr>
          <w:rFonts w:ascii="Times New Roman" w:eastAsia="Calibri" w:hAnsi="Times New Roman"/>
        </w:rPr>
        <w:t xml:space="preserve"> (ESR), atidavimo naudoti metai – 2007, inventorinis Nr. 016841, 1 vnt., pradinė įsigijimo vertė – 2 372,29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 xml:space="preserve">, nusidėvėjimas  2 372,29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>, be likutinės vertės;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1.1.3. erit</w:t>
      </w:r>
      <w:r w:rsidR="00354399">
        <w:rPr>
          <w:rFonts w:ascii="Times New Roman" w:eastAsia="Calibri" w:hAnsi="Times New Roman"/>
        </w:rPr>
        <w:t>r</w:t>
      </w:r>
      <w:r>
        <w:rPr>
          <w:rFonts w:ascii="Times New Roman" w:eastAsia="Calibri" w:hAnsi="Times New Roman"/>
        </w:rPr>
        <w:t>ocitų nusėdimo greičio analizatori</w:t>
      </w:r>
      <w:r w:rsidR="00354399">
        <w:rPr>
          <w:rFonts w:ascii="Times New Roman" w:eastAsia="Calibri" w:hAnsi="Times New Roman"/>
        </w:rPr>
        <w:t>ų</w:t>
      </w:r>
      <w:r>
        <w:rPr>
          <w:rFonts w:ascii="Times New Roman" w:eastAsia="Calibri" w:hAnsi="Times New Roman"/>
        </w:rPr>
        <w:t xml:space="preserve"> (ESR), atidavimo eksploatuoti metai – 2007, inventorinis Nr. 016842, 1 vnt.</w:t>
      </w:r>
      <w:r w:rsidR="0080240A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pradinė įsigijimo vertė – 2 372,29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 xml:space="preserve">, nusidėvėjimas  2 372,29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>, be likutinės vertės;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1.1.4. </w:t>
      </w:r>
      <w:proofErr w:type="spellStart"/>
      <w:r w:rsidR="00354399">
        <w:rPr>
          <w:rFonts w:ascii="Times New Roman" w:eastAsia="Calibri" w:hAnsi="Times New Roman"/>
        </w:rPr>
        <w:t>fotometrinį</w:t>
      </w:r>
      <w:proofErr w:type="spellEnd"/>
      <w:r w:rsidR="00354399">
        <w:rPr>
          <w:rFonts w:ascii="Times New Roman" w:eastAsia="Calibri" w:hAnsi="Times New Roman"/>
        </w:rPr>
        <w:t xml:space="preserve"> gliukozės ir cholesterolio kiekio kraujyje tyrimo prietaisą </w:t>
      </w:r>
      <w:r w:rsidR="0080240A">
        <w:rPr>
          <w:rFonts w:ascii="Times New Roman" w:eastAsia="Calibri" w:hAnsi="Times New Roman"/>
        </w:rPr>
        <w:t>„</w:t>
      </w:r>
      <w:proofErr w:type="spellStart"/>
      <w:r w:rsidR="00354399" w:rsidRPr="0080240A">
        <w:rPr>
          <w:rFonts w:ascii="Times New Roman" w:eastAsia="Calibri" w:hAnsi="Times New Roman"/>
        </w:rPr>
        <w:t>A</w:t>
      </w:r>
      <w:r w:rsidR="0080240A" w:rsidRPr="0080240A">
        <w:rPr>
          <w:rFonts w:ascii="Times New Roman" w:eastAsia="Calibri" w:hAnsi="Times New Roman"/>
        </w:rPr>
        <w:t>cutrend</w:t>
      </w:r>
      <w:proofErr w:type="spellEnd"/>
      <w:r w:rsidR="0080240A">
        <w:rPr>
          <w:rFonts w:ascii="Times New Roman" w:eastAsia="Calibri" w:hAnsi="Times New Roman"/>
        </w:rPr>
        <w:t>“</w:t>
      </w:r>
      <w:r w:rsidR="00354399">
        <w:rPr>
          <w:rFonts w:ascii="Times New Roman" w:eastAsia="Calibri" w:hAnsi="Times New Roman"/>
        </w:rPr>
        <w:t xml:space="preserve">, atidavimo naudoti metai – 2007, inventorinis Nr. 016844, 1 vnt., pradinė įsigijimo vertė – 532,00 </w:t>
      </w:r>
      <w:proofErr w:type="spellStart"/>
      <w:r w:rsidR="00354399">
        <w:rPr>
          <w:rFonts w:ascii="Times New Roman" w:eastAsia="Calibri" w:hAnsi="Times New Roman"/>
        </w:rPr>
        <w:t>Eur</w:t>
      </w:r>
      <w:proofErr w:type="spellEnd"/>
      <w:r w:rsidR="00354399">
        <w:rPr>
          <w:rFonts w:ascii="Times New Roman" w:eastAsia="Calibri" w:hAnsi="Times New Roman"/>
        </w:rPr>
        <w:t xml:space="preserve">, nusidėvėjimas – 532,00 </w:t>
      </w:r>
      <w:proofErr w:type="spellStart"/>
      <w:r w:rsidR="00354399">
        <w:rPr>
          <w:rFonts w:ascii="Times New Roman" w:eastAsia="Calibri" w:hAnsi="Times New Roman"/>
        </w:rPr>
        <w:t>Eur</w:t>
      </w:r>
      <w:proofErr w:type="spellEnd"/>
      <w:r w:rsidR="00354399">
        <w:rPr>
          <w:rFonts w:ascii="Times New Roman" w:eastAsia="Calibri" w:hAnsi="Times New Roman"/>
        </w:rPr>
        <w:t>, be likutinės vertės;</w:t>
      </w:r>
    </w:p>
    <w:p w:rsidR="00354399" w:rsidRDefault="00354399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1.1.5. nešiojamą</w:t>
      </w:r>
      <w:r w:rsidR="0080240A">
        <w:rPr>
          <w:rFonts w:ascii="Times New Roman" w:eastAsia="Calibri" w:hAnsi="Times New Roman"/>
        </w:rPr>
        <w:t>jį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elektrokardiografą</w:t>
      </w:r>
      <w:proofErr w:type="spellEnd"/>
      <w:r>
        <w:rPr>
          <w:rFonts w:ascii="Times New Roman" w:eastAsia="Calibri" w:hAnsi="Times New Roman"/>
        </w:rPr>
        <w:t xml:space="preserve">, atidavimo naudoti metai – 2007, inventorinis                  Nr. 016864, 1 vnt., pradinė įsigijimo vertė – 1 065,80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 xml:space="preserve">, nusidėvėjimas – 1 065,80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>, be likutinės vertės;</w:t>
      </w:r>
    </w:p>
    <w:p w:rsidR="00354399" w:rsidRDefault="00354399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1.1.6.  mikroskopą </w:t>
      </w:r>
      <w:r w:rsidR="0080240A">
        <w:rPr>
          <w:rFonts w:ascii="Times New Roman" w:eastAsia="Calibri" w:hAnsi="Times New Roman"/>
        </w:rPr>
        <w:t>„</w:t>
      </w:r>
      <w:proofErr w:type="spellStart"/>
      <w:r w:rsidR="0080240A">
        <w:rPr>
          <w:rFonts w:ascii="Times New Roman" w:eastAsia="Calibri" w:hAnsi="Times New Roman"/>
        </w:rPr>
        <w:t>Axiostar</w:t>
      </w:r>
      <w:proofErr w:type="spellEnd"/>
      <w:r w:rsidR="0080240A">
        <w:rPr>
          <w:rFonts w:ascii="Times New Roman" w:eastAsia="Calibri" w:hAnsi="Times New Roman"/>
        </w:rPr>
        <w:t xml:space="preserve"> plius“</w:t>
      </w:r>
      <w:r>
        <w:rPr>
          <w:rFonts w:ascii="Times New Roman" w:eastAsia="Calibri" w:hAnsi="Times New Roman"/>
        </w:rPr>
        <w:t xml:space="preserve">, atidavimo naudoti metai – 2007, inventorinis Nr. 016858, 1 vnt., pradinė įsigijimo vertė – 1 668,78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 xml:space="preserve">, nusidėvėjimas – 1 668,78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>, be likutinės vertės.</w:t>
      </w:r>
    </w:p>
    <w:p w:rsidR="00354399" w:rsidRPr="00C90FB6" w:rsidRDefault="00354399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1.2. trumpalaikį turtą – kėdes pacientams, atidavimo naudoti metai – 2007, 9 vnt., vieneto kaina – 16,16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 xml:space="preserve">, bendra suma – 145,44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>
        <w:rPr>
          <w:rFonts w:ascii="Times New Roman" w:eastAsia="Calibri" w:hAnsi="Times New Roman"/>
        </w:rPr>
        <w:t>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1985"/>
          <w:tab w:val="left" w:pos="6237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S i ū l a u įsakymo 1 punkte nurodytą valstybės turtą </w:t>
      </w:r>
      <w:r w:rsidR="00FD3F86" w:rsidRPr="00C90FB6">
        <w:rPr>
          <w:rFonts w:ascii="Times New Roman" w:hAnsi="Times New Roman"/>
        </w:rPr>
        <w:t>nurašyti ir pristatyti į antrinių žaliavų surinkimo aikštelę</w:t>
      </w:r>
      <w:r w:rsidR="00500177">
        <w:rPr>
          <w:rFonts w:ascii="Times New Roman" w:hAnsi="Times New Roman"/>
        </w:rPr>
        <w:t xml:space="preserve"> bei medicininių prietaisų surinkimo punktus</w:t>
      </w:r>
      <w:r w:rsidR="00FD3F86" w:rsidRPr="00C90FB6">
        <w:rPr>
          <w:rFonts w:ascii="Times New Roman" w:hAnsi="Times New Roman"/>
        </w:rPr>
        <w:t>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1985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lastRenderedPageBreak/>
        <w:t xml:space="preserve">Į p a r e i g o j u Prienų rajono savivaldybės administracijos Statybos ir ekonominės plėtros skyrių gavus Lietuvos Respublikos švietimo, mokslo ir sporto ministerijos sutikimą </w:t>
      </w:r>
      <w:r w:rsidR="0000515B" w:rsidRPr="00C90FB6">
        <w:rPr>
          <w:rFonts w:ascii="Times New Roman" w:eastAsia="Calibri" w:hAnsi="Times New Roman"/>
        </w:rPr>
        <w:t>pa</w:t>
      </w:r>
      <w:r w:rsidRPr="00C90FB6">
        <w:rPr>
          <w:rFonts w:ascii="Times New Roman" w:eastAsia="Calibri" w:hAnsi="Times New Roman"/>
        </w:rPr>
        <w:t>rengti sprendimo projektą dėl valstybės turto nurašymo.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left" w:pos="1134"/>
          <w:tab w:val="left" w:pos="1418"/>
          <w:tab w:val="right" w:pos="8306"/>
        </w:tabs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C90FB6">
        <w:rPr>
          <w:rFonts w:ascii="Times New Roman" w:eastAsia="Calibri" w:hAnsi="Times New Roman"/>
        </w:rPr>
        <w:t xml:space="preserve">N u r o d a u </w:t>
      </w:r>
      <w:r w:rsidRPr="00C90FB6">
        <w:rPr>
          <w:rFonts w:ascii="Times New Roman" w:eastAsia="Calibri" w:hAnsi="Times New Roman"/>
          <w:szCs w:val="24"/>
        </w:rPr>
        <w:t>šį įsakymą paskelbti Savivaldybės interneto svetainėje.</w:t>
      </w:r>
    </w:p>
    <w:p w:rsidR="00AA57E3" w:rsidRPr="00C90FB6" w:rsidRDefault="00AA57E3" w:rsidP="0080240A">
      <w:pPr>
        <w:pStyle w:val="Header"/>
        <w:tabs>
          <w:tab w:val="center" w:pos="1418"/>
          <w:tab w:val="left" w:pos="1985"/>
        </w:tabs>
        <w:spacing w:line="276" w:lineRule="auto"/>
        <w:ind w:firstLine="1134"/>
        <w:jc w:val="both"/>
        <w:rPr>
          <w:rFonts w:ascii="Times New Roman" w:eastAsia="Calibri" w:hAnsi="Times New Roman"/>
          <w:bCs/>
          <w:szCs w:val="24"/>
        </w:rPr>
      </w:pPr>
      <w:r w:rsidRPr="00C90FB6">
        <w:rPr>
          <w:rFonts w:ascii="Times New Roman" w:eastAsia="Calibri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90FB6">
        <w:rPr>
          <w:rStyle w:val="uficommentbody"/>
          <w:rFonts w:ascii="Times New Roman" w:eastAsia="Calibri" w:hAnsi="Times New Roman"/>
          <w:szCs w:val="24"/>
        </w:rPr>
        <w:t>Laisvės al. 36, Kaunas</w:t>
      </w:r>
      <w:r w:rsidRPr="00C90FB6">
        <w:rPr>
          <w:rFonts w:ascii="Times New Roman" w:eastAsia="Calibri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Respublikos g. 62, Panevėžys; Klaipėdos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Galinio Pylimo g. 9, Klaipėda; Kauno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A. Mickevičiaus g. 8A, Kaunas).</w:t>
      </w:r>
    </w:p>
    <w:p w:rsidR="00E83393" w:rsidRPr="00C90FB6" w:rsidRDefault="00E83393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Administracijos direktorė</w:t>
      </w:r>
      <w:r w:rsidRPr="00C90FB6">
        <w:rPr>
          <w:rFonts w:ascii="Times New Roman" w:eastAsia="Calibri" w:hAnsi="Times New Roman"/>
        </w:rPr>
        <w:tab/>
        <w:t xml:space="preserve">                                                                 Jūratė </w:t>
      </w:r>
      <w:proofErr w:type="spellStart"/>
      <w:r w:rsidRPr="00C90FB6">
        <w:rPr>
          <w:rFonts w:ascii="Times New Roman" w:eastAsia="Calibri" w:hAnsi="Times New Roman"/>
        </w:rPr>
        <w:t>Zailskienė</w:t>
      </w:r>
      <w:proofErr w:type="spellEnd"/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80240A" w:rsidRPr="00C90FB6" w:rsidRDefault="0080240A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Parengė</w:t>
      </w: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proofErr w:type="spellStart"/>
      <w:r w:rsidRPr="00C90FB6">
        <w:rPr>
          <w:rFonts w:ascii="Times New Roman" w:eastAsia="Calibri" w:hAnsi="Times New Roman"/>
        </w:rPr>
        <w:t>Džiuljeta</w:t>
      </w:r>
      <w:proofErr w:type="spellEnd"/>
      <w:r w:rsidRPr="00C90FB6">
        <w:rPr>
          <w:rFonts w:ascii="Times New Roman" w:eastAsia="Calibri" w:hAnsi="Times New Roman"/>
        </w:rPr>
        <w:t xml:space="preserve"> </w:t>
      </w:r>
      <w:proofErr w:type="spellStart"/>
      <w:r w:rsidRPr="00C90FB6">
        <w:rPr>
          <w:rFonts w:ascii="Times New Roman" w:eastAsia="Calibri" w:hAnsi="Times New Roman"/>
        </w:rPr>
        <w:t>Čepeliauskienė</w:t>
      </w:r>
      <w:proofErr w:type="spellEnd"/>
    </w:p>
    <w:sectPr w:rsidR="00344BD5" w:rsidRPr="00C90FB6" w:rsidSect="00802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6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89" w:rsidRDefault="00B57989" w:rsidP="00F54C30">
      <w:r>
        <w:separator/>
      </w:r>
    </w:p>
  </w:endnote>
  <w:endnote w:type="continuationSeparator" w:id="0">
    <w:p w:rsidR="00B57989" w:rsidRDefault="00B57989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89" w:rsidRDefault="00B57989" w:rsidP="00F54C30">
      <w:r>
        <w:separator/>
      </w:r>
    </w:p>
  </w:footnote>
  <w:footnote w:type="continuationSeparator" w:id="0">
    <w:p w:rsidR="00B57989" w:rsidRDefault="00B57989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75266"/>
      <w:docPartObj>
        <w:docPartGallery w:val="Page Numbers (Top of Page)"/>
        <w:docPartUnique/>
      </w:docPartObj>
    </w:sdtPr>
    <w:sdtContent>
      <w:p w:rsidR="005F5486" w:rsidRDefault="001F3E3F">
        <w:pPr>
          <w:pStyle w:val="Header"/>
          <w:jc w:val="center"/>
        </w:pPr>
        <w:fldSimple w:instr=" PAGE   \* MERGEFORMAT ">
          <w:r w:rsidR="00121F2D">
            <w:rPr>
              <w:noProof/>
            </w:rPr>
            <w:t>2</w:t>
          </w:r>
        </w:fldSimple>
      </w:p>
    </w:sdtContent>
  </w:sdt>
  <w:p w:rsidR="005F5486" w:rsidRDefault="005F54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E3" w:rsidRDefault="00AA57E3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7E3" w:rsidRDefault="00AA57E3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AA57E3" w:rsidRDefault="00AA57E3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AA57E3" w:rsidRPr="0041199F" w:rsidRDefault="00AA57E3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515B"/>
    <w:rsid w:val="00014438"/>
    <w:rsid w:val="0002743F"/>
    <w:rsid w:val="00030997"/>
    <w:rsid w:val="00063F5D"/>
    <w:rsid w:val="000E49B5"/>
    <w:rsid w:val="000F7128"/>
    <w:rsid w:val="0010082F"/>
    <w:rsid w:val="00110B90"/>
    <w:rsid w:val="00121F2D"/>
    <w:rsid w:val="001236A8"/>
    <w:rsid w:val="001C4468"/>
    <w:rsid w:val="001F3E3F"/>
    <w:rsid w:val="00252BEC"/>
    <w:rsid w:val="00282B3F"/>
    <w:rsid w:val="002A639F"/>
    <w:rsid w:val="002B4715"/>
    <w:rsid w:val="002C300D"/>
    <w:rsid w:val="002E4680"/>
    <w:rsid w:val="002E59C2"/>
    <w:rsid w:val="002F11A3"/>
    <w:rsid w:val="00344BD5"/>
    <w:rsid w:val="00347305"/>
    <w:rsid w:val="00354399"/>
    <w:rsid w:val="003733B4"/>
    <w:rsid w:val="003B043C"/>
    <w:rsid w:val="003E4D01"/>
    <w:rsid w:val="00400B42"/>
    <w:rsid w:val="0041199F"/>
    <w:rsid w:val="00463C61"/>
    <w:rsid w:val="004844BC"/>
    <w:rsid w:val="004B5365"/>
    <w:rsid w:val="00500177"/>
    <w:rsid w:val="005245B1"/>
    <w:rsid w:val="00525128"/>
    <w:rsid w:val="005339BD"/>
    <w:rsid w:val="00535335"/>
    <w:rsid w:val="00563C9D"/>
    <w:rsid w:val="005921AF"/>
    <w:rsid w:val="005A11CB"/>
    <w:rsid w:val="005C5426"/>
    <w:rsid w:val="005D334A"/>
    <w:rsid w:val="005F5486"/>
    <w:rsid w:val="0061177E"/>
    <w:rsid w:val="006609D1"/>
    <w:rsid w:val="006D51B8"/>
    <w:rsid w:val="007273BF"/>
    <w:rsid w:val="00753FB6"/>
    <w:rsid w:val="00785223"/>
    <w:rsid w:val="007B4292"/>
    <w:rsid w:val="0080240A"/>
    <w:rsid w:val="008762DE"/>
    <w:rsid w:val="008921A2"/>
    <w:rsid w:val="009162DE"/>
    <w:rsid w:val="00925313"/>
    <w:rsid w:val="009672E4"/>
    <w:rsid w:val="009831A1"/>
    <w:rsid w:val="00985E5F"/>
    <w:rsid w:val="009A23C6"/>
    <w:rsid w:val="009F0CB9"/>
    <w:rsid w:val="00A175BD"/>
    <w:rsid w:val="00A24DDC"/>
    <w:rsid w:val="00A26479"/>
    <w:rsid w:val="00A74722"/>
    <w:rsid w:val="00A90CFE"/>
    <w:rsid w:val="00AA57E3"/>
    <w:rsid w:val="00AA7BBB"/>
    <w:rsid w:val="00AE767C"/>
    <w:rsid w:val="00B11081"/>
    <w:rsid w:val="00B57989"/>
    <w:rsid w:val="00B60711"/>
    <w:rsid w:val="00BA4AD7"/>
    <w:rsid w:val="00BB7ACA"/>
    <w:rsid w:val="00C0693F"/>
    <w:rsid w:val="00C12631"/>
    <w:rsid w:val="00C14ABA"/>
    <w:rsid w:val="00C53C06"/>
    <w:rsid w:val="00C90FB6"/>
    <w:rsid w:val="00CF4450"/>
    <w:rsid w:val="00D00A0D"/>
    <w:rsid w:val="00D10A0D"/>
    <w:rsid w:val="00D40E15"/>
    <w:rsid w:val="00D61638"/>
    <w:rsid w:val="00D644C9"/>
    <w:rsid w:val="00DB2E56"/>
    <w:rsid w:val="00DE5BA0"/>
    <w:rsid w:val="00DF1EB3"/>
    <w:rsid w:val="00E214DE"/>
    <w:rsid w:val="00E743DD"/>
    <w:rsid w:val="00E744EE"/>
    <w:rsid w:val="00E83393"/>
    <w:rsid w:val="00E86F63"/>
    <w:rsid w:val="00EF417C"/>
    <w:rsid w:val="00F03281"/>
    <w:rsid w:val="00F11242"/>
    <w:rsid w:val="00F1448B"/>
    <w:rsid w:val="00F44ABC"/>
    <w:rsid w:val="00F50950"/>
    <w:rsid w:val="00F54C30"/>
    <w:rsid w:val="00F567FC"/>
    <w:rsid w:val="00FA503B"/>
    <w:rsid w:val="00FD2993"/>
    <w:rsid w:val="00FD3F86"/>
    <w:rsid w:val="00FD5F97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A57E3"/>
  </w:style>
  <w:style w:type="character" w:styleId="CommentReference">
    <w:name w:val="annotation reference"/>
    <w:basedOn w:val="DefaultParagraphFont"/>
    <w:uiPriority w:val="99"/>
    <w:semiHidden/>
    <w:unhideWhenUsed/>
    <w:rsid w:val="005F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4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486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937F2-67BA-413A-BDD9-18829592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2021-12-13T12:57:00Z</dcterms:created>
  <dcterms:modified xsi:type="dcterms:W3CDTF">2021-12-13T12:57:00Z</dcterms:modified>
</cp:coreProperties>
</file>