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112388">
      <w:pPr>
        <w:tabs>
          <w:tab w:val="left" w:pos="10632"/>
        </w:tabs>
        <w:jc w:val="center"/>
      </w:pPr>
      <w:r>
        <w:t xml:space="preserve">                                                                                                                                  </w:t>
      </w:r>
      <w:r w:rsidR="001D70BD">
        <w:t xml:space="preserve"> </w:t>
      </w:r>
      <w:r>
        <w:t>PATVIRTINTA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Prienų rajono savivaldybės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administracijos direktoriaus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</w:t>
      </w:r>
      <w:r w:rsidR="0068779D">
        <w:t xml:space="preserve">                            2022 m. sausio</w:t>
      </w:r>
      <w:r>
        <w:t xml:space="preserve">     d. įsakymu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Nr. A3-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</w:p>
    <w:p w:rsidR="00112388" w:rsidRDefault="00054E70" w:rsidP="00054E70">
      <w:pPr>
        <w:tabs>
          <w:tab w:val="left" w:pos="11057"/>
          <w:tab w:val="left" w:pos="11199"/>
        </w:tabs>
        <w:ind w:right="-456"/>
        <w:rPr>
          <w:b/>
        </w:rPr>
      </w:pPr>
      <w:r>
        <w:rPr>
          <w:b/>
        </w:rPr>
        <w:t xml:space="preserve">                  PRIENŲ RAJONO </w:t>
      </w:r>
      <w:r w:rsidR="00112388">
        <w:rPr>
          <w:b/>
        </w:rPr>
        <w:t>SAVIVALDYBĖS GYVENTOJŲ CIVILIN</w:t>
      </w:r>
      <w:r w:rsidR="00C23A5A">
        <w:rPr>
          <w:b/>
        </w:rPr>
        <w:t>ĖS SAUGOS ŠVIETIMO RENGINIŲ 2022</w:t>
      </w:r>
      <w:r w:rsidR="00112388">
        <w:rPr>
          <w:b/>
        </w:rPr>
        <w:t xml:space="preserve"> METŲ GRAFIKAS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722"/>
        <w:gridCol w:w="6226"/>
        <w:gridCol w:w="1115"/>
        <w:gridCol w:w="1673"/>
        <w:gridCol w:w="2751"/>
      </w:tblGrid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</w:rPr>
              <w:t xml:space="preserve">Kiekis </w:t>
            </w:r>
          </w:p>
          <w:p w:rsidR="00112388" w:rsidRDefault="001123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(vnt.)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</w:rPr>
              <w:t>Vykdymo</w:t>
            </w:r>
          </w:p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laikotarpis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Vykdytojai</w:t>
            </w:r>
          </w:p>
        </w:tc>
      </w:tr>
      <w:tr w:rsidR="00112388" w:rsidTr="0011238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1. Vaizdinė medžiaga (lankstinukai, atmintinės, rekomendacijos):</w:t>
            </w:r>
          </w:p>
        </w:tc>
      </w:tr>
      <w:tr w:rsidR="00112388" w:rsidTr="00112388">
        <w:trPr>
          <w:trHeight w:val="6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88" w:rsidRDefault="00112388">
            <w:pPr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</w:rPr>
              <w:t>1.</w:t>
            </w:r>
          </w:p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48"/>
                <w:szCs w:val="48"/>
                <w:lang w:eastAsia="en-US"/>
              </w:rPr>
            </w:pPr>
            <w:r>
              <w:t>Atmintinės „Kūrenkime saugiai“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lang w:eastAsia="en-US"/>
              </w:rPr>
            </w:pPr>
            <w:r>
              <w:t>Atmintinės „Atsargiai – plikledis!“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Atmintinės „Kaip elgtis prie vandens telkinių“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lang w:eastAsia="en-US"/>
              </w:rPr>
            </w:pPr>
            <w:r>
              <w:t>Atmintinės „Ką daryti įvykus avarijai atominėje elektrinėje?“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Rekomendacijų „Kaip elgtis ant ledo“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Rekomendacijų „Ką daryti radus pavojingą radinį?“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Lankstinuko „Vasaros pavojai ir kaip jų išvengti?“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Lankstinuko „Nedeginkite sausos žolės“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2. Savivaldybės gyventojų nuotolinis švietimas: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Informavimas apie vykdomus perspėjimo sirenomis sistemos patikrinimus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apie atliekamus perspėjimo sirenomis sistemos patikrinimus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Gavus informaciją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Supažindinimas su savivaldybės ekstremalių</w:t>
            </w:r>
            <w:r w:rsidR="005D397E">
              <w:rPr>
                <w:color w:val="000000"/>
              </w:rPr>
              <w:t>jų situacijų</w:t>
            </w:r>
            <w:r>
              <w:rPr>
                <w:color w:val="000000"/>
              </w:rPr>
              <w:t xml:space="preserve"> komisijos veikla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apie vykusius savivaldybės ekstremalių</w:t>
            </w:r>
            <w:r w:rsidR="005D397E">
              <w:rPr>
                <w:color w:val="000000"/>
              </w:rPr>
              <w:t>jų</w:t>
            </w:r>
            <w:r>
              <w:rPr>
                <w:color w:val="000000"/>
              </w:rPr>
              <w:t xml:space="preserve"> situacijų komisijos posėdžius ir juose priimtus nutarimus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Informacija apie </w:t>
            </w:r>
            <w:r>
              <w:rPr>
                <w:color w:val="000000"/>
              </w:rPr>
              <w:lastRenderedPageBreak/>
              <w:t>pavojingas užkrečiamas ligas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Informac</w:t>
            </w:r>
            <w:r w:rsidR="00A45C12">
              <w:rPr>
                <w:color w:val="000000"/>
              </w:rPr>
              <w:t>ijos „Kaip</w:t>
            </w:r>
            <w:r>
              <w:rPr>
                <w:color w:val="000000"/>
              </w:rPr>
              <w:t xml:space="preserve"> išvengti pavojingų užkrečiamųjų ligų</w:t>
            </w:r>
            <w:r w:rsidR="00A902AA">
              <w:rPr>
                <w:color w:val="000000"/>
              </w:rPr>
              <w:t>,</w:t>
            </w:r>
            <w:r w:rsidR="00962396">
              <w:rPr>
                <w:color w:val="000000"/>
              </w:rPr>
              <w:t xml:space="preserve"> </w:t>
            </w:r>
            <w:r w:rsidR="00962396">
              <w:rPr>
                <w:color w:val="000000"/>
              </w:rPr>
              <w:lastRenderedPageBreak/>
              <w:t>vakcinavimas</w:t>
            </w:r>
            <w:r>
              <w:rPr>
                <w:color w:val="000000"/>
              </w:rPr>
              <w:t>“ parengimas ir viešinimas.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5D397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I–</w:t>
            </w:r>
            <w:r w:rsidR="00D167E9">
              <w:rPr>
                <w:color w:val="000000"/>
              </w:rPr>
              <w:t xml:space="preserve">III </w:t>
            </w:r>
            <w:proofErr w:type="spellStart"/>
            <w:r w:rsidR="00112388">
              <w:rPr>
                <w:color w:val="000000"/>
              </w:rPr>
              <w:t>ketv</w:t>
            </w:r>
            <w:proofErr w:type="spellEnd"/>
            <w:r w:rsidR="00112388"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Bendrojo skyriaus </w:t>
            </w:r>
            <w:r>
              <w:rPr>
                <w:color w:val="000000"/>
              </w:rPr>
              <w:lastRenderedPageBreak/>
              <w:t>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Informacija apie pirotechnikos priemones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„Atsargiai elkimės su pirotechnikos priemonėmis“ parengimas ir viešinimas.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</w:tbl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  <w:rPr>
          <w:b/>
          <w:lang w:eastAsia="en-US"/>
        </w:rPr>
      </w:pPr>
    </w:p>
    <w:p w:rsidR="00112388" w:rsidRDefault="00112388" w:rsidP="00112388"/>
    <w:p w:rsidR="00112388" w:rsidRDefault="00112388" w:rsidP="00112388">
      <w:pPr>
        <w:jc w:val="center"/>
      </w:pPr>
      <w:r>
        <w:t>_________________</w:t>
      </w: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D97412" w:rsidRPr="00D97412" w:rsidRDefault="00D97412" w:rsidP="00931F68">
      <w:pPr>
        <w:tabs>
          <w:tab w:val="left" w:pos="11766"/>
        </w:tabs>
      </w:pPr>
      <w:r>
        <w:tab/>
      </w:r>
    </w:p>
    <w:tbl>
      <w:tblPr>
        <w:tblW w:w="22552" w:type="dxa"/>
        <w:tblLook w:val="0000"/>
      </w:tblPr>
      <w:tblGrid>
        <w:gridCol w:w="15276"/>
        <w:gridCol w:w="7276"/>
      </w:tblGrid>
      <w:tr w:rsidR="00445666" w:rsidRPr="00FB0260" w:rsidTr="009319EF">
        <w:trPr>
          <w:trHeight w:val="360"/>
        </w:trPr>
        <w:tc>
          <w:tcPr>
            <w:tcW w:w="15276" w:type="dxa"/>
          </w:tcPr>
          <w:p w:rsidR="00445666" w:rsidRDefault="00445666" w:rsidP="00931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76" w:type="dxa"/>
          </w:tcPr>
          <w:p w:rsidR="00445666" w:rsidRPr="00FB0260" w:rsidRDefault="00445666" w:rsidP="009319EF">
            <w:pPr>
              <w:rPr>
                <w:sz w:val="22"/>
                <w:szCs w:val="22"/>
              </w:rPr>
            </w:pPr>
          </w:p>
        </w:tc>
      </w:tr>
    </w:tbl>
    <w:p w:rsidR="009319EF" w:rsidRPr="00FB0260" w:rsidRDefault="009319EF" w:rsidP="0041468C">
      <w:pPr>
        <w:rPr>
          <w:sz w:val="22"/>
          <w:szCs w:val="22"/>
        </w:rPr>
      </w:pPr>
    </w:p>
    <w:sectPr w:rsidR="009319EF" w:rsidRPr="00FB0260" w:rsidSect="005D397E">
      <w:headerReference w:type="default" r:id="rId7"/>
      <w:pgSz w:w="16838" w:h="11906" w:orient="landscape"/>
      <w:pgMar w:top="426" w:right="1134" w:bottom="14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7D" w:rsidRDefault="00D10D7D">
      <w:r>
        <w:separator/>
      </w:r>
    </w:p>
  </w:endnote>
  <w:endnote w:type="continuationSeparator" w:id="0">
    <w:p w:rsidR="00D10D7D" w:rsidRDefault="00D1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7D" w:rsidRDefault="00D10D7D">
      <w:r>
        <w:separator/>
      </w:r>
    </w:p>
  </w:footnote>
  <w:footnote w:type="continuationSeparator" w:id="0">
    <w:p w:rsidR="00D10D7D" w:rsidRDefault="00D10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E" w:rsidRDefault="00035CB0">
    <w:pPr>
      <w:pStyle w:val="Header"/>
      <w:jc w:val="center"/>
    </w:pPr>
    <w:fldSimple w:instr=" PAGE   \* MERGEFORMAT ">
      <w:r w:rsidR="0035292D">
        <w:rPr>
          <w:noProof/>
        </w:rPr>
        <w:t>2</w:t>
      </w:r>
    </w:fldSimple>
  </w:p>
  <w:p w:rsidR="00AD4F91" w:rsidRDefault="00AD4F9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64D9"/>
    <w:rsid w:val="00010465"/>
    <w:rsid w:val="00027E4E"/>
    <w:rsid w:val="00035CB0"/>
    <w:rsid w:val="00037394"/>
    <w:rsid w:val="00054E70"/>
    <w:rsid w:val="000730EA"/>
    <w:rsid w:val="000866F9"/>
    <w:rsid w:val="000A644A"/>
    <w:rsid w:val="000B4DAA"/>
    <w:rsid w:val="000B6FE0"/>
    <w:rsid w:val="000D18A8"/>
    <w:rsid w:val="000E43CF"/>
    <w:rsid w:val="00112388"/>
    <w:rsid w:val="00181543"/>
    <w:rsid w:val="00184728"/>
    <w:rsid w:val="001B37B8"/>
    <w:rsid w:val="001C623A"/>
    <w:rsid w:val="001D70BD"/>
    <w:rsid w:val="00202851"/>
    <w:rsid w:val="002630FC"/>
    <w:rsid w:val="00286BE4"/>
    <w:rsid w:val="002C6113"/>
    <w:rsid w:val="00326800"/>
    <w:rsid w:val="003446AF"/>
    <w:rsid w:val="0035292D"/>
    <w:rsid w:val="00364F68"/>
    <w:rsid w:val="00381A01"/>
    <w:rsid w:val="00405D67"/>
    <w:rsid w:val="0041468C"/>
    <w:rsid w:val="00445666"/>
    <w:rsid w:val="0046487A"/>
    <w:rsid w:val="004A1010"/>
    <w:rsid w:val="004C675B"/>
    <w:rsid w:val="004E45DB"/>
    <w:rsid w:val="004E64D9"/>
    <w:rsid w:val="00506B16"/>
    <w:rsid w:val="00512103"/>
    <w:rsid w:val="00536304"/>
    <w:rsid w:val="00574739"/>
    <w:rsid w:val="00577D52"/>
    <w:rsid w:val="005812D4"/>
    <w:rsid w:val="005B0751"/>
    <w:rsid w:val="005D397E"/>
    <w:rsid w:val="005E1BD5"/>
    <w:rsid w:val="005F19CD"/>
    <w:rsid w:val="005F335A"/>
    <w:rsid w:val="005F3855"/>
    <w:rsid w:val="00605574"/>
    <w:rsid w:val="00606731"/>
    <w:rsid w:val="00612B66"/>
    <w:rsid w:val="006157B0"/>
    <w:rsid w:val="00667390"/>
    <w:rsid w:val="00682C51"/>
    <w:rsid w:val="0068779D"/>
    <w:rsid w:val="006A0457"/>
    <w:rsid w:val="006A5936"/>
    <w:rsid w:val="006B5F43"/>
    <w:rsid w:val="006B6206"/>
    <w:rsid w:val="007205F6"/>
    <w:rsid w:val="007318E7"/>
    <w:rsid w:val="0076618D"/>
    <w:rsid w:val="00781192"/>
    <w:rsid w:val="007A2996"/>
    <w:rsid w:val="007B6F76"/>
    <w:rsid w:val="007D64D1"/>
    <w:rsid w:val="007F2840"/>
    <w:rsid w:val="007F42F5"/>
    <w:rsid w:val="008567A3"/>
    <w:rsid w:val="008B14F7"/>
    <w:rsid w:val="008E0D04"/>
    <w:rsid w:val="009062A0"/>
    <w:rsid w:val="009319EF"/>
    <w:rsid w:val="00931F68"/>
    <w:rsid w:val="00962396"/>
    <w:rsid w:val="009B198B"/>
    <w:rsid w:val="00A0326D"/>
    <w:rsid w:val="00A23121"/>
    <w:rsid w:val="00A45C12"/>
    <w:rsid w:val="00A62A5D"/>
    <w:rsid w:val="00A902AA"/>
    <w:rsid w:val="00A94CB6"/>
    <w:rsid w:val="00AA25AE"/>
    <w:rsid w:val="00AA5114"/>
    <w:rsid w:val="00AA6DB1"/>
    <w:rsid w:val="00AA7336"/>
    <w:rsid w:val="00AC6E32"/>
    <w:rsid w:val="00AD4AC4"/>
    <w:rsid w:val="00AD4F91"/>
    <w:rsid w:val="00AF260B"/>
    <w:rsid w:val="00B31D66"/>
    <w:rsid w:val="00BD50B1"/>
    <w:rsid w:val="00BF5C9D"/>
    <w:rsid w:val="00C23A5A"/>
    <w:rsid w:val="00C525E7"/>
    <w:rsid w:val="00C85769"/>
    <w:rsid w:val="00CA0427"/>
    <w:rsid w:val="00CA0429"/>
    <w:rsid w:val="00CC3A42"/>
    <w:rsid w:val="00CC4BAE"/>
    <w:rsid w:val="00CD047D"/>
    <w:rsid w:val="00D10D7D"/>
    <w:rsid w:val="00D13392"/>
    <w:rsid w:val="00D167E9"/>
    <w:rsid w:val="00D56368"/>
    <w:rsid w:val="00D97412"/>
    <w:rsid w:val="00DC13DE"/>
    <w:rsid w:val="00DF043E"/>
    <w:rsid w:val="00E55650"/>
    <w:rsid w:val="00E774CC"/>
    <w:rsid w:val="00E83BFA"/>
    <w:rsid w:val="00EA685A"/>
    <w:rsid w:val="00EB025A"/>
    <w:rsid w:val="00EB06B4"/>
    <w:rsid w:val="00EB5DBA"/>
    <w:rsid w:val="00ED3590"/>
    <w:rsid w:val="00EE35D8"/>
    <w:rsid w:val="00F13B7F"/>
    <w:rsid w:val="00F2444A"/>
    <w:rsid w:val="00F32FAE"/>
    <w:rsid w:val="00F73C67"/>
    <w:rsid w:val="00F756C7"/>
    <w:rsid w:val="00FB0260"/>
    <w:rsid w:val="00FB349A"/>
    <w:rsid w:val="00FD5727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0465"/>
    <w:pPr>
      <w:keepNext/>
      <w:jc w:val="center"/>
      <w:outlineLvl w:val="0"/>
    </w:pPr>
    <w:rPr>
      <w:b/>
      <w:bCs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10465"/>
    <w:pPr>
      <w:keepNext/>
      <w:widowControl w:val="0"/>
      <w:tabs>
        <w:tab w:val="right" w:pos="935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10465"/>
    <w:pPr>
      <w:keepNext/>
      <w:ind w:firstLine="851"/>
      <w:jc w:val="both"/>
      <w:outlineLvl w:val="2"/>
    </w:pPr>
    <w:rPr>
      <w:b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10465"/>
    <w:pPr>
      <w:keepNext/>
      <w:jc w:val="center"/>
      <w:outlineLvl w:val="3"/>
    </w:pPr>
    <w:rPr>
      <w:b/>
      <w:bCs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010465"/>
    <w:pPr>
      <w:keepNext/>
      <w:jc w:val="center"/>
      <w:outlineLvl w:val="4"/>
    </w:pPr>
    <w:rPr>
      <w:b/>
      <w:bCs/>
      <w:sz w:val="32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010465"/>
    <w:pPr>
      <w:keepNext/>
      <w:jc w:val="center"/>
      <w:outlineLvl w:val="5"/>
    </w:pPr>
    <w:rPr>
      <w:szCs w:val="20"/>
      <w:u w:val="single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7336"/>
    <w:rPr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AA7336"/>
    <w:rPr>
      <w:b/>
      <w:sz w:val="24"/>
      <w:lang w:eastAsia="en-US"/>
    </w:rPr>
  </w:style>
  <w:style w:type="character" w:customStyle="1" w:styleId="Heading3Char">
    <w:name w:val="Heading 3 Char"/>
    <w:link w:val="Heading3"/>
    <w:rsid w:val="00AA7336"/>
    <w:rPr>
      <w:b/>
      <w:sz w:val="24"/>
      <w:lang w:val="en-AU" w:eastAsia="en-US"/>
    </w:rPr>
  </w:style>
  <w:style w:type="character" w:customStyle="1" w:styleId="Heading4Char">
    <w:name w:val="Heading 4 Char"/>
    <w:link w:val="Heading4"/>
    <w:rsid w:val="00AA7336"/>
    <w:rPr>
      <w:b/>
      <w:bCs/>
      <w:sz w:val="24"/>
      <w:lang w:val="en-AU" w:eastAsia="en-US"/>
    </w:rPr>
  </w:style>
  <w:style w:type="character" w:customStyle="1" w:styleId="Heading5Char">
    <w:name w:val="Heading 5 Char"/>
    <w:link w:val="Heading5"/>
    <w:rsid w:val="00AA7336"/>
    <w:rPr>
      <w:b/>
      <w:bCs/>
      <w:sz w:val="32"/>
      <w:lang w:val="en-AU" w:eastAsia="en-US"/>
    </w:rPr>
  </w:style>
  <w:style w:type="character" w:customStyle="1" w:styleId="Heading6Char">
    <w:name w:val="Heading 6 Char"/>
    <w:link w:val="Heading6"/>
    <w:rsid w:val="00AA7336"/>
    <w:rPr>
      <w:sz w:val="24"/>
      <w:u w:val="single"/>
      <w:lang w:val="en-AU" w:eastAsia="en-US"/>
    </w:rPr>
  </w:style>
  <w:style w:type="character" w:styleId="Strong">
    <w:name w:val="Strong"/>
    <w:qFormat/>
    <w:rsid w:val="00010465"/>
    <w:rPr>
      <w:b/>
      <w:bCs/>
    </w:rPr>
  </w:style>
  <w:style w:type="character" w:styleId="Emphasis">
    <w:name w:val="Emphasis"/>
    <w:qFormat/>
    <w:rsid w:val="000104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2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1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2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840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rsid w:val="007F2840"/>
    <w:rPr>
      <w:rFonts w:ascii="TimesLT" w:hAnsi="TimesLT"/>
      <w:lang w:eastAsia="en-US"/>
    </w:rPr>
  </w:style>
  <w:style w:type="paragraph" w:styleId="Caption">
    <w:name w:val="caption"/>
    <w:basedOn w:val="Normal"/>
    <w:next w:val="Normal"/>
    <w:qFormat/>
    <w:rsid w:val="007F2840"/>
    <w:pPr>
      <w:jc w:val="center"/>
    </w:pPr>
    <w:rPr>
      <w:b/>
      <w:szCs w:val="20"/>
      <w:lang w:eastAsia="en-US"/>
    </w:rPr>
  </w:style>
  <w:style w:type="character" w:styleId="PageNumber">
    <w:name w:val="page number"/>
    <w:semiHidden/>
    <w:rsid w:val="007F2840"/>
  </w:style>
  <w:style w:type="paragraph" w:styleId="Footer">
    <w:name w:val="footer"/>
    <w:basedOn w:val="Normal"/>
    <w:link w:val="FooterChar"/>
    <w:uiPriority w:val="99"/>
    <w:semiHidden/>
    <w:unhideWhenUsed/>
    <w:rsid w:val="005D39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9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375A-35AC-4245-95E8-4FC068E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 Trakys</dc:creator>
  <cp:lastModifiedBy>DaivaB</cp:lastModifiedBy>
  <cp:revision>2</cp:revision>
  <cp:lastPrinted>2018-01-31T13:52:00Z</cp:lastPrinted>
  <dcterms:created xsi:type="dcterms:W3CDTF">2022-05-05T13:35:00Z</dcterms:created>
  <dcterms:modified xsi:type="dcterms:W3CDTF">2022-05-05T13:35:00Z</dcterms:modified>
</cp:coreProperties>
</file>