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Cs/>
          <w:sz w:val="24"/>
          <w:szCs w:val="24"/>
        </w:rPr>
        <w:t>PATVIRTINTA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birželio        d.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Vasaros mugė Prienuose.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4. Numatomas dalyvių skaičius  – 15  dalyvių.</w:t>
      </w:r>
    </w:p>
    <w:p>
      <w:pPr>
        <w:pStyle w:val="Normal"/>
        <w:spacing w:lineRule="auto" w:line="27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2022 m. liepos 20–21 d. nuo 8.00 val. iki 18.00 val.              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prekyba iš prekybinių palapinių, 20 prekybos vietų (prekyba keramika, juvelyrika, dirbiniais iš medžio, medeliais, rūkyta žuvimi ir mėsa, duona, pyragais, šakočiais. Ajurvedinė produkcija, prieskoniai, aliejai).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8. Renginio organizatorių ir dalyvių pareigos, atsakomybė: 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Deimantas Žiupka, </w:t>
      </w:r>
      <w:r>
        <w:rPr>
          <w:i/>
          <w:iCs/>
          <w:sz w:val="24"/>
          <w:szCs w:val="24"/>
          <w:lang w:val="en-GB"/>
        </w:rPr>
        <w:t>(duomenys neskelbtini),</w:t>
      </w:r>
      <w:r>
        <w:rPr/>
        <w:t xml:space="preserve"> tel. 8 600 44888, Vaclovas Šileris,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>tel. 8 674 37922.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222</Words>
  <Characters>1503</Characters>
  <CharactersWithSpaces>1832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2022-07-01T08:23:00Z</dcterms:created>
  <dc:creator>noname</dc:creator>
  <dc:description/>
  <dc:language>en-GB</dc:language>
  <cp:lastModifiedBy/>
  <cp:lastPrinted>2019-02-27T13:07:00Z</cp:lastPrinted>
  <dcterms:modified xsi:type="dcterms:W3CDTF">2026-03-16T16:19:15Z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