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19E" w:rsidRDefault="00AB4A39" w:rsidP="00AB4A39">
      <w:pPr>
        <w:pStyle w:val="ColorfulList-Accent11"/>
        <w:ind w:left="6300" w:hanging="180"/>
      </w:pPr>
      <w:r>
        <w:t>PRITARTA</w:t>
      </w:r>
    </w:p>
    <w:p w:rsidR="00AB4A39" w:rsidRDefault="00AB4A39" w:rsidP="00AB4A39">
      <w:pPr>
        <w:pStyle w:val="ColorfulList-Accent11"/>
        <w:ind w:left="6300" w:hanging="180"/>
      </w:pPr>
      <w:r>
        <w:t>Prienų rajono savivaldybės tarybos</w:t>
      </w:r>
    </w:p>
    <w:p w:rsidR="00AB4A39" w:rsidRDefault="00AB4A39" w:rsidP="00AB4A39">
      <w:pPr>
        <w:pStyle w:val="ColorfulList-Accent11"/>
        <w:ind w:left="6300" w:hanging="180"/>
      </w:pPr>
      <w:r>
        <w:t>2022 m. rugpjūčio 25 d.</w:t>
      </w:r>
    </w:p>
    <w:p w:rsidR="00AB4A39" w:rsidRPr="00C3088C" w:rsidRDefault="00AB4A39" w:rsidP="00AB4A39">
      <w:pPr>
        <w:pStyle w:val="ColorfulList-Accent11"/>
        <w:ind w:left="6300" w:hanging="180"/>
      </w:pPr>
      <w:r>
        <w:t>sprendimu Nr. T3-246</w:t>
      </w:r>
    </w:p>
    <w:p w:rsidR="00DC756B" w:rsidRPr="00C3088C" w:rsidRDefault="00DC756B" w:rsidP="00A064D2">
      <w:pPr>
        <w:pStyle w:val="ColorfulList-Accent11"/>
        <w:ind w:left="0"/>
        <w:jc w:val="center"/>
      </w:pPr>
    </w:p>
    <w:p w:rsidR="00DC756B" w:rsidRPr="00C3088C" w:rsidRDefault="00DC756B" w:rsidP="00A064D2">
      <w:pPr>
        <w:pStyle w:val="ColorfulList-Accent11"/>
        <w:ind w:left="0"/>
        <w:jc w:val="center"/>
      </w:pPr>
    </w:p>
    <w:p w:rsidR="00A064D2" w:rsidRPr="00B778A6" w:rsidRDefault="0001670F" w:rsidP="00A064D2">
      <w:pPr>
        <w:pStyle w:val="ColorfulList-Accent11"/>
        <w:ind w:left="0"/>
        <w:jc w:val="center"/>
        <w:rPr>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6pt;height:318.05pt">
            <v:imagedata r:id="rId8" o:title="aaa"/>
          </v:shape>
        </w:pict>
      </w:r>
    </w:p>
    <w:p w:rsidR="003632B3" w:rsidRPr="00B778A6" w:rsidRDefault="003632B3" w:rsidP="00735D4B">
      <w:pPr>
        <w:pStyle w:val="ColorfulList-Accent11"/>
        <w:ind w:left="0"/>
        <w:jc w:val="center"/>
        <w:rPr>
          <w:szCs w:val="24"/>
        </w:rPr>
      </w:pPr>
    </w:p>
    <w:p w:rsidR="00DC756B" w:rsidRPr="00B778A6" w:rsidRDefault="00DC756B" w:rsidP="00735D4B">
      <w:pPr>
        <w:pStyle w:val="ColorfulList-Accent11"/>
        <w:ind w:left="0"/>
        <w:jc w:val="center"/>
        <w:rPr>
          <w:szCs w:val="24"/>
        </w:rPr>
      </w:pPr>
    </w:p>
    <w:p w:rsidR="007D019E" w:rsidRPr="00B778A6" w:rsidRDefault="002C68C6" w:rsidP="00735D4B">
      <w:pPr>
        <w:pStyle w:val="ColorfulList-Accent11"/>
        <w:ind w:left="0"/>
        <w:jc w:val="center"/>
        <w:rPr>
          <w:szCs w:val="24"/>
        </w:rPr>
      </w:pPr>
      <w:r w:rsidRPr="00B778A6">
        <w:rPr>
          <w:szCs w:val="24"/>
        </w:rPr>
        <w:t>INVESTICIJŲ</w:t>
      </w:r>
      <w:r w:rsidR="007D019E" w:rsidRPr="00B778A6">
        <w:rPr>
          <w:szCs w:val="24"/>
        </w:rPr>
        <w:t xml:space="preserve"> PROJEKTAS</w:t>
      </w:r>
    </w:p>
    <w:p w:rsidR="007D019E" w:rsidRPr="00B778A6" w:rsidRDefault="007D019E" w:rsidP="00735D4B">
      <w:pPr>
        <w:pStyle w:val="ColorfulList-Accent11"/>
        <w:ind w:left="0"/>
        <w:jc w:val="center"/>
        <w:rPr>
          <w:szCs w:val="24"/>
        </w:rPr>
      </w:pPr>
    </w:p>
    <w:p w:rsidR="001B065F" w:rsidRPr="00B778A6" w:rsidRDefault="001B065F" w:rsidP="00735D4B">
      <w:pPr>
        <w:pStyle w:val="ColorfulList-Accent11"/>
        <w:ind w:left="0"/>
        <w:jc w:val="center"/>
        <w:rPr>
          <w:szCs w:val="24"/>
        </w:rPr>
      </w:pPr>
    </w:p>
    <w:p w:rsidR="001B065F" w:rsidRPr="00B778A6" w:rsidRDefault="00411565" w:rsidP="00B778A6">
      <w:pPr>
        <w:pStyle w:val="ColorfulList-Accent11"/>
        <w:ind w:left="0"/>
        <w:jc w:val="center"/>
        <w:rPr>
          <w:szCs w:val="24"/>
        </w:rPr>
      </w:pPr>
      <w:r w:rsidRPr="00B778A6">
        <w:rPr>
          <w:b/>
          <w:sz w:val="32"/>
          <w:szCs w:val="32"/>
        </w:rPr>
        <w:t>LOPŠELIO-</w:t>
      </w:r>
      <w:r w:rsidR="00211B2C" w:rsidRPr="00B778A6">
        <w:rPr>
          <w:b/>
          <w:sz w:val="32"/>
          <w:szCs w:val="32"/>
        </w:rPr>
        <w:t>DARŽELIO GINTARĖLIS MODERNIZAVIMAS</w:t>
      </w:r>
    </w:p>
    <w:p w:rsidR="0086222F" w:rsidRPr="00B778A6" w:rsidRDefault="0086222F" w:rsidP="00FD1BF7">
      <w:pPr>
        <w:pStyle w:val="ColorfulList-Accent11"/>
        <w:ind w:left="360"/>
        <w:rPr>
          <w:szCs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7"/>
        <w:gridCol w:w="4853"/>
      </w:tblGrid>
      <w:tr w:rsidR="00944AF8" w:rsidRPr="00B778A6" w:rsidTr="005E124B">
        <w:trPr>
          <w:trHeight w:val="70"/>
        </w:trPr>
        <w:tc>
          <w:tcPr>
            <w:tcW w:w="4687" w:type="dxa"/>
            <w:vAlign w:val="center"/>
          </w:tcPr>
          <w:p w:rsidR="00944AF8" w:rsidRPr="00B778A6" w:rsidRDefault="00944AF8" w:rsidP="005E124B">
            <w:pPr>
              <w:tabs>
                <w:tab w:val="left" w:pos="720"/>
              </w:tabs>
              <w:jc w:val="center"/>
              <w:rPr>
                <w:b/>
                <w:lang w:eastAsia="en-US"/>
              </w:rPr>
            </w:pPr>
            <w:r w:rsidRPr="00B778A6">
              <w:rPr>
                <w:b/>
                <w:lang w:eastAsia="en-US"/>
              </w:rPr>
              <w:t>Vykdytojas:</w:t>
            </w:r>
          </w:p>
        </w:tc>
        <w:tc>
          <w:tcPr>
            <w:tcW w:w="4853" w:type="dxa"/>
            <w:vAlign w:val="center"/>
          </w:tcPr>
          <w:p w:rsidR="00944AF8" w:rsidRPr="00B778A6" w:rsidRDefault="00944AF8" w:rsidP="00FE2091">
            <w:pPr>
              <w:tabs>
                <w:tab w:val="left" w:pos="720"/>
              </w:tabs>
              <w:jc w:val="center"/>
              <w:rPr>
                <w:b/>
                <w:lang w:eastAsia="en-US"/>
              </w:rPr>
            </w:pPr>
            <w:r w:rsidRPr="00B778A6">
              <w:rPr>
                <w:b/>
                <w:lang w:eastAsia="en-US"/>
              </w:rPr>
              <w:t>Užsakovas:</w:t>
            </w:r>
          </w:p>
        </w:tc>
      </w:tr>
      <w:tr w:rsidR="00944AF8" w:rsidRPr="00B778A6" w:rsidTr="005E124B">
        <w:trPr>
          <w:trHeight w:val="70"/>
        </w:trPr>
        <w:tc>
          <w:tcPr>
            <w:tcW w:w="4687" w:type="dxa"/>
            <w:vAlign w:val="center"/>
          </w:tcPr>
          <w:p w:rsidR="00944AF8" w:rsidRPr="00B778A6" w:rsidRDefault="00E941D7" w:rsidP="005E124B">
            <w:pPr>
              <w:tabs>
                <w:tab w:val="left" w:pos="720"/>
              </w:tabs>
              <w:jc w:val="center"/>
              <w:rPr>
                <w:b/>
                <w:bCs/>
                <w:lang w:eastAsia="en-US"/>
              </w:rPr>
            </w:pPr>
            <w:r w:rsidRPr="00B778A6">
              <w:rPr>
                <w:lang w:eastAsia="en-US"/>
              </w:rPr>
              <w:t>UAB „</w:t>
            </w:r>
            <w:r w:rsidR="00416D93" w:rsidRPr="00B778A6">
              <w:rPr>
                <w:lang w:eastAsia="en-US"/>
              </w:rPr>
              <w:t>Geotaškas</w:t>
            </w:r>
            <w:r w:rsidRPr="00B778A6">
              <w:rPr>
                <w:lang w:eastAsia="en-US"/>
              </w:rPr>
              <w:t>“</w:t>
            </w:r>
          </w:p>
        </w:tc>
        <w:tc>
          <w:tcPr>
            <w:tcW w:w="4853" w:type="dxa"/>
            <w:vAlign w:val="center"/>
          </w:tcPr>
          <w:p w:rsidR="00944AF8" w:rsidRPr="00B778A6" w:rsidRDefault="00211B2C" w:rsidP="00FE2091">
            <w:pPr>
              <w:tabs>
                <w:tab w:val="left" w:pos="720"/>
              </w:tabs>
              <w:jc w:val="center"/>
              <w:rPr>
                <w:bCs/>
                <w:lang w:eastAsia="en-US"/>
              </w:rPr>
            </w:pPr>
            <w:r w:rsidRPr="00B778A6">
              <w:rPr>
                <w:bCs/>
                <w:lang w:eastAsia="en-US"/>
              </w:rPr>
              <w:t xml:space="preserve">Prienų </w:t>
            </w:r>
            <w:r w:rsidR="00944AF8" w:rsidRPr="00B778A6">
              <w:rPr>
                <w:bCs/>
                <w:lang w:eastAsia="en-US"/>
              </w:rPr>
              <w:t>rajono savivaldybės administracija</w:t>
            </w:r>
          </w:p>
        </w:tc>
      </w:tr>
      <w:tr w:rsidR="005E124B" w:rsidRPr="00B778A6" w:rsidTr="005E124B">
        <w:trPr>
          <w:trHeight w:val="2138"/>
        </w:trPr>
        <w:tc>
          <w:tcPr>
            <w:tcW w:w="4687" w:type="dxa"/>
            <w:vAlign w:val="center"/>
          </w:tcPr>
          <w:p w:rsidR="005E124B" w:rsidRPr="00B778A6" w:rsidRDefault="007E2858" w:rsidP="005E124B">
            <w:pPr>
              <w:tabs>
                <w:tab w:val="left" w:pos="720"/>
              </w:tabs>
              <w:jc w:val="center"/>
              <w:rPr>
                <w:b/>
                <w:bCs/>
                <w:lang w:eastAsia="en-US"/>
              </w:rPr>
            </w:pPr>
            <w:r>
              <w:pict>
                <v:shape id="_x0000_i1026" type="#_x0000_t75" style="width:122.7pt;height:88.3pt">
                  <v:imagedata r:id="rId9" o:title=""/>
                </v:shape>
              </w:pict>
            </w:r>
          </w:p>
        </w:tc>
        <w:tc>
          <w:tcPr>
            <w:tcW w:w="4853" w:type="dxa"/>
            <w:vAlign w:val="center"/>
          </w:tcPr>
          <w:p w:rsidR="005E124B" w:rsidRPr="00B778A6" w:rsidRDefault="007E2858" w:rsidP="005E124B">
            <w:pPr>
              <w:tabs>
                <w:tab w:val="left" w:pos="720"/>
              </w:tabs>
              <w:jc w:val="center"/>
              <w:rPr>
                <w:bCs/>
                <w:lang w:eastAsia="en-US"/>
              </w:rPr>
            </w:pPr>
            <w:r>
              <w:pict>
                <v:shape id="_x0000_i1027" type="#_x0000_t75" alt="Prienai - Visuotinė lietuvių enciklopedija" style="width:132.1pt;height:90.15pt">
                  <v:imagedata r:id="rId10" r:href="rId11"/>
                </v:shape>
              </w:pict>
            </w:r>
          </w:p>
        </w:tc>
      </w:tr>
    </w:tbl>
    <w:p w:rsidR="007D68AF" w:rsidRPr="00B778A6" w:rsidRDefault="007D68AF" w:rsidP="005E124B">
      <w:pPr>
        <w:jc w:val="center"/>
        <w:rPr>
          <w:b/>
        </w:rPr>
      </w:pPr>
    </w:p>
    <w:p w:rsidR="001B065F" w:rsidRPr="00B778A6" w:rsidRDefault="001B065F" w:rsidP="005E124B">
      <w:pPr>
        <w:jc w:val="center"/>
        <w:rPr>
          <w:b/>
        </w:rPr>
      </w:pPr>
    </w:p>
    <w:p w:rsidR="001B065F" w:rsidRPr="00B778A6" w:rsidRDefault="001B065F" w:rsidP="005E124B">
      <w:pPr>
        <w:jc w:val="center"/>
        <w:rPr>
          <w:b/>
        </w:rPr>
      </w:pPr>
    </w:p>
    <w:p w:rsidR="00944AF8" w:rsidRPr="00B778A6" w:rsidRDefault="00211B2C" w:rsidP="00944AF8">
      <w:pPr>
        <w:jc w:val="center"/>
        <w:rPr>
          <w:b/>
        </w:rPr>
      </w:pPr>
      <w:r w:rsidRPr="00B778A6">
        <w:rPr>
          <w:b/>
        </w:rPr>
        <w:t>Prienai</w:t>
      </w:r>
      <w:r w:rsidR="00C516FD" w:rsidRPr="00B778A6">
        <w:rPr>
          <w:b/>
        </w:rPr>
        <w:t xml:space="preserve">, </w:t>
      </w:r>
      <w:r w:rsidRPr="00B778A6">
        <w:rPr>
          <w:b/>
        </w:rPr>
        <w:t>2022</w:t>
      </w:r>
      <w:r w:rsidR="00A36DDC" w:rsidRPr="00B778A6">
        <w:rPr>
          <w:b/>
        </w:rPr>
        <w:t>-</w:t>
      </w:r>
      <w:r w:rsidRPr="00B778A6">
        <w:rPr>
          <w:b/>
        </w:rPr>
        <w:t>0</w:t>
      </w:r>
      <w:r w:rsidR="007A41EE">
        <w:rPr>
          <w:b/>
        </w:rPr>
        <w:t>8-17</w:t>
      </w:r>
    </w:p>
    <w:p w:rsidR="00B54573" w:rsidRPr="00B778A6" w:rsidRDefault="00B54573" w:rsidP="00183DE9">
      <w:pPr>
        <w:rPr>
          <w:sz w:val="22"/>
          <w:szCs w:val="22"/>
        </w:rPr>
      </w:pPr>
      <w:r w:rsidRPr="00B778A6">
        <w:br w:type="page"/>
      </w:r>
      <w:r w:rsidRPr="00B778A6">
        <w:rPr>
          <w:b/>
          <w:sz w:val="22"/>
          <w:szCs w:val="22"/>
        </w:rPr>
        <w:lastRenderedPageBreak/>
        <w:t>TURINYS:</w:t>
      </w:r>
    </w:p>
    <w:p w:rsidR="007B7F96" w:rsidRPr="00B778A6" w:rsidRDefault="007B7F96" w:rsidP="00183DE9">
      <w:pPr>
        <w:rPr>
          <w:sz w:val="22"/>
          <w:szCs w:val="22"/>
        </w:rPr>
      </w:pPr>
    </w:p>
    <w:p w:rsidR="00DA1A2F" w:rsidRPr="00B778A6" w:rsidRDefault="0001670F">
      <w:pPr>
        <w:pStyle w:val="TOC1"/>
        <w:rPr>
          <w:b w:val="0"/>
          <w:noProof/>
          <w:sz w:val="22"/>
        </w:rPr>
      </w:pPr>
      <w:r w:rsidRPr="0001670F">
        <w:rPr>
          <w:sz w:val="22"/>
        </w:rPr>
        <w:fldChar w:fldCharType="begin"/>
      </w:r>
      <w:r w:rsidR="00B54573" w:rsidRPr="00B778A6">
        <w:rPr>
          <w:sz w:val="22"/>
        </w:rPr>
        <w:instrText xml:space="preserve"> TOC \o "1-3" \h \z \u </w:instrText>
      </w:r>
      <w:r w:rsidRPr="0001670F">
        <w:rPr>
          <w:sz w:val="22"/>
        </w:rPr>
        <w:fldChar w:fldCharType="separate"/>
      </w:r>
      <w:hyperlink w:anchor="_Toc34924462" w:history="1">
        <w:r w:rsidR="00DA1A2F" w:rsidRPr="00B778A6">
          <w:rPr>
            <w:rStyle w:val="Hyperlink"/>
            <w:noProof/>
            <w:sz w:val="22"/>
          </w:rPr>
          <w:t>SANTRAUKA</w:t>
        </w:r>
        <w:r w:rsidR="00DA1A2F" w:rsidRPr="00B778A6">
          <w:rPr>
            <w:noProof/>
            <w:webHidden/>
            <w:sz w:val="22"/>
          </w:rPr>
          <w:tab/>
        </w:r>
        <w:r w:rsidRPr="00B778A6">
          <w:rPr>
            <w:noProof/>
            <w:webHidden/>
            <w:sz w:val="22"/>
          </w:rPr>
          <w:fldChar w:fldCharType="begin"/>
        </w:r>
        <w:r w:rsidR="00DA1A2F" w:rsidRPr="00B778A6">
          <w:rPr>
            <w:noProof/>
            <w:webHidden/>
            <w:sz w:val="22"/>
          </w:rPr>
          <w:instrText xml:space="preserve"> PAGEREF _Toc34924462 \h </w:instrText>
        </w:r>
        <w:r w:rsidRPr="00B778A6">
          <w:rPr>
            <w:noProof/>
            <w:webHidden/>
            <w:sz w:val="22"/>
          </w:rPr>
        </w:r>
        <w:r w:rsidRPr="00B778A6">
          <w:rPr>
            <w:noProof/>
            <w:webHidden/>
            <w:sz w:val="22"/>
          </w:rPr>
          <w:fldChar w:fldCharType="separate"/>
        </w:r>
        <w:r w:rsidR="00C668D4">
          <w:rPr>
            <w:noProof/>
            <w:webHidden/>
            <w:sz w:val="22"/>
          </w:rPr>
          <w:t>4</w:t>
        </w:r>
        <w:r w:rsidRPr="00B778A6">
          <w:rPr>
            <w:noProof/>
            <w:webHidden/>
            <w:sz w:val="22"/>
          </w:rPr>
          <w:fldChar w:fldCharType="end"/>
        </w:r>
      </w:hyperlink>
    </w:p>
    <w:p w:rsidR="00DA1A2F" w:rsidRPr="00B778A6" w:rsidRDefault="0001670F">
      <w:pPr>
        <w:pStyle w:val="TOC1"/>
        <w:rPr>
          <w:b w:val="0"/>
          <w:noProof/>
          <w:sz w:val="22"/>
        </w:rPr>
      </w:pPr>
      <w:hyperlink w:anchor="_Toc34924463" w:history="1">
        <w:r w:rsidR="00DA1A2F" w:rsidRPr="00B778A6">
          <w:rPr>
            <w:rStyle w:val="Hyperlink"/>
            <w:noProof/>
            <w:sz w:val="22"/>
          </w:rPr>
          <w:t>ĮVADAS</w:t>
        </w:r>
        <w:r w:rsidR="00DA1A2F" w:rsidRPr="00B778A6">
          <w:rPr>
            <w:noProof/>
            <w:webHidden/>
            <w:sz w:val="22"/>
          </w:rPr>
          <w:tab/>
        </w:r>
        <w:r w:rsidRPr="00B778A6">
          <w:rPr>
            <w:noProof/>
            <w:webHidden/>
            <w:sz w:val="22"/>
          </w:rPr>
          <w:fldChar w:fldCharType="begin"/>
        </w:r>
        <w:r w:rsidR="00DA1A2F" w:rsidRPr="00B778A6">
          <w:rPr>
            <w:noProof/>
            <w:webHidden/>
            <w:sz w:val="22"/>
          </w:rPr>
          <w:instrText xml:space="preserve"> PAGEREF _Toc34924463 \h </w:instrText>
        </w:r>
        <w:r w:rsidRPr="00B778A6">
          <w:rPr>
            <w:noProof/>
            <w:webHidden/>
            <w:sz w:val="22"/>
          </w:rPr>
        </w:r>
        <w:r w:rsidRPr="00B778A6">
          <w:rPr>
            <w:noProof/>
            <w:webHidden/>
            <w:sz w:val="22"/>
          </w:rPr>
          <w:fldChar w:fldCharType="separate"/>
        </w:r>
        <w:r w:rsidR="00C668D4">
          <w:rPr>
            <w:noProof/>
            <w:webHidden/>
            <w:sz w:val="22"/>
          </w:rPr>
          <w:t>7</w:t>
        </w:r>
        <w:r w:rsidRPr="00B778A6">
          <w:rPr>
            <w:noProof/>
            <w:webHidden/>
            <w:sz w:val="22"/>
          </w:rPr>
          <w:fldChar w:fldCharType="end"/>
        </w:r>
      </w:hyperlink>
    </w:p>
    <w:p w:rsidR="00DA1A2F" w:rsidRPr="00B778A6" w:rsidRDefault="0001670F">
      <w:pPr>
        <w:pStyle w:val="TOC1"/>
        <w:rPr>
          <w:b w:val="0"/>
          <w:noProof/>
          <w:sz w:val="22"/>
        </w:rPr>
      </w:pPr>
      <w:hyperlink w:anchor="_Toc34924464" w:history="1">
        <w:r w:rsidR="00DA1A2F" w:rsidRPr="00B778A6">
          <w:rPr>
            <w:rStyle w:val="Hyperlink"/>
            <w:noProof/>
            <w:sz w:val="22"/>
          </w:rPr>
          <w:t>1. PROJEKTO KONTEKSTAS</w:t>
        </w:r>
        <w:r w:rsidR="00DA1A2F" w:rsidRPr="00B778A6">
          <w:rPr>
            <w:noProof/>
            <w:webHidden/>
            <w:sz w:val="22"/>
          </w:rPr>
          <w:tab/>
        </w:r>
        <w:r w:rsidRPr="00B778A6">
          <w:rPr>
            <w:noProof/>
            <w:webHidden/>
            <w:sz w:val="22"/>
          </w:rPr>
          <w:fldChar w:fldCharType="begin"/>
        </w:r>
        <w:r w:rsidR="00DA1A2F" w:rsidRPr="00B778A6">
          <w:rPr>
            <w:noProof/>
            <w:webHidden/>
            <w:sz w:val="22"/>
          </w:rPr>
          <w:instrText xml:space="preserve"> PAGEREF _Toc34924464 \h </w:instrText>
        </w:r>
        <w:r w:rsidRPr="00B778A6">
          <w:rPr>
            <w:noProof/>
            <w:webHidden/>
            <w:sz w:val="22"/>
          </w:rPr>
        </w:r>
        <w:r w:rsidRPr="00B778A6">
          <w:rPr>
            <w:noProof/>
            <w:webHidden/>
            <w:sz w:val="22"/>
          </w:rPr>
          <w:fldChar w:fldCharType="separate"/>
        </w:r>
        <w:r w:rsidR="00C668D4">
          <w:rPr>
            <w:noProof/>
            <w:webHidden/>
            <w:sz w:val="22"/>
          </w:rPr>
          <w:t>8</w:t>
        </w:r>
        <w:r w:rsidRPr="00B778A6">
          <w:rPr>
            <w:noProof/>
            <w:webHidden/>
            <w:sz w:val="22"/>
          </w:rPr>
          <w:fldChar w:fldCharType="end"/>
        </w:r>
      </w:hyperlink>
    </w:p>
    <w:p w:rsidR="00DA1A2F" w:rsidRPr="00B778A6" w:rsidRDefault="0001670F">
      <w:pPr>
        <w:pStyle w:val="TOC2"/>
        <w:tabs>
          <w:tab w:val="right" w:leader="dot" w:pos="9628"/>
        </w:tabs>
        <w:rPr>
          <w:rFonts w:ascii="Times New Roman" w:hAnsi="Times New Roman"/>
          <w:noProof/>
        </w:rPr>
      </w:pPr>
      <w:hyperlink w:anchor="_Toc34924465" w:history="1">
        <w:r w:rsidR="00DA1A2F" w:rsidRPr="00B778A6">
          <w:rPr>
            <w:rStyle w:val="Hyperlink"/>
            <w:rFonts w:ascii="Times New Roman" w:hAnsi="Times New Roman"/>
            <w:noProof/>
          </w:rPr>
          <w:t>1.1. Paslaugos pasiūla ir paklausa</w:t>
        </w:r>
        <w:r w:rsidR="00DA1A2F" w:rsidRPr="00B778A6">
          <w:rPr>
            <w:rFonts w:ascii="Times New Roman" w:hAnsi="Times New Roman"/>
            <w:noProof/>
            <w:webHidden/>
          </w:rPr>
          <w:tab/>
        </w:r>
        <w:r w:rsidRPr="00B778A6">
          <w:rPr>
            <w:rFonts w:ascii="Times New Roman" w:hAnsi="Times New Roman"/>
            <w:noProof/>
            <w:webHidden/>
          </w:rPr>
          <w:fldChar w:fldCharType="begin"/>
        </w:r>
        <w:r w:rsidR="00DA1A2F" w:rsidRPr="00B778A6">
          <w:rPr>
            <w:rFonts w:ascii="Times New Roman" w:hAnsi="Times New Roman"/>
            <w:noProof/>
            <w:webHidden/>
          </w:rPr>
          <w:instrText xml:space="preserve"> PAGEREF _Toc34924465 \h </w:instrText>
        </w:r>
        <w:r w:rsidRPr="00B778A6">
          <w:rPr>
            <w:rFonts w:ascii="Times New Roman" w:hAnsi="Times New Roman"/>
            <w:noProof/>
            <w:webHidden/>
          </w:rPr>
        </w:r>
        <w:r w:rsidRPr="00B778A6">
          <w:rPr>
            <w:rFonts w:ascii="Times New Roman" w:hAnsi="Times New Roman"/>
            <w:noProof/>
            <w:webHidden/>
          </w:rPr>
          <w:fldChar w:fldCharType="separate"/>
        </w:r>
        <w:r w:rsidR="00C668D4">
          <w:rPr>
            <w:rFonts w:ascii="Times New Roman" w:hAnsi="Times New Roman"/>
            <w:noProof/>
            <w:webHidden/>
          </w:rPr>
          <w:t>8</w:t>
        </w:r>
        <w:r w:rsidRPr="00B778A6">
          <w:rPr>
            <w:rFonts w:ascii="Times New Roman" w:hAnsi="Times New Roman"/>
            <w:noProof/>
            <w:webHidden/>
          </w:rPr>
          <w:fldChar w:fldCharType="end"/>
        </w:r>
      </w:hyperlink>
    </w:p>
    <w:p w:rsidR="00DA1A2F" w:rsidRPr="00B778A6" w:rsidRDefault="0001670F">
      <w:pPr>
        <w:pStyle w:val="TOC2"/>
        <w:tabs>
          <w:tab w:val="right" w:leader="dot" w:pos="9628"/>
        </w:tabs>
        <w:rPr>
          <w:rFonts w:ascii="Times New Roman" w:hAnsi="Times New Roman"/>
          <w:noProof/>
        </w:rPr>
      </w:pPr>
      <w:hyperlink w:anchor="_Toc34924466" w:history="1">
        <w:r w:rsidR="00DA1A2F" w:rsidRPr="00B778A6">
          <w:rPr>
            <w:rStyle w:val="Hyperlink"/>
            <w:rFonts w:ascii="Times New Roman" w:hAnsi="Times New Roman"/>
            <w:noProof/>
          </w:rPr>
          <w:t>1.2. Teisinė aplinka</w:t>
        </w:r>
        <w:r w:rsidR="00DA1A2F" w:rsidRPr="00B778A6">
          <w:rPr>
            <w:rFonts w:ascii="Times New Roman" w:hAnsi="Times New Roman"/>
            <w:noProof/>
            <w:webHidden/>
          </w:rPr>
          <w:tab/>
        </w:r>
        <w:r w:rsidRPr="00B778A6">
          <w:rPr>
            <w:rFonts w:ascii="Times New Roman" w:hAnsi="Times New Roman"/>
            <w:noProof/>
            <w:webHidden/>
          </w:rPr>
          <w:fldChar w:fldCharType="begin"/>
        </w:r>
        <w:r w:rsidR="00DA1A2F" w:rsidRPr="00B778A6">
          <w:rPr>
            <w:rFonts w:ascii="Times New Roman" w:hAnsi="Times New Roman"/>
            <w:noProof/>
            <w:webHidden/>
          </w:rPr>
          <w:instrText xml:space="preserve"> PAGEREF _Toc34924466 \h </w:instrText>
        </w:r>
        <w:r w:rsidRPr="00B778A6">
          <w:rPr>
            <w:rFonts w:ascii="Times New Roman" w:hAnsi="Times New Roman"/>
            <w:noProof/>
            <w:webHidden/>
          </w:rPr>
        </w:r>
        <w:r w:rsidRPr="00B778A6">
          <w:rPr>
            <w:rFonts w:ascii="Times New Roman" w:hAnsi="Times New Roman"/>
            <w:noProof/>
            <w:webHidden/>
          </w:rPr>
          <w:fldChar w:fldCharType="separate"/>
        </w:r>
        <w:r w:rsidR="00C668D4">
          <w:rPr>
            <w:rFonts w:ascii="Times New Roman" w:hAnsi="Times New Roman"/>
            <w:noProof/>
            <w:webHidden/>
          </w:rPr>
          <w:t>11</w:t>
        </w:r>
        <w:r w:rsidRPr="00B778A6">
          <w:rPr>
            <w:rFonts w:ascii="Times New Roman" w:hAnsi="Times New Roman"/>
            <w:noProof/>
            <w:webHidden/>
          </w:rPr>
          <w:fldChar w:fldCharType="end"/>
        </w:r>
      </w:hyperlink>
    </w:p>
    <w:p w:rsidR="00DA1A2F" w:rsidRPr="00B778A6" w:rsidRDefault="0001670F">
      <w:pPr>
        <w:pStyle w:val="TOC2"/>
        <w:tabs>
          <w:tab w:val="right" w:leader="dot" w:pos="9628"/>
        </w:tabs>
        <w:rPr>
          <w:rFonts w:ascii="Times New Roman" w:hAnsi="Times New Roman"/>
          <w:noProof/>
        </w:rPr>
      </w:pPr>
      <w:hyperlink w:anchor="_Toc34924467" w:history="1">
        <w:r w:rsidR="00DA1A2F" w:rsidRPr="00B778A6">
          <w:rPr>
            <w:rStyle w:val="Hyperlink"/>
            <w:rFonts w:ascii="Times New Roman" w:hAnsi="Times New Roman"/>
            <w:noProof/>
          </w:rPr>
          <w:t>1.3. Sprendžiamos problemos ir jų atsiradimo priežastys</w:t>
        </w:r>
        <w:r w:rsidR="00DA1A2F" w:rsidRPr="00B778A6">
          <w:rPr>
            <w:rFonts w:ascii="Times New Roman" w:hAnsi="Times New Roman"/>
            <w:noProof/>
            <w:webHidden/>
          </w:rPr>
          <w:tab/>
        </w:r>
        <w:r w:rsidRPr="00B778A6">
          <w:rPr>
            <w:rFonts w:ascii="Times New Roman" w:hAnsi="Times New Roman"/>
            <w:noProof/>
            <w:webHidden/>
          </w:rPr>
          <w:fldChar w:fldCharType="begin"/>
        </w:r>
        <w:r w:rsidR="00DA1A2F" w:rsidRPr="00B778A6">
          <w:rPr>
            <w:rFonts w:ascii="Times New Roman" w:hAnsi="Times New Roman"/>
            <w:noProof/>
            <w:webHidden/>
          </w:rPr>
          <w:instrText xml:space="preserve"> PAGEREF _Toc34924467 \h </w:instrText>
        </w:r>
        <w:r w:rsidRPr="00B778A6">
          <w:rPr>
            <w:rFonts w:ascii="Times New Roman" w:hAnsi="Times New Roman"/>
            <w:noProof/>
            <w:webHidden/>
          </w:rPr>
        </w:r>
        <w:r w:rsidRPr="00B778A6">
          <w:rPr>
            <w:rFonts w:ascii="Times New Roman" w:hAnsi="Times New Roman"/>
            <w:noProof/>
            <w:webHidden/>
          </w:rPr>
          <w:fldChar w:fldCharType="separate"/>
        </w:r>
        <w:r w:rsidR="00C668D4">
          <w:rPr>
            <w:rFonts w:ascii="Times New Roman" w:hAnsi="Times New Roman"/>
            <w:noProof/>
            <w:webHidden/>
          </w:rPr>
          <w:t>17</w:t>
        </w:r>
        <w:r w:rsidRPr="00B778A6">
          <w:rPr>
            <w:rFonts w:ascii="Times New Roman" w:hAnsi="Times New Roman"/>
            <w:noProof/>
            <w:webHidden/>
          </w:rPr>
          <w:fldChar w:fldCharType="end"/>
        </w:r>
      </w:hyperlink>
    </w:p>
    <w:p w:rsidR="00DA1A2F" w:rsidRPr="00B778A6" w:rsidRDefault="0001670F">
      <w:pPr>
        <w:pStyle w:val="TOC1"/>
        <w:rPr>
          <w:b w:val="0"/>
          <w:noProof/>
          <w:sz w:val="22"/>
        </w:rPr>
      </w:pPr>
      <w:hyperlink w:anchor="_Toc34924468" w:history="1">
        <w:r w:rsidR="00DA1A2F" w:rsidRPr="00B778A6">
          <w:rPr>
            <w:rStyle w:val="Hyperlink"/>
            <w:noProof/>
            <w:sz w:val="22"/>
          </w:rPr>
          <w:t>2. PROJEKTO TURINYS</w:t>
        </w:r>
        <w:r w:rsidR="00DA1A2F" w:rsidRPr="00B778A6">
          <w:rPr>
            <w:noProof/>
            <w:webHidden/>
            <w:sz w:val="22"/>
          </w:rPr>
          <w:tab/>
        </w:r>
        <w:r w:rsidRPr="00B778A6">
          <w:rPr>
            <w:noProof/>
            <w:webHidden/>
            <w:sz w:val="22"/>
          </w:rPr>
          <w:fldChar w:fldCharType="begin"/>
        </w:r>
        <w:r w:rsidR="00DA1A2F" w:rsidRPr="00B778A6">
          <w:rPr>
            <w:noProof/>
            <w:webHidden/>
            <w:sz w:val="22"/>
          </w:rPr>
          <w:instrText xml:space="preserve"> PAGEREF _Toc34924468 \h </w:instrText>
        </w:r>
        <w:r w:rsidRPr="00B778A6">
          <w:rPr>
            <w:noProof/>
            <w:webHidden/>
            <w:sz w:val="22"/>
          </w:rPr>
        </w:r>
        <w:r w:rsidRPr="00B778A6">
          <w:rPr>
            <w:noProof/>
            <w:webHidden/>
            <w:sz w:val="22"/>
          </w:rPr>
          <w:fldChar w:fldCharType="separate"/>
        </w:r>
        <w:r w:rsidR="00C668D4">
          <w:rPr>
            <w:noProof/>
            <w:webHidden/>
            <w:sz w:val="22"/>
          </w:rPr>
          <w:t>18</w:t>
        </w:r>
        <w:r w:rsidRPr="00B778A6">
          <w:rPr>
            <w:noProof/>
            <w:webHidden/>
            <w:sz w:val="22"/>
          </w:rPr>
          <w:fldChar w:fldCharType="end"/>
        </w:r>
      </w:hyperlink>
    </w:p>
    <w:p w:rsidR="00DA1A2F" w:rsidRPr="00B778A6" w:rsidRDefault="0001670F">
      <w:pPr>
        <w:pStyle w:val="TOC2"/>
        <w:tabs>
          <w:tab w:val="right" w:leader="dot" w:pos="9628"/>
        </w:tabs>
        <w:rPr>
          <w:rFonts w:ascii="Times New Roman" w:hAnsi="Times New Roman"/>
          <w:noProof/>
        </w:rPr>
      </w:pPr>
      <w:hyperlink w:anchor="_Toc34924469" w:history="1">
        <w:r w:rsidR="00DA1A2F" w:rsidRPr="00B778A6">
          <w:rPr>
            <w:rStyle w:val="Hyperlink"/>
            <w:rFonts w:ascii="Times New Roman" w:hAnsi="Times New Roman"/>
            <w:noProof/>
          </w:rPr>
          <w:t>2.1. Projekto tikslas ir uždaviniai</w:t>
        </w:r>
        <w:r w:rsidR="00DA1A2F" w:rsidRPr="00B778A6">
          <w:rPr>
            <w:rFonts w:ascii="Times New Roman" w:hAnsi="Times New Roman"/>
            <w:noProof/>
            <w:webHidden/>
          </w:rPr>
          <w:tab/>
        </w:r>
        <w:r w:rsidRPr="00B778A6">
          <w:rPr>
            <w:rFonts w:ascii="Times New Roman" w:hAnsi="Times New Roman"/>
            <w:noProof/>
            <w:webHidden/>
          </w:rPr>
          <w:fldChar w:fldCharType="begin"/>
        </w:r>
        <w:r w:rsidR="00DA1A2F" w:rsidRPr="00B778A6">
          <w:rPr>
            <w:rFonts w:ascii="Times New Roman" w:hAnsi="Times New Roman"/>
            <w:noProof/>
            <w:webHidden/>
          </w:rPr>
          <w:instrText xml:space="preserve"> PAGEREF _Toc34924469 \h </w:instrText>
        </w:r>
        <w:r w:rsidRPr="00B778A6">
          <w:rPr>
            <w:rFonts w:ascii="Times New Roman" w:hAnsi="Times New Roman"/>
            <w:noProof/>
            <w:webHidden/>
          </w:rPr>
        </w:r>
        <w:r w:rsidRPr="00B778A6">
          <w:rPr>
            <w:rFonts w:ascii="Times New Roman" w:hAnsi="Times New Roman"/>
            <w:noProof/>
            <w:webHidden/>
          </w:rPr>
          <w:fldChar w:fldCharType="separate"/>
        </w:r>
        <w:r w:rsidR="00C668D4">
          <w:rPr>
            <w:rFonts w:ascii="Times New Roman" w:hAnsi="Times New Roman"/>
            <w:noProof/>
            <w:webHidden/>
          </w:rPr>
          <w:t>18</w:t>
        </w:r>
        <w:r w:rsidRPr="00B778A6">
          <w:rPr>
            <w:rFonts w:ascii="Times New Roman" w:hAnsi="Times New Roman"/>
            <w:noProof/>
            <w:webHidden/>
          </w:rPr>
          <w:fldChar w:fldCharType="end"/>
        </w:r>
      </w:hyperlink>
    </w:p>
    <w:p w:rsidR="00DA1A2F" w:rsidRPr="00B778A6" w:rsidRDefault="0001670F">
      <w:pPr>
        <w:pStyle w:val="TOC2"/>
        <w:tabs>
          <w:tab w:val="right" w:leader="dot" w:pos="9628"/>
        </w:tabs>
        <w:rPr>
          <w:rFonts w:ascii="Times New Roman" w:hAnsi="Times New Roman"/>
          <w:noProof/>
        </w:rPr>
      </w:pPr>
      <w:hyperlink w:anchor="_Toc34924470" w:history="1">
        <w:r w:rsidR="00DA1A2F" w:rsidRPr="00B778A6">
          <w:rPr>
            <w:rStyle w:val="Hyperlink"/>
            <w:rFonts w:ascii="Times New Roman" w:hAnsi="Times New Roman"/>
            <w:noProof/>
          </w:rPr>
          <w:t>2.2. Projekto sąsajos su kitais projektais</w:t>
        </w:r>
        <w:r w:rsidR="00DA1A2F" w:rsidRPr="00B778A6">
          <w:rPr>
            <w:rFonts w:ascii="Times New Roman" w:hAnsi="Times New Roman"/>
            <w:noProof/>
            <w:webHidden/>
          </w:rPr>
          <w:tab/>
        </w:r>
        <w:r w:rsidRPr="00B778A6">
          <w:rPr>
            <w:rFonts w:ascii="Times New Roman" w:hAnsi="Times New Roman"/>
            <w:noProof/>
            <w:webHidden/>
          </w:rPr>
          <w:fldChar w:fldCharType="begin"/>
        </w:r>
        <w:r w:rsidR="00DA1A2F" w:rsidRPr="00B778A6">
          <w:rPr>
            <w:rFonts w:ascii="Times New Roman" w:hAnsi="Times New Roman"/>
            <w:noProof/>
            <w:webHidden/>
          </w:rPr>
          <w:instrText xml:space="preserve"> PAGEREF _Toc34924470 \h </w:instrText>
        </w:r>
        <w:r w:rsidRPr="00B778A6">
          <w:rPr>
            <w:rFonts w:ascii="Times New Roman" w:hAnsi="Times New Roman"/>
            <w:noProof/>
            <w:webHidden/>
          </w:rPr>
        </w:r>
        <w:r w:rsidRPr="00B778A6">
          <w:rPr>
            <w:rFonts w:ascii="Times New Roman" w:hAnsi="Times New Roman"/>
            <w:noProof/>
            <w:webHidden/>
          </w:rPr>
          <w:fldChar w:fldCharType="separate"/>
        </w:r>
        <w:r w:rsidR="00C668D4">
          <w:rPr>
            <w:rFonts w:ascii="Times New Roman" w:hAnsi="Times New Roman"/>
            <w:noProof/>
            <w:webHidden/>
          </w:rPr>
          <w:t>18</w:t>
        </w:r>
        <w:r w:rsidRPr="00B778A6">
          <w:rPr>
            <w:rFonts w:ascii="Times New Roman" w:hAnsi="Times New Roman"/>
            <w:noProof/>
            <w:webHidden/>
          </w:rPr>
          <w:fldChar w:fldCharType="end"/>
        </w:r>
      </w:hyperlink>
    </w:p>
    <w:p w:rsidR="00DA1A2F" w:rsidRPr="00B778A6" w:rsidRDefault="0001670F">
      <w:pPr>
        <w:pStyle w:val="TOC2"/>
        <w:tabs>
          <w:tab w:val="right" w:leader="dot" w:pos="9628"/>
        </w:tabs>
        <w:rPr>
          <w:rFonts w:ascii="Times New Roman" w:hAnsi="Times New Roman"/>
          <w:noProof/>
        </w:rPr>
      </w:pPr>
      <w:hyperlink w:anchor="_Toc34924471" w:history="1">
        <w:r w:rsidR="00DA1A2F" w:rsidRPr="00B778A6">
          <w:rPr>
            <w:rStyle w:val="Hyperlink"/>
            <w:rFonts w:ascii="Times New Roman" w:hAnsi="Times New Roman"/>
            <w:noProof/>
          </w:rPr>
          <w:t>2.3. Projekto tikslinės grupės ir ribos</w:t>
        </w:r>
        <w:r w:rsidR="00DA1A2F" w:rsidRPr="00B778A6">
          <w:rPr>
            <w:rFonts w:ascii="Times New Roman" w:hAnsi="Times New Roman"/>
            <w:noProof/>
            <w:webHidden/>
          </w:rPr>
          <w:tab/>
        </w:r>
        <w:r w:rsidRPr="00B778A6">
          <w:rPr>
            <w:rFonts w:ascii="Times New Roman" w:hAnsi="Times New Roman"/>
            <w:noProof/>
            <w:webHidden/>
          </w:rPr>
          <w:fldChar w:fldCharType="begin"/>
        </w:r>
        <w:r w:rsidR="00DA1A2F" w:rsidRPr="00B778A6">
          <w:rPr>
            <w:rFonts w:ascii="Times New Roman" w:hAnsi="Times New Roman"/>
            <w:noProof/>
            <w:webHidden/>
          </w:rPr>
          <w:instrText xml:space="preserve"> PAGEREF _Toc34924471 \h </w:instrText>
        </w:r>
        <w:r w:rsidRPr="00B778A6">
          <w:rPr>
            <w:rFonts w:ascii="Times New Roman" w:hAnsi="Times New Roman"/>
            <w:noProof/>
            <w:webHidden/>
          </w:rPr>
        </w:r>
        <w:r w:rsidRPr="00B778A6">
          <w:rPr>
            <w:rFonts w:ascii="Times New Roman" w:hAnsi="Times New Roman"/>
            <w:noProof/>
            <w:webHidden/>
          </w:rPr>
          <w:fldChar w:fldCharType="separate"/>
        </w:r>
        <w:r w:rsidR="00C668D4">
          <w:rPr>
            <w:rFonts w:ascii="Times New Roman" w:hAnsi="Times New Roman"/>
            <w:noProof/>
            <w:webHidden/>
          </w:rPr>
          <w:t>18</w:t>
        </w:r>
        <w:r w:rsidRPr="00B778A6">
          <w:rPr>
            <w:rFonts w:ascii="Times New Roman" w:hAnsi="Times New Roman"/>
            <w:noProof/>
            <w:webHidden/>
          </w:rPr>
          <w:fldChar w:fldCharType="end"/>
        </w:r>
      </w:hyperlink>
    </w:p>
    <w:p w:rsidR="00DA1A2F" w:rsidRPr="00B778A6" w:rsidRDefault="0001670F">
      <w:pPr>
        <w:pStyle w:val="TOC2"/>
        <w:tabs>
          <w:tab w:val="right" w:leader="dot" w:pos="9628"/>
        </w:tabs>
        <w:rPr>
          <w:rFonts w:ascii="Times New Roman" w:hAnsi="Times New Roman"/>
          <w:noProof/>
        </w:rPr>
      </w:pPr>
      <w:hyperlink w:anchor="_Toc34924472" w:history="1">
        <w:r w:rsidR="00DA1A2F" w:rsidRPr="00B778A6">
          <w:rPr>
            <w:rStyle w:val="Hyperlink"/>
            <w:rFonts w:ascii="Times New Roman" w:hAnsi="Times New Roman"/>
            <w:noProof/>
          </w:rPr>
          <w:t>2.4. Projekto organizacija</w:t>
        </w:r>
        <w:r w:rsidR="00DA1A2F" w:rsidRPr="00B778A6">
          <w:rPr>
            <w:rFonts w:ascii="Times New Roman" w:hAnsi="Times New Roman"/>
            <w:noProof/>
            <w:webHidden/>
          </w:rPr>
          <w:tab/>
        </w:r>
        <w:r w:rsidRPr="00B778A6">
          <w:rPr>
            <w:rFonts w:ascii="Times New Roman" w:hAnsi="Times New Roman"/>
            <w:noProof/>
            <w:webHidden/>
          </w:rPr>
          <w:fldChar w:fldCharType="begin"/>
        </w:r>
        <w:r w:rsidR="00DA1A2F" w:rsidRPr="00B778A6">
          <w:rPr>
            <w:rFonts w:ascii="Times New Roman" w:hAnsi="Times New Roman"/>
            <w:noProof/>
            <w:webHidden/>
          </w:rPr>
          <w:instrText xml:space="preserve"> PAGEREF _Toc34924472 \h </w:instrText>
        </w:r>
        <w:r w:rsidRPr="00B778A6">
          <w:rPr>
            <w:rFonts w:ascii="Times New Roman" w:hAnsi="Times New Roman"/>
            <w:noProof/>
            <w:webHidden/>
          </w:rPr>
        </w:r>
        <w:r w:rsidRPr="00B778A6">
          <w:rPr>
            <w:rFonts w:ascii="Times New Roman" w:hAnsi="Times New Roman"/>
            <w:noProof/>
            <w:webHidden/>
          </w:rPr>
          <w:fldChar w:fldCharType="separate"/>
        </w:r>
        <w:r w:rsidR="00C668D4">
          <w:rPr>
            <w:rFonts w:ascii="Times New Roman" w:hAnsi="Times New Roman"/>
            <w:noProof/>
            <w:webHidden/>
          </w:rPr>
          <w:t>20</w:t>
        </w:r>
        <w:r w:rsidRPr="00B778A6">
          <w:rPr>
            <w:rFonts w:ascii="Times New Roman" w:hAnsi="Times New Roman"/>
            <w:noProof/>
            <w:webHidden/>
          </w:rPr>
          <w:fldChar w:fldCharType="end"/>
        </w:r>
      </w:hyperlink>
    </w:p>
    <w:p w:rsidR="00DA1A2F" w:rsidRPr="00B778A6" w:rsidRDefault="0001670F">
      <w:pPr>
        <w:pStyle w:val="TOC2"/>
        <w:tabs>
          <w:tab w:val="right" w:leader="dot" w:pos="9628"/>
        </w:tabs>
        <w:rPr>
          <w:rFonts w:ascii="Times New Roman" w:hAnsi="Times New Roman"/>
          <w:noProof/>
        </w:rPr>
      </w:pPr>
      <w:hyperlink w:anchor="_Toc34924473" w:history="1">
        <w:r w:rsidR="00DA1A2F" w:rsidRPr="00B778A6">
          <w:rPr>
            <w:rStyle w:val="Hyperlink"/>
            <w:rFonts w:ascii="Times New Roman" w:hAnsi="Times New Roman"/>
            <w:noProof/>
          </w:rPr>
          <w:t>2.5. Projekto siekiami rezultatai</w:t>
        </w:r>
        <w:r w:rsidR="00DA1A2F" w:rsidRPr="00B778A6">
          <w:rPr>
            <w:rFonts w:ascii="Times New Roman" w:hAnsi="Times New Roman"/>
            <w:noProof/>
            <w:webHidden/>
          </w:rPr>
          <w:tab/>
        </w:r>
        <w:r w:rsidRPr="00B778A6">
          <w:rPr>
            <w:rFonts w:ascii="Times New Roman" w:hAnsi="Times New Roman"/>
            <w:noProof/>
            <w:webHidden/>
          </w:rPr>
          <w:fldChar w:fldCharType="begin"/>
        </w:r>
        <w:r w:rsidR="00DA1A2F" w:rsidRPr="00B778A6">
          <w:rPr>
            <w:rFonts w:ascii="Times New Roman" w:hAnsi="Times New Roman"/>
            <w:noProof/>
            <w:webHidden/>
          </w:rPr>
          <w:instrText xml:space="preserve"> PAGEREF _Toc34924473 \h </w:instrText>
        </w:r>
        <w:r w:rsidRPr="00B778A6">
          <w:rPr>
            <w:rFonts w:ascii="Times New Roman" w:hAnsi="Times New Roman"/>
            <w:noProof/>
            <w:webHidden/>
          </w:rPr>
        </w:r>
        <w:r w:rsidRPr="00B778A6">
          <w:rPr>
            <w:rFonts w:ascii="Times New Roman" w:hAnsi="Times New Roman"/>
            <w:noProof/>
            <w:webHidden/>
          </w:rPr>
          <w:fldChar w:fldCharType="separate"/>
        </w:r>
        <w:r w:rsidR="00C668D4">
          <w:rPr>
            <w:rFonts w:ascii="Times New Roman" w:hAnsi="Times New Roman"/>
            <w:noProof/>
            <w:webHidden/>
          </w:rPr>
          <w:t>21</w:t>
        </w:r>
        <w:r w:rsidRPr="00B778A6">
          <w:rPr>
            <w:rFonts w:ascii="Times New Roman" w:hAnsi="Times New Roman"/>
            <w:noProof/>
            <w:webHidden/>
          </w:rPr>
          <w:fldChar w:fldCharType="end"/>
        </w:r>
      </w:hyperlink>
    </w:p>
    <w:p w:rsidR="00DA1A2F" w:rsidRPr="00B778A6" w:rsidRDefault="0001670F">
      <w:pPr>
        <w:pStyle w:val="TOC1"/>
        <w:rPr>
          <w:b w:val="0"/>
          <w:noProof/>
          <w:sz w:val="22"/>
        </w:rPr>
      </w:pPr>
      <w:hyperlink w:anchor="_Toc34924474" w:history="1">
        <w:r w:rsidR="00DA1A2F" w:rsidRPr="00B778A6">
          <w:rPr>
            <w:rStyle w:val="Hyperlink"/>
            <w:noProof/>
            <w:sz w:val="22"/>
          </w:rPr>
          <w:t>3. GALIMYBĖS IR ALTERNATYVOS</w:t>
        </w:r>
        <w:r w:rsidR="00DA1A2F" w:rsidRPr="00B778A6">
          <w:rPr>
            <w:noProof/>
            <w:webHidden/>
            <w:sz w:val="22"/>
          </w:rPr>
          <w:tab/>
        </w:r>
        <w:r w:rsidRPr="00B778A6">
          <w:rPr>
            <w:noProof/>
            <w:webHidden/>
            <w:sz w:val="22"/>
          </w:rPr>
          <w:fldChar w:fldCharType="begin"/>
        </w:r>
        <w:r w:rsidR="00DA1A2F" w:rsidRPr="00B778A6">
          <w:rPr>
            <w:noProof/>
            <w:webHidden/>
            <w:sz w:val="22"/>
          </w:rPr>
          <w:instrText xml:space="preserve"> PAGEREF _Toc34924474 \h </w:instrText>
        </w:r>
        <w:r w:rsidRPr="00B778A6">
          <w:rPr>
            <w:noProof/>
            <w:webHidden/>
            <w:sz w:val="22"/>
          </w:rPr>
        </w:r>
        <w:r w:rsidRPr="00B778A6">
          <w:rPr>
            <w:noProof/>
            <w:webHidden/>
            <w:sz w:val="22"/>
          </w:rPr>
          <w:fldChar w:fldCharType="separate"/>
        </w:r>
        <w:r w:rsidR="00C668D4">
          <w:rPr>
            <w:noProof/>
            <w:webHidden/>
            <w:sz w:val="22"/>
          </w:rPr>
          <w:t>22</w:t>
        </w:r>
        <w:r w:rsidRPr="00B778A6">
          <w:rPr>
            <w:noProof/>
            <w:webHidden/>
            <w:sz w:val="22"/>
          </w:rPr>
          <w:fldChar w:fldCharType="end"/>
        </w:r>
      </w:hyperlink>
    </w:p>
    <w:p w:rsidR="00DA1A2F" w:rsidRPr="00B778A6" w:rsidRDefault="0001670F">
      <w:pPr>
        <w:pStyle w:val="TOC2"/>
        <w:tabs>
          <w:tab w:val="right" w:leader="dot" w:pos="9628"/>
        </w:tabs>
        <w:rPr>
          <w:rFonts w:ascii="Times New Roman" w:hAnsi="Times New Roman"/>
          <w:noProof/>
        </w:rPr>
      </w:pPr>
      <w:hyperlink w:anchor="_Toc34924475" w:history="1">
        <w:r w:rsidR="00DA1A2F" w:rsidRPr="00B778A6">
          <w:rPr>
            <w:rStyle w:val="Hyperlink"/>
            <w:rFonts w:ascii="Times New Roman" w:hAnsi="Times New Roman"/>
            <w:noProof/>
          </w:rPr>
          <w:t>3.1. Esama situacija</w:t>
        </w:r>
        <w:r w:rsidR="00DA1A2F" w:rsidRPr="00B778A6">
          <w:rPr>
            <w:rFonts w:ascii="Times New Roman" w:hAnsi="Times New Roman"/>
            <w:noProof/>
            <w:webHidden/>
          </w:rPr>
          <w:tab/>
        </w:r>
        <w:r w:rsidRPr="00B778A6">
          <w:rPr>
            <w:rFonts w:ascii="Times New Roman" w:hAnsi="Times New Roman"/>
            <w:noProof/>
            <w:webHidden/>
          </w:rPr>
          <w:fldChar w:fldCharType="begin"/>
        </w:r>
        <w:r w:rsidR="00DA1A2F" w:rsidRPr="00B778A6">
          <w:rPr>
            <w:rFonts w:ascii="Times New Roman" w:hAnsi="Times New Roman"/>
            <w:noProof/>
            <w:webHidden/>
          </w:rPr>
          <w:instrText xml:space="preserve"> PAGEREF _Toc34924475 \h </w:instrText>
        </w:r>
        <w:r w:rsidRPr="00B778A6">
          <w:rPr>
            <w:rFonts w:ascii="Times New Roman" w:hAnsi="Times New Roman"/>
            <w:noProof/>
            <w:webHidden/>
          </w:rPr>
        </w:r>
        <w:r w:rsidRPr="00B778A6">
          <w:rPr>
            <w:rFonts w:ascii="Times New Roman" w:hAnsi="Times New Roman"/>
            <w:noProof/>
            <w:webHidden/>
          </w:rPr>
          <w:fldChar w:fldCharType="separate"/>
        </w:r>
        <w:r w:rsidR="00C668D4">
          <w:rPr>
            <w:rFonts w:ascii="Times New Roman" w:hAnsi="Times New Roman"/>
            <w:noProof/>
            <w:webHidden/>
          </w:rPr>
          <w:t>22</w:t>
        </w:r>
        <w:r w:rsidRPr="00B778A6">
          <w:rPr>
            <w:rFonts w:ascii="Times New Roman" w:hAnsi="Times New Roman"/>
            <w:noProof/>
            <w:webHidden/>
          </w:rPr>
          <w:fldChar w:fldCharType="end"/>
        </w:r>
      </w:hyperlink>
    </w:p>
    <w:p w:rsidR="00DA1A2F" w:rsidRPr="00B778A6" w:rsidRDefault="0001670F">
      <w:pPr>
        <w:pStyle w:val="TOC2"/>
        <w:tabs>
          <w:tab w:val="right" w:leader="dot" w:pos="9628"/>
        </w:tabs>
        <w:rPr>
          <w:rFonts w:ascii="Times New Roman" w:hAnsi="Times New Roman"/>
          <w:noProof/>
        </w:rPr>
      </w:pPr>
      <w:hyperlink w:anchor="_Toc34924476" w:history="1">
        <w:r w:rsidR="00DA1A2F" w:rsidRPr="00B778A6">
          <w:rPr>
            <w:rStyle w:val="Hyperlink"/>
            <w:rFonts w:ascii="Times New Roman" w:hAnsi="Times New Roman"/>
            <w:noProof/>
          </w:rPr>
          <w:t>3.2. Galimos projekto veiklos</w:t>
        </w:r>
        <w:r w:rsidR="00DA1A2F" w:rsidRPr="00B778A6">
          <w:rPr>
            <w:rFonts w:ascii="Times New Roman" w:hAnsi="Times New Roman"/>
            <w:noProof/>
            <w:webHidden/>
          </w:rPr>
          <w:tab/>
        </w:r>
        <w:r w:rsidRPr="00B778A6">
          <w:rPr>
            <w:rFonts w:ascii="Times New Roman" w:hAnsi="Times New Roman"/>
            <w:noProof/>
            <w:webHidden/>
          </w:rPr>
          <w:fldChar w:fldCharType="begin"/>
        </w:r>
        <w:r w:rsidR="00DA1A2F" w:rsidRPr="00B778A6">
          <w:rPr>
            <w:rFonts w:ascii="Times New Roman" w:hAnsi="Times New Roman"/>
            <w:noProof/>
            <w:webHidden/>
          </w:rPr>
          <w:instrText xml:space="preserve"> PAGEREF _Toc34924476 \h </w:instrText>
        </w:r>
        <w:r w:rsidRPr="00B778A6">
          <w:rPr>
            <w:rFonts w:ascii="Times New Roman" w:hAnsi="Times New Roman"/>
            <w:noProof/>
            <w:webHidden/>
          </w:rPr>
        </w:r>
        <w:r w:rsidRPr="00B778A6">
          <w:rPr>
            <w:rFonts w:ascii="Times New Roman" w:hAnsi="Times New Roman"/>
            <w:noProof/>
            <w:webHidden/>
          </w:rPr>
          <w:fldChar w:fldCharType="separate"/>
        </w:r>
        <w:r w:rsidR="00C668D4">
          <w:rPr>
            <w:rFonts w:ascii="Times New Roman" w:hAnsi="Times New Roman"/>
            <w:noProof/>
            <w:webHidden/>
          </w:rPr>
          <w:t>25</w:t>
        </w:r>
        <w:r w:rsidRPr="00B778A6">
          <w:rPr>
            <w:rFonts w:ascii="Times New Roman" w:hAnsi="Times New Roman"/>
            <w:noProof/>
            <w:webHidden/>
          </w:rPr>
          <w:fldChar w:fldCharType="end"/>
        </w:r>
      </w:hyperlink>
    </w:p>
    <w:p w:rsidR="00DA1A2F" w:rsidRPr="00B778A6" w:rsidRDefault="0001670F">
      <w:pPr>
        <w:pStyle w:val="TOC2"/>
        <w:tabs>
          <w:tab w:val="right" w:leader="dot" w:pos="9628"/>
        </w:tabs>
        <w:rPr>
          <w:rFonts w:ascii="Times New Roman" w:hAnsi="Times New Roman"/>
          <w:noProof/>
        </w:rPr>
      </w:pPr>
      <w:hyperlink w:anchor="_Toc34924477" w:history="1">
        <w:r w:rsidR="00DA1A2F" w:rsidRPr="00B778A6">
          <w:rPr>
            <w:rStyle w:val="Hyperlink"/>
            <w:rFonts w:ascii="Times New Roman" w:hAnsi="Times New Roman"/>
            <w:noProof/>
          </w:rPr>
          <w:t>3.3. Veiklų vertimo kriterijai</w:t>
        </w:r>
        <w:r w:rsidR="00DA1A2F" w:rsidRPr="00B778A6">
          <w:rPr>
            <w:rFonts w:ascii="Times New Roman" w:hAnsi="Times New Roman"/>
            <w:noProof/>
            <w:webHidden/>
          </w:rPr>
          <w:tab/>
        </w:r>
        <w:r w:rsidRPr="00B778A6">
          <w:rPr>
            <w:rFonts w:ascii="Times New Roman" w:hAnsi="Times New Roman"/>
            <w:noProof/>
            <w:webHidden/>
          </w:rPr>
          <w:fldChar w:fldCharType="begin"/>
        </w:r>
        <w:r w:rsidR="00DA1A2F" w:rsidRPr="00B778A6">
          <w:rPr>
            <w:rFonts w:ascii="Times New Roman" w:hAnsi="Times New Roman"/>
            <w:noProof/>
            <w:webHidden/>
          </w:rPr>
          <w:instrText xml:space="preserve"> PAGEREF _Toc34924477 \h </w:instrText>
        </w:r>
        <w:r w:rsidRPr="00B778A6">
          <w:rPr>
            <w:rFonts w:ascii="Times New Roman" w:hAnsi="Times New Roman"/>
            <w:noProof/>
            <w:webHidden/>
          </w:rPr>
        </w:r>
        <w:r w:rsidRPr="00B778A6">
          <w:rPr>
            <w:rFonts w:ascii="Times New Roman" w:hAnsi="Times New Roman"/>
            <w:noProof/>
            <w:webHidden/>
          </w:rPr>
          <w:fldChar w:fldCharType="separate"/>
        </w:r>
        <w:r w:rsidR="00C668D4">
          <w:rPr>
            <w:rFonts w:ascii="Times New Roman" w:hAnsi="Times New Roman"/>
            <w:noProof/>
            <w:webHidden/>
          </w:rPr>
          <w:t>26</w:t>
        </w:r>
        <w:r w:rsidRPr="00B778A6">
          <w:rPr>
            <w:rFonts w:ascii="Times New Roman" w:hAnsi="Times New Roman"/>
            <w:noProof/>
            <w:webHidden/>
          </w:rPr>
          <w:fldChar w:fldCharType="end"/>
        </w:r>
      </w:hyperlink>
    </w:p>
    <w:p w:rsidR="00DA1A2F" w:rsidRPr="00B778A6" w:rsidRDefault="0001670F">
      <w:pPr>
        <w:pStyle w:val="TOC2"/>
        <w:tabs>
          <w:tab w:val="right" w:leader="dot" w:pos="9628"/>
        </w:tabs>
        <w:rPr>
          <w:rStyle w:val="Hyperlink"/>
          <w:rFonts w:ascii="Times New Roman" w:hAnsi="Times New Roman"/>
          <w:noProof/>
        </w:rPr>
      </w:pPr>
      <w:hyperlink w:anchor="_Toc34924479" w:history="1">
        <w:r w:rsidR="00DA1A2F" w:rsidRPr="00B778A6">
          <w:rPr>
            <w:rStyle w:val="Hyperlink"/>
            <w:rFonts w:ascii="Times New Roman" w:hAnsi="Times New Roman"/>
            <w:noProof/>
          </w:rPr>
          <w:t>3.4. Trumpasis veiklų sąrašas ir projekto įgyvendinimo alternatyvos</w:t>
        </w:r>
        <w:r w:rsidR="00DA1A2F" w:rsidRPr="00B778A6">
          <w:rPr>
            <w:rStyle w:val="Hyperlink"/>
            <w:rFonts w:ascii="Times New Roman" w:hAnsi="Times New Roman"/>
            <w:noProof/>
            <w:webHidden/>
          </w:rPr>
          <w:tab/>
        </w:r>
        <w:r w:rsidRPr="00B778A6">
          <w:rPr>
            <w:rStyle w:val="Hyperlink"/>
            <w:rFonts w:ascii="Times New Roman" w:hAnsi="Times New Roman"/>
            <w:noProof/>
            <w:webHidden/>
          </w:rPr>
          <w:fldChar w:fldCharType="begin"/>
        </w:r>
        <w:r w:rsidR="00DA1A2F" w:rsidRPr="00B778A6">
          <w:rPr>
            <w:rStyle w:val="Hyperlink"/>
            <w:rFonts w:ascii="Times New Roman" w:hAnsi="Times New Roman"/>
            <w:noProof/>
            <w:webHidden/>
          </w:rPr>
          <w:instrText xml:space="preserve"> PAGEREF _Toc34924479 \h </w:instrText>
        </w:r>
        <w:r w:rsidRPr="00B778A6">
          <w:rPr>
            <w:rStyle w:val="Hyperlink"/>
            <w:rFonts w:ascii="Times New Roman" w:hAnsi="Times New Roman"/>
            <w:noProof/>
            <w:webHidden/>
          </w:rPr>
        </w:r>
        <w:r w:rsidRPr="00B778A6">
          <w:rPr>
            <w:rStyle w:val="Hyperlink"/>
            <w:rFonts w:ascii="Times New Roman" w:hAnsi="Times New Roman"/>
            <w:noProof/>
            <w:webHidden/>
          </w:rPr>
          <w:fldChar w:fldCharType="separate"/>
        </w:r>
        <w:r w:rsidR="00C668D4">
          <w:rPr>
            <w:rStyle w:val="Hyperlink"/>
            <w:rFonts w:ascii="Times New Roman" w:hAnsi="Times New Roman"/>
            <w:noProof/>
            <w:webHidden/>
          </w:rPr>
          <w:t>26</w:t>
        </w:r>
        <w:r w:rsidRPr="00B778A6">
          <w:rPr>
            <w:rStyle w:val="Hyperlink"/>
            <w:rFonts w:ascii="Times New Roman" w:hAnsi="Times New Roman"/>
            <w:noProof/>
            <w:webHidden/>
          </w:rPr>
          <w:fldChar w:fldCharType="end"/>
        </w:r>
      </w:hyperlink>
    </w:p>
    <w:p w:rsidR="00DA1A2F" w:rsidRPr="00B778A6" w:rsidRDefault="0001670F">
      <w:pPr>
        <w:pStyle w:val="TOC3"/>
        <w:tabs>
          <w:tab w:val="right" w:leader="dot" w:pos="9628"/>
        </w:tabs>
        <w:rPr>
          <w:rStyle w:val="Hyperlink"/>
          <w:rFonts w:ascii="Times New Roman" w:hAnsi="Times New Roman"/>
          <w:noProof/>
        </w:rPr>
      </w:pPr>
      <w:hyperlink w:anchor="_Toc34924480" w:history="1">
        <w:r w:rsidR="00DA1A2F" w:rsidRPr="00B778A6">
          <w:rPr>
            <w:rStyle w:val="Hyperlink"/>
            <w:rFonts w:ascii="Times New Roman" w:hAnsi="Times New Roman"/>
            <w:noProof/>
          </w:rPr>
          <w:t>3.4.1. Alternatyva „</w:t>
        </w:r>
        <w:r w:rsidR="00C4530C" w:rsidRPr="00B778A6">
          <w:rPr>
            <w:rStyle w:val="Hyperlink"/>
            <w:rFonts w:ascii="Times New Roman" w:hAnsi="Times New Roman"/>
            <w:noProof/>
          </w:rPr>
          <w:t>Esamo pastato/patalpų dalies kapitalinis remontas</w:t>
        </w:r>
        <w:r w:rsidR="00DA1A2F" w:rsidRPr="00B778A6">
          <w:rPr>
            <w:rStyle w:val="Hyperlink"/>
            <w:rFonts w:ascii="Times New Roman" w:hAnsi="Times New Roman"/>
            <w:noProof/>
          </w:rPr>
          <w:t>“</w:t>
        </w:r>
        <w:r w:rsidR="00DA1A2F" w:rsidRPr="00B778A6">
          <w:rPr>
            <w:rStyle w:val="Hyperlink"/>
            <w:rFonts w:ascii="Times New Roman" w:hAnsi="Times New Roman"/>
            <w:noProof/>
            <w:webHidden/>
          </w:rPr>
          <w:tab/>
        </w:r>
        <w:r w:rsidRPr="00B778A6">
          <w:rPr>
            <w:rStyle w:val="Hyperlink"/>
            <w:rFonts w:ascii="Times New Roman" w:hAnsi="Times New Roman"/>
            <w:noProof/>
            <w:webHidden/>
          </w:rPr>
          <w:fldChar w:fldCharType="begin"/>
        </w:r>
        <w:r w:rsidR="00DA1A2F" w:rsidRPr="00B778A6">
          <w:rPr>
            <w:rStyle w:val="Hyperlink"/>
            <w:rFonts w:ascii="Times New Roman" w:hAnsi="Times New Roman"/>
            <w:noProof/>
            <w:webHidden/>
          </w:rPr>
          <w:instrText xml:space="preserve"> PAGEREF _Toc34924480 \h </w:instrText>
        </w:r>
        <w:r w:rsidRPr="00B778A6">
          <w:rPr>
            <w:rStyle w:val="Hyperlink"/>
            <w:rFonts w:ascii="Times New Roman" w:hAnsi="Times New Roman"/>
            <w:noProof/>
            <w:webHidden/>
          </w:rPr>
        </w:r>
        <w:r w:rsidRPr="00B778A6">
          <w:rPr>
            <w:rStyle w:val="Hyperlink"/>
            <w:rFonts w:ascii="Times New Roman" w:hAnsi="Times New Roman"/>
            <w:noProof/>
            <w:webHidden/>
          </w:rPr>
          <w:fldChar w:fldCharType="separate"/>
        </w:r>
        <w:r w:rsidR="00C668D4">
          <w:rPr>
            <w:rStyle w:val="Hyperlink"/>
            <w:rFonts w:ascii="Times New Roman" w:hAnsi="Times New Roman"/>
            <w:noProof/>
            <w:webHidden/>
          </w:rPr>
          <w:t>27</w:t>
        </w:r>
        <w:r w:rsidRPr="00B778A6">
          <w:rPr>
            <w:rStyle w:val="Hyperlink"/>
            <w:rFonts w:ascii="Times New Roman" w:hAnsi="Times New Roman"/>
            <w:noProof/>
            <w:webHidden/>
          </w:rPr>
          <w:fldChar w:fldCharType="end"/>
        </w:r>
      </w:hyperlink>
    </w:p>
    <w:p w:rsidR="00DA1A2F" w:rsidRPr="00B778A6" w:rsidRDefault="0001670F">
      <w:pPr>
        <w:pStyle w:val="TOC3"/>
        <w:tabs>
          <w:tab w:val="right" w:leader="dot" w:pos="9628"/>
        </w:tabs>
        <w:rPr>
          <w:rStyle w:val="Hyperlink"/>
          <w:rFonts w:ascii="Times New Roman" w:hAnsi="Times New Roman"/>
          <w:noProof/>
        </w:rPr>
      </w:pPr>
      <w:hyperlink w:anchor="_Toc34924481" w:history="1">
        <w:r w:rsidR="00DA1A2F" w:rsidRPr="00B778A6">
          <w:rPr>
            <w:rStyle w:val="Hyperlink"/>
            <w:rFonts w:ascii="Times New Roman" w:hAnsi="Times New Roman"/>
            <w:noProof/>
          </w:rPr>
          <w:t>3.4.2. Alternatyva „Esamo pastato pardavimas ir naujo pastato statyba“</w:t>
        </w:r>
        <w:r w:rsidR="00DA1A2F" w:rsidRPr="00B778A6">
          <w:rPr>
            <w:rStyle w:val="Hyperlink"/>
            <w:rFonts w:ascii="Times New Roman" w:hAnsi="Times New Roman"/>
            <w:noProof/>
            <w:webHidden/>
          </w:rPr>
          <w:tab/>
        </w:r>
        <w:r w:rsidRPr="00B778A6">
          <w:rPr>
            <w:rStyle w:val="Hyperlink"/>
            <w:rFonts w:ascii="Times New Roman" w:hAnsi="Times New Roman"/>
            <w:noProof/>
            <w:webHidden/>
          </w:rPr>
          <w:fldChar w:fldCharType="begin"/>
        </w:r>
        <w:r w:rsidR="00DA1A2F" w:rsidRPr="00B778A6">
          <w:rPr>
            <w:rStyle w:val="Hyperlink"/>
            <w:rFonts w:ascii="Times New Roman" w:hAnsi="Times New Roman"/>
            <w:noProof/>
            <w:webHidden/>
          </w:rPr>
          <w:instrText xml:space="preserve"> PAGEREF _Toc34924481 \h </w:instrText>
        </w:r>
        <w:r w:rsidRPr="00B778A6">
          <w:rPr>
            <w:rStyle w:val="Hyperlink"/>
            <w:rFonts w:ascii="Times New Roman" w:hAnsi="Times New Roman"/>
            <w:noProof/>
            <w:webHidden/>
          </w:rPr>
        </w:r>
        <w:r w:rsidRPr="00B778A6">
          <w:rPr>
            <w:rStyle w:val="Hyperlink"/>
            <w:rFonts w:ascii="Times New Roman" w:hAnsi="Times New Roman"/>
            <w:noProof/>
            <w:webHidden/>
          </w:rPr>
          <w:fldChar w:fldCharType="separate"/>
        </w:r>
        <w:r w:rsidR="00C668D4">
          <w:rPr>
            <w:rStyle w:val="Hyperlink"/>
            <w:rFonts w:ascii="Times New Roman" w:hAnsi="Times New Roman"/>
            <w:noProof/>
            <w:webHidden/>
          </w:rPr>
          <w:t>28</w:t>
        </w:r>
        <w:r w:rsidRPr="00B778A6">
          <w:rPr>
            <w:rStyle w:val="Hyperlink"/>
            <w:rFonts w:ascii="Times New Roman" w:hAnsi="Times New Roman"/>
            <w:noProof/>
            <w:webHidden/>
          </w:rPr>
          <w:fldChar w:fldCharType="end"/>
        </w:r>
      </w:hyperlink>
    </w:p>
    <w:p w:rsidR="00DA1A2F" w:rsidRPr="00B778A6" w:rsidRDefault="0001670F">
      <w:pPr>
        <w:pStyle w:val="TOC2"/>
        <w:tabs>
          <w:tab w:val="right" w:leader="dot" w:pos="9628"/>
        </w:tabs>
        <w:rPr>
          <w:rStyle w:val="Hyperlink"/>
          <w:rFonts w:ascii="Times New Roman" w:hAnsi="Times New Roman"/>
          <w:noProof/>
        </w:rPr>
      </w:pPr>
      <w:hyperlink w:anchor="_Toc34924482" w:history="1">
        <w:r w:rsidR="00DA1A2F" w:rsidRPr="00B778A6">
          <w:rPr>
            <w:rStyle w:val="Hyperlink"/>
            <w:rFonts w:ascii="Times New Roman" w:hAnsi="Times New Roman"/>
            <w:noProof/>
          </w:rPr>
          <w:t>3.5. Projekto įgyvendinimo alternatyvų palyginimas SEA metodu</w:t>
        </w:r>
        <w:r w:rsidR="00DA1A2F" w:rsidRPr="00B778A6">
          <w:rPr>
            <w:rStyle w:val="Hyperlink"/>
            <w:rFonts w:ascii="Times New Roman" w:hAnsi="Times New Roman"/>
            <w:noProof/>
            <w:webHidden/>
          </w:rPr>
          <w:tab/>
        </w:r>
        <w:r w:rsidRPr="00B778A6">
          <w:rPr>
            <w:rStyle w:val="Hyperlink"/>
            <w:rFonts w:ascii="Times New Roman" w:hAnsi="Times New Roman"/>
            <w:noProof/>
            <w:webHidden/>
          </w:rPr>
          <w:fldChar w:fldCharType="begin"/>
        </w:r>
        <w:r w:rsidR="00DA1A2F" w:rsidRPr="00B778A6">
          <w:rPr>
            <w:rStyle w:val="Hyperlink"/>
            <w:rFonts w:ascii="Times New Roman" w:hAnsi="Times New Roman"/>
            <w:noProof/>
            <w:webHidden/>
          </w:rPr>
          <w:instrText xml:space="preserve"> PAGEREF _Toc34924482 \h </w:instrText>
        </w:r>
        <w:r w:rsidRPr="00B778A6">
          <w:rPr>
            <w:rStyle w:val="Hyperlink"/>
            <w:rFonts w:ascii="Times New Roman" w:hAnsi="Times New Roman"/>
            <w:noProof/>
            <w:webHidden/>
          </w:rPr>
        </w:r>
        <w:r w:rsidRPr="00B778A6">
          <w:rPr>
            <w:rStyle w:val="Hyperlink"/>
            <w:rFonts w:ascii="Times New Roman" w:hAnsi="Times New Roman"/>
            <w:noProof/>
            <w:webHidden/>
          </w:rPr>
          <w:fldChar w:fldCharType="separate"/>
        </w:r>
        <w:r w:rsidR="00C668D4">
          <w:rPr>
            <w:rStyle w:val="Hyperlink"/>
            <w:rFonts w:ascii="Times New Roman" w:hAnsi="Times New Roman"/>
            <w:noProof/>
            <w:webHidden/>
          </w:rPr>
          <w:t>28</w:t>
        </w:r>
        <w:r w:rsidRPr="00B778A6">
          <w:rPr>
            <w:rStyle w:val="Hyperlink"/>
            <w:rFonts w:ascii="Times New Roman" w:hAnsi="Times New Roman"/>
            <w:noProof/>
            <w:webHidden/>
          </w:rPr>
          <w:fldChar w:fldCharType="end"/>
        </w:r>
      </w:hyperlink>
    </w:p>
    <w:p w:rsidR="00DA1A2F" w:rsidRPr="00B778A6" w:rsidRDefault="0001670F">
      <w:pPr>
        <w:pStyle w:val="TOC1"/>
        <w:rPr>
          <w:b w:val="0"/>
          <w:noProof/>
          <w:sz w:val="22"/>
        </w:rPr>
      </w:pPr>
      <w:hyperlink w:anchor="_Toc34924483" w:history="1">
        <w:r w:rsidR="00DA1A2F" w:rsidRPr="00B778A6">
          <w:rPr>
            <w:rStyle w:val="Hyperlink"/>
            <w:noProof/>
            <w:sz w:val="22"/>
          </w:rPr>
          <w:t>4. FINANSINĖ ANALIZĖ</w:t>
        </w:r>
        <w:r w:rsidR="00DA1A2F" w:rsidRPr="00B778A6">
          <w:rPr>
            <w:noProof/>
            <w:webHidden/>
            <w:sz w:val="22"/>
          </w:rPr>
          <w:tab/>
        </w:r>
        <w:r w:rsidRPr="00B778A6">
          <w:rPr>
            <w:noProof/>
            <w:webHidden/>
            <w:sz w:val="22"/>
          </w:rPr>
          <w:fldChar w:fldCharType="begin"/>
        </w:r>
        <w:r w:rsidR="00DA1A2F" w:rsidRPr="00B778A6">
          <w:rPr>
            <w:noProof/>
            <w:webHidden/>
            <w:sz w:val="22"/>
          </w:rPr>
          <w:instrText xml:space="preserve"> PAGEREF _Toc34924483 \h </w:instrText>
        </w:r>
        <w:r w:rsidRPr="00B778A6">
          <w:rPr>
            <w:noProof/>
            <w:webHidden/>
            <w:sz w:val="22"/>
          </w:rPr>
        </w:r>
        <w:r w:rsidRPr="00B778A6">
          <w:rPr>
            <w:noProof/>
            <w:webHidden/>
            <w:sz w:val="22"/>
          </w:rPr>
          <w:fldChar w:fldCharType="separate"/>
        </w:r>
        <w:r w:rsidR="00C668D4">
          <w:rPr>
            <w:noProof/>
            <w:webHidden/>
            <w:sz w:val="22"/>
          </w:rPr>
          <w:t>29</w:t>
        </w:r>
        <w:r w:rsidRPr="00B778A6">
          <w:rPr>
            <w:noProof/>
            <w:webHidden/>
            <w:sz w:val="22"/>
          </w:rPr>
          <w:fldChar w:fldCharType="end"/>
        </w:r>
      </w:hyperlink>
    </w:p>
    <w:p w:rsidR="00DA1A2F" w:rsidRPr="00B778A6" w:rsidRDefault="0001670F">
      <w:pPr>
        <w:pStyle w:val="TOC2"/>
        <w:tabs>
          <w:tab w:val="right" w:leader="dot" w:pos="9628"/>
        </w:tabs>
        <w:rPr>
          <w:rFonts w:ascii="Times New Roman" w:hAnsi="Times New Roman"/>
          <w:noProof/>
        </w:rPr>
      </w:pPr>
      <w:hyperlink w:anchor="_Toc34924484" w:history="1">
        <w:r w:rsidR="00DA1A2F" w:rsidRPr="00B778A6">
          <w:rPr>
            <w:rStyle w:val="Hyperlink"/>
            <w:rFonts w:ascii="Times New Roman" w:hAnsi="Times New Roman"/>
            <w:noProof/>
          </w:rPr>
          <w:t>4.1. Projekto ataskaitinis laikotarpis</w:t>
        </w:r>
        <w:r w:rsidR="00DA1A2F" w:rsidRPr="00B778A6">
          <w:rPr>
            <w:rFonts w:ascii="Times New Roman" w:hAnsi="Times New Roman"/>
            <w:noProof/>
            <w:webHidden/>
          </w:rPr>
          <w:tab/>
        </w:r>
        <w:r w:rsidRPr="00B778A6">
          <w:rPr>
            <w:rFonts w:ascii="Times New Roman" w:hAnsi="Times New Roman"/>
            <w:noProof/>
            <w:webHidden/>
          </w:rPr>
          <w:fldChar w:fldCharType="begin"/>
        </w:r>
        <w:r w:rsidR="00DA1A2F" w:rsidRPr="00B778A6">
          <w:rPr>
            <w:rFonts w:ascii="Times New Roman" w:hAnsi="Times New Roman"/>
            <w:noProof/>
            <w:webHidden/>
          </w:rPr>
          <w:instrText xml:space="preserve"> PAGEREF _Toc34924484 \h </w:instrText>
        </w:r>
        <w:r w:rsidRPr="00B778A6">
          <w:rPr>
            <w:rFonts w:ascii="Times New Roman" w:hAnsi="Times New Roman"/>
            <w:noProof/>
            <w:webHidden/>
          </w:rPr>
        </w:r>
        <w:r w:rsidRPr="00B778A6">
          <w:rPr>
            <w:rFonts w:ascii="Times New Roman" w:hAnsi="Times New Roman"/>
            <w:noProof/>
            <w:webHidden/>
          </w:rPr>
          <w:fldChar w:fldCharType="separate"/>
        </w:r>
        <w:r w:rsidR="00C668D4">
          <w:rPr>
            <w:rFonts w:ascii="Times New Roman" w:hAnsi="Times New Roman"/>
            <w:noProof/>
            <w:webHidden/>
          </w:rPr>
          <w:t>29</w:t>
        </w:r>
        <w:r w:rsidRPr="00B778A6">
          <w:rPr>
            <w:rFonts w:ascii="Times New Roman" w:hAnsi="Times New Roman"/>
            <w:noProof/>
            <w:webHidden/>
          </w:rPr>
          <w:fldChar w:fldCharType="end"/>
        </w:r>
      </w:hyperlink>
    </w:p>
    <w:p w:rsidR="00DA1A2F" w:rsidRPr="00B778A6" w:rsidRDefault="0001670F">
      <w:pPr>
        <w:pStyle w:val="TOC2"/>
        <w:tabs>
          <w:tab w:val="right" w:leader="dot" w:pos="9628"/>
        </w:tabs>
        <w:rPr>
          <w:rFonts w:ascii="Times New Roman" w:hAnsi="Times New Roman"/>
          <w:noProof/>
        </w:rPr>
      </w:pPr>
      <w:hyperlink w:anchor="_Toc34924485" w:history="1">
        <w:r w:rsidR="00DA1A2F" w:rsidRPr="00B778A6">
          <w:rPr>
            <w:rStyle w:val="Hyperlink"/>
            <w:rFonts w:ascii="Times New Roman" w:hAnsi="Times New Roman"/>
            <w:noProof/>
          </w:rPr>
          <w:t>4.2. Finansinė diskonto norma</w:t>
        </w:r>
        <w:r w:rsidR="00DA1A2F" w:rsidRPr="00B778A6">
          <w:rPr>
            <w:rFonts w:ascii="Times New Roman" w:hAnsi="Times New Roman"/>
            <w:noProof/>
            <w:webHidden/>
          </w:rPr>
          <w:tab/>
        </w:r>
        <w:r w:rsidRPr="00B778A6">
          <w:rPr>
            <w:rFonts w:ascii="Times New Roman" w:hAnsi="Times New Roman"/>
            <w:noProof/>
            <w:webHidden/>
          </w:rPr>
          <w:fldChar w:fldCharType="begin"/>
        </w:r>
        <w:r w:rsidR="00DA1A2F" w:rsidRPr="00B778A6">
          <w:rPr>
            <w:rFonts w:ascii="Times New Roman" w:hAnsi="Times New Roman"/>
            <w:noProof/>
            <w:webHidden/>
          </w:rPr>
          <w:instrText xml:space="preserve"> PAGEREF _Toc34924485 \h </w:instrText>
        </w:r>
        <w:r w:rsidRPr="00B778A6">
          <w:rPr>
            <w:rFonts w:ascii="Times New Roman" w:hAnsi="Times New Roman"/>
            <w:noProof/>
            <w:webHidden/>
          </w:rPr>
        </w:r>
        <w:r w:rsidRPr="00B778A6">
          <w:rPr>
            <w:rFonts w:ascii="Times New Roman" w:hAnsi="Times New Roman"/>
            <w:noProof/>
            <w:webHidden/>
          </w:rPr>
          <w:fldChar w:fldCharType="separate"/>
        </w:r>
        <w:r w:rsidR="00C668D4">
          <w:rPr>
            <w:rFonts w:ascii="Times New Roman" w:hAnsi="Times New Roman"/>
            <w:noProof/>
            <w:webHidden/>
          </w:rPr>
          <w:t>29</w:t>
        </w:r>
        <w:r w:rsidRPr="00B778A6">
          <w:rPr>
            <w:rFonts w:ascii="Times New Roman" w:hAnsi="Times New Roman"/>
            <w:noProof/>
            <w:webHidden/>
          </w:rPr>
          <w:fldChar w:fldCharType="end"/>
        </w:r>
      </w:hyperlink>
    </w:p>
    <w:p w:rsidR="00DA1A2F" w:rsidRPr="00B778A6" w:rsidRDefault="0001670F">
      <w:pPr>
        <w:pStyle w:val="TOC2"/>
        <w:tabs>
          <w:tab w:val="right" w:leader="dot" w:pos="9628"/>
        </w:tabs>
        <w:rPr>
          <w:rFonts w:ascii="Times New Roman" w:hAnsi="Times New Roman"/>
          <w:noProof/>
        </w:rPr>
      </w:pPr>
      <w:hyperlink w:anchor="_Toc34924486" w:history="1">
        <w:r w:rsidR="00DA1A2F" w:rsidRPr="00B778A6">
          <w:rPr>
            <w:rStyle w:val="Hyperlink"/>
            <w:rFonts w:ascii="Times New Roman" w:hAnsi="Times New Roman"/>
            <w:noProof/>
          </w:rPr>
          <w:t>4.3. Projektų lėšų srautai</w:t>
        </w:r>
        <w:r w:rsidR="00DA1A2F" w:rsidRPr="00B778A6">
          <w:rPr>
            <w:rFonts w:ascii="Times New Roman" w:hAnsi="Times New Roman"/>
            <w:noProof/>
            <w:webHidden/>
          </w:rPr>
          <w:tab/>
        </w:r>
        <w:r w:rsidRPr="00B778A6">
          <w:rPr>
            <w:rFonts w:ascii="Times New Roman" w:hAnsi="Times New Roman"/>
            <w:noProof/>
            <w:webHidden/>
          </w:rPr>
          <w:fldChar w:fldCharType="begin"/>
        </w:r>
        <w:r w:rsidR="00DA1A2F" w:rsidRPr="00B778A6">
          <w:rPr>
            <w:rFonts w:ascii="Times New Roman" w:hAnsi="Times New Roman"/>
            <w:noProof/>
            <w:webHidden/>
          </w:rPr>
          <w:instrText xml:space="preserve"> PAGEREF _Toc34924486 \h </w:instrText>
        </w:r>
        <w:r w:rsidRPr="00B778A6">
          <w:rPr>
            <w:rFonts w:ascii="Times New Roman" w:hAnsi="Times New Roman"/>
            <w:noProof/>
            <w:webHidden/>
          </w:rPr>
        </w:r>
        <w:r w:rsidRPr="00B778A6">
          <w:rPr>
            <w:rFonts w:ascii="Times New Roman" w:hAnsi="Times New Roman"/>
            <w:noProof/>
            <w:webHidden/>
          </w:rPr>
          <w:fldChar w:fldCharType="separate"/>
        </w:r>
        <w:r w:rsidR="00C668D4">
          <w:rPr>
            <w:rFonts w:ascii="Times New Roman" w:hAnsi="Times New Roman"/>
            <w:noProof/>
            <w:webHidden/>
          </w:rPr>
          <w:t>29</w:t>
        </w:r>
        <w:r w:rsidRPr="00B778A6">
          <w:rPr>
            <w:rFonts w:ascii="Times New Roman" w:hAnsi="Times New Roman"/>
            <w:noProof/>
            <w:webHidden/>
          </w:rPr>
          <w:fldChar w:fldCharType="end"/>
        </w:r>
      </w:hyperlink>
    </w:p>
    <w:p w:rsidR="00DA1A2F" w:rsidRPr="00B778A6" w:rsidRDefault="0001670F">
      <w:pPr>
        <w:pStyle w:val="TOC3"/>
        <w:tabs>
          <w:tab w:val="right" w:leader="dot" w:pos="9628"/>
        </w:tabs>
        <w:rPr>
          <w:rFonts w:ascii="Times New Roman" w:hAnsi="Times New Roman"/>
          <w:noProof/>
        </w:rPr>
      </w:pPr>
      <w:hyperlink w:anchor="_Toc34924487" w:history="1">
        <w:r w:rsidR="00DA1A2F" w:rsidRPr="00B778A6">
          <w:rPr>
            <w:rStyle w:val="Hyperlink"/>
            <w:rFonts w:ascii="Times New Roman" w:hAnsi="Times New Roman"/>
            <w:noProof/>
          </w:rPr>
          <w:t>4.3.1. Investicijų išlaidos</w:t>
        </w:r>
        <w:r w:rsidR="00DA1A2F" w:rsidRPr="00B778A6">
          <w:rPr>
            <w:rFonts w:ascii="Times New Roman" w:hAnsi="Times New Roman"/>
            <w:noProof/>
            <w:webHidden/>
          </w:rPr>
          <w:tab/>
        </w:r>
        <w:r w:rsidRPr="00B778A6">
          <w:rPr>
            <w:rFonts w:ascii="Times New Roman" w:hAnsi="Times New Roman"/>
            <w:noProof/>
            <w:webHidden/>
          </w:rPr>
          <w:fldChar w:fldCharType="begin"/>
        </w:r>
        <w:r w:rsidR="00DA1A2F" w:rsidRPr="00B778A6">
          <w:rPr>
            <w:rFonts w:ascii="Times New Roman" w:hAnsi="Times New Roman"/>
            <w:noProof/>
            <w:webHidden/>
          </w:rPr>
          <w:instrText xml:space="preserve"> PAGEREF _Toc34924487 \h </w:instrText>
        </w:r>
        <w:r w:rsidRPr="00B778A6">
          <w:rPr>
            <w:rFonts w:ascii="Times New Roman" w:hAnsi="Times New Roman"/>
            <w:noProof/>
            <w:webHidden/>
          </w:rPr>
        </w:r>
        <w:r w:rsidRPr="00B778A6">
          <w:rPr>
            <w:rFonts w:ascii="Times New Roman" w:hAnsi="Times New Roman"/>
            <w:noProof/>
            <w:webHidden/>
          </w:rPr>
          <w:fldChar w:fldCharType="separate"/>
        </w:r>
        <w:r w:rsidR="00C668D4">
          <w:rPr>
            <w:rFonts w:ascii="Times New Roman" w:hAnsi="Times New Roman"/>
            <w:noProof/>
            <w:webHidden/>
          </w:rPr>
          <w:t>29</w:t>
        </w:r>
        <w:r w:rsidRPr="00B778A6">
          <w:rPr>
            <w:rFonts w:ascii="Times New Roman" w:hAnsi="Times New Roman"/>
            <w:noProof/>
            <w:webHidden/>
          </w:rPr>
          <w:fldChar w:fldCharType="end"/>
        </w:r>
      </w:hyperlink>
    </w:p>
    <w:p w:rsidR="00DA1A2F" w:rsidRPr="00B778A6" w:rsidRDefault="0001670F">
      <w:pPr>
        <w:pStyle w:val="TOC3"/>
        <w:tabs>
          <w:tab w:val="right" w:leader="dot" w:pos="9628"/>
        </w:tabs>
        <w:rPr>
          <w:rFonts w:ascii="Times New Roman" w:hAnsi="Times New Roman"/>
          <w:noProof/>
        </w:rPr>
      </w:pPr>
      <w:hyperlink w:anchor="_Toc34924488" w:history="1">
        <w:r w:rsidR="00DA1A2F" w:rsidRPr="00B778A6">
          <w:rPr>
            <w:rStyle w:val="Hyperlink"/>
            <w:rFonts w:ascii="Times New Roman" w:hAnsi="Times New Roman"/>
            <w:noProof/>
          </w:rPr>
          <w:t>4.3.2. Investicijų likutinė vertė</w:t>
        </w:r>
        <w:r w:rsidR="00DA1A2F" w:rsidRPr="00B778A6">
          <w:rPr>
            <w:rFonts w:ascii="Times New Roman" w:hAnsi="Times New Roman"/>
            <w:noProof/>
            <w:webHidden/>
          </w:rPr>
          <w:tab/>
        </w:r>
        <w:r w:rsidRPr="00B778A6">
          <w:rPr>
            <w:rFonts w:ascii="Times New Roman" w:hAnsi="Times New Roman"/>
            <w:noProof/>
            <w:webHidden/>
          </w:rPr>
          <w:fldChar w:fldCharType="begin"/>
        </w:r>
        <w:r w:rsidR="00DA1A2F" w:rsidRPr="00B778A6">
          <w:rPr>
            <w:rFonts w:ascii="Times New Roman" w:hAnsi="Times New Roman"/>
            <w:noProof/>
            <w:webHidden/>
          </w:rPr>
          <w:instrText xml:space="preserve"> PAGEREF _Toc34924488 \h </w:instrText>
        </w:r>
        <w:r w:rsidRPr="00B778A6">
          <w:rPr>
            <w:rFonts w:ascii="Times New Roman" w:hAnsi="Times New Roman"/>
            <w:noProof/>
            <w:webHidden/>
          </w:rPr>
        </w:r>
        <w:r w:rsidRPr="00B778A6">
          <w:rPr>
            <w:rFonts w:ascii="Times New Roman" w:hAnsi="Times New Roman"/>
            <w:noProof/>
            <w:webHidden/>
          </w:rPr>
          <w:fldChar w:fldCharType="separate"/>
        </w:r>
        <w:r w:rsidR="00C668D4">
          <w:rPr>
            <w:rFonts w:ascii="Times New Roman" w:hAnsi="Times New Roman"/>
            <w:noProof/>
            <w:webHidden/>
          </w:rPr>
          <w:t>31</w:t>
        </w:r>
        <w:r w:rsidRPr="00B778A6">
          <w:rPr>
            <w:rFonts w:ascii="Times New Roman" w:hAnsi="Times New Roman"/>
            <w:noProof/>
            <w:webHidden/>
          </w:rPr>
          <w:fldChar w:fldCharType="end"/>
        </w:r>
      </w:hyperlink>
    </w:p>
    <w:p w:rsidR="00DA1A2F" w:rsidRPr="00B778A6" w:rsidRDefault="0001670F">
      <w:pPr>
        <w:pStyle w:val="TOC3"/>
        <w:tabs>
          <w:tab w:val="right" w:leader="dot" w:pos="9628"/>
        </w:tabs>
        <w:rPr>
          <w:rFonts w:ascii="Times New Roman" w:hAnsi="Times New Roman"/>
          <w:noProof/>
        </w:rPr>
      </w:pPr>
      <w:hyperlink w:anchor="_Toc34924489" w:history="1">
        <w:r w:rsidR="00DA1A2F" w:rsidRPr="00B778A6">
          <w:rPr>
            <w:rStyle w:val="Hyperlink"/>
            <w:rFonts w:ascii="Times New Roman" w:hAnsi="Times New Roman"/>
            <w:noProof/>
          </w:rPr>
          <w:t>4.3.3. Veiklos pajamos</w:t>
        </w:r>
        <w:r w:rsidR="00DA1A2F" w:rsidRPr="00B778A6">
          <w:rPr>
            <w:rFonts w:ascii="Times New Roman" w:hAnsi="Times New Roman"/>
            <w:noProof/>
            <w:webHidden/>
          </w:rPr>
          <w:tab/>
        </w:r>
        <w:r w:rsidRPr="00B778A6">
          <w:rPr>
            <w:rFonts w:ascii="Times New Roman" w:hAnsi="Times New Roman"/>
            <w:noProof/>
            <w:webHidden/>
          </w:rPr>
          <w:fldChar w:fldCharType="begin"/>
        </w:r>
        <w:r w:rsidR="00DA1A2F" w:rsidRPr="00B778A6">
          <w:rPr>
            <w:rFonts w:ascii="Times New Roman" w:hAnsi="Times New Roman"/>
            <w:noProof/>
            <w:webHidden/>
          </w:rPr>
          <w:instrText xml:space="preserve"> PAGEREF _Toc34924489 \h </w:instrText>
        </w:r>
        <w:r w:rsidRPr="00B778A6">
          <w:rPr>
            <w:rFonts w:ascii="Times New Roman" w:hAnsi="Times New Roman"/>
            <w:noProof/>
            <w:webHidden/>
          </w:rPr>
        </w:r>
        <w:r w:rsidRPr="00B778A6">
          <w:rPr>
            <w:rFonts w:ascii="Times New Roman" w:hAnsi="Times New Roman"/>
            <w:noProof/>
            <w:webHidden/>
          </w:rPr>
          <w:fldChar w:fldCharType="separate"/>
        </w:r>
        <w:r w:rsidR="00C668D4">
          <w:rPr>
            <w:rFonts w:ascii="Times New Roman" w:hAnsi="Times New Roman"/>
            <w:noProof/>
            <w:webHidden/>
          </w:rPr>
          <w:t>31</w:t>
        </w:r>
        <w:r w:rsidRPr="00B778A6">
          <w:rPr>
            <w:rFonts w:ascii="Times New Roman" w:hAnsi="Times New Roman"/>
            <w:noProof/>
            <w:webHidden/>
          </w:rPr>
          <w:fldChar w:fldCharType="end"/>
        </w:r>
      </w:hyperlink>
    </w:p>
    <w:p w:rsidR="00DA1A2F" w:rsidRPr="00B778A6" w:rsidRDefault="0001670F">
      <w:pPr>
        <w:pStyle w:val="TOC3"/>
        <w:tabs>
          <w:tab w:val="right" w:leader="dot" w:pos="9628"/>
        </w:tabs>
        <w:rPr>
          <w:rFonts w:ascii="Times New Roman" w:hAnsi="Times New Roman"/>
          <w:noProof/>
        </w:rPr>
      </w:pPr>
      <w:hyperlink w:anchor="_Toc34924490" w:history="1">
        <w:r w:rsidR="00DA1A2F" w:rsidRPr="00B778A6">
          <w:rPr>
            <w:rStyle w:val="Hyperlink"/>
            <w:rFonts w:ascii="Times New Roman" w:hAnsi="Times New Roman"/>
            <w:noProof/>
          </w:rPr>
          <w:t>4.3.4. Veiklos išlaidos</w:t>
        </w:r>
        <w:r w:rsidR="00DA1A2F" w:rsidRPr="00B778A6">
          <w:rPr>
            <w:rFonts w:ascii="Times New Roman" w:hAnsi="Times New Roman"/>
            <w:noProof/>
            <w:webHidden/>
          </w:rPr>
          <w:tab/>
        </w:r>
        <w:r w:rsidRPr="00B778A6">
          <w:rPr>
            <w:rFonts w:ascii="Times New Roman" w:hAnsi="Times New Roman"/>
            <w:noProof/>
            <w:webHidden/>
          </w:rPr>
          <w:fldChar w:fldCharType="begin"/>
        </w:r>
        <w:r w:rsidR="00DA1A2F" w:rsidRPr="00B778A6">
          <w:rPr>
            <w:rFonts w:ascii="Times New Roman" w:hAnsi="Times New Roman"/>
            <w:noProof/>
            <w:webHidden/>
          </w:rPr>
          <w:instrText xml:space="preserve"> PAGEREF _Toc34924490 \h </w:instrText>
        </w:r>
        <w:r w:rsidRPr="00B778A6">
          <w:rPr>
            <w:rFonts w:ascii="Times New Roman" w:hAnsi="Times New Roman"/>
            <w:noProof/>
            <w:webHidden/>
          </w:rPr>
        </w:r>
        <w:r w:rsidRPr="00B778A6">
          <w:rPr>
            <w:rFonts w:ascii="Times New Roman" w:hAnsi="Times New Roman"/>
            <w:noProof/>
            <w:webHidden/>
          </w:rPr>
          <w:fldChar w:fldCharType="separate"/>
        </w:r>
        <w:r w:rsidR="00C668D4">
          <w:rPr>
            <w:rFonts w:ascii="Times New Roman" w:hAnsi="Times New Roman"/>
            <w:noProof/>
            <w:webHidden/>
          </w:rPr>
          <w:t>31</w:t>
        </w:r>
        <w:r w:rsidRPr="00B778A6">
          <w:rPr>
            <w:rFonts w:ascii="Times New Roman" w:hAnsi="Times New Roman"/>
            <w:noProof/>
            <w:webHidden/>
          </w:rPr>
          <w:fldChar w:fldCharType="end"/>
        </w:r>
      </w:hyperlink>
    </w:p>
    <w:p w:rsidR="00DA1A2F" w:rsidRPr="00B778A6" w:rsidRDefault="0001670F">
      <w:pPr>
        <w:pStyle w:val="TOC3"/>
        <w:tabs>
          <w:tab w:val="right" w:leader="dot" w:pos="9628"/>
        </w:tabs>
        <w:rPr>
          <w:rFonts w:ascii="Times New Roman" w:hAnsi="Times New Roman"/>
          <w:noProof/>
        </w:rPr>
      </w:pPr>
      <w:hyperlink w:anchor="_Toc34924491" w:history="1">
        <w:r w:rsidR="00DA1A2F" w:rsidRPr="00B778A6">
          <w:rPr>
            <w:rStyle w:val="Hyperlink"/>
            <w:rFonts w:ascii="Times New Roman" w:hAnsi="Times New Roman"/>
            <w:noProof/>
          </w:rPr>
          <w:t>4.3.5. Mokesčiai</w:t>
        </w:r>
        <w:r w:rsidR="00DA1A2F" w:rsidRPr="00B778A6">
          <w:rPr>
            <w:rFonts w:ascii="Times New Roman" w:hAnsi="Times New Roman"/>
            <w:noProof/>
            <w:webHidden/>
          </w:rPr>
          <w:tab/>
        </w:r>
        <w:r w:rsidRPr="00B778A6">
          <w:rPr>
            <w:rFonts w:ascii="Times New Roman" w:hAnsi="Times New Roman"/>
            <w:noProof/>
            <w:webHidden/>
          </w:rPr>
          <w:fldChar w:fldCharType="begin"/>
        </w:r>
        <w:r w:rsidR="00DA1A2F" w:rsidRPr="00B778A6">
          <w:rPr>
            <w:rFonts w:ascii="Times New Roman" w:hAnsi="Times New Roman"/>
            <w:noProof/>
            <w:webHidden/>
          </w:rPr>
          <w:instrText xml:space="preserve"> PAGEREF _Toc34924491 \h </w:instrText>
        </w:r>
        <w:r w:rsidRPr="00B778A6">
          <w:rPr>
            <w:rFonts w:ascii="Times New Roman" w:hAnsi="Times New Roman"/>
            <w:noProof/>
            <w:webHidden/>
          </w:rPr>
        </w:r>
        <w:r w:rsidRPr="00B778A6">
          <w:rPr>
            <w:rFonts w:ascii="Times New Roman" w:hAnsi="Times New Roman"/>
            <w:noProof/>
            <w:webHidden/>
          </w:rPr>
          <w:fldChar w:fldCharType="separate"/>
        </w:r>
        <w:r w:rsidR="00C668D4">
          <w:rPr>
            <w:rFonts w:ascii="Times New Roman" w:hAnsi="Times New Roman"/>
            <w:noProof/>
            <w:webHidden/>
          </w:rPr>
          <w:t>32</w:t>
        </w:r>
        <w:r w:rsidRPr="00B778A6">
          <w:rPr>
            <w:rFonts w:ascii="Times New Roman" w:hAnsi="Times New Roman"/>
            <w:noProof/>
            <w:webHidden/>
          </w:rPr>
          <w:fldChar w:fldCharType="end"/>
        </w:r>
      </w:hyperlink>
    </w:p>
    <w:p w:rsidR="00DA1A2F" w:rsidRPr="00B778A6" w:rsidRDefault="0001670F">
      <w:pPr>
        <w:pStyle w:val="TOC3"/>
        <w:tabs>
          <w:tab w:val="right" w:leader="dot" w:pos="9628"/>
        </w:tabs>
        <w:rPr>
          <w:rFonts w:ascii="Times New Roman" w:hAnsi="Times New Roman"/>
          <w:noProof/>
        </w:rPr>
      </w:pPr>
      <w:hyperlink w:anchor="_Toc34924492" w:history="1">
        <w:r w:rsidR="00DA1A2F" w:rsidRPr="00B778A6">
          <w:rPr>
            <w:rStyle w:val="Hyperlink"/>
            <w:rFonts w:ascii="Times New Roman" w:hAnsi="Times New Roman"/>
            <w:noProof/>
          </w:rPr>
          <w:t>4.3.6. Finansavimas</w:t>
        </w:r>
        <w:r w:rsidR="00DA1A2F" w:rsidRPr="00B778A6">
          <w:rPr>
            <w:rFonts w:ascii="Times New Roman" w:hAnsi="Times New Roman"/>
            <w:noProof/>
            <w:webHidden/>
          </w:rPr>
          <w:tab/>
        </w:r>
        <w:r w:rsidRPr="00B778A6">
          <w:rPr>
            <w:rFonts w:ascii="Times New Roman" w:hAnsi="Times New Roman"/>
            <w:noProof/>
            <w:webHidden/>
          </w:rPr>
          <w:fldChar w:fldCharType="begin"/>
        </w:r>
        <w:r w:rsidR="00DA1A2F" w:rsidRPr="00B778A6">
          <w:rPr>
            <w:rFonts w:ascii="Times New Roman" w:hAnsi="Times New Roman"/>
            <w:noProof/>
            <w:webHidden/>
          </w:rPr>
          <w:instrText xml:space="preserve"> PAGEREF _Toc34924492 \h </w:instrText>
        </w:r>
        <w:r w:rsidRPr="00B778A6">
          <w:rPr>
            <w:rFonts w:ascii="Times New Roman" w:hAnsi="Times New Roman"/>
            <w:noProof/>
            <w:webHidden/>
          </w:rPr>
        </w:r>
        <w:r w:rsidRPr="00B778A6">
          <w:rPr>
            <w:rFonts w:ascii="Times New Roman" w:hAnsi="Times New Roman"/>
            <w:noProof/>
            <w:webHidden/>
          </w:rPr>
          <w:fldChar w:fldCharType="separate"/>
        </w:r>
        <w:r w:rsidR="00C668D4">
          <w:rPr>
            <w:rFonts w:ascii="Times New Roman" w:hAnsi="Times New Roman"/>
            <w:noProof/>
            <w:webHidden/>
          </w:rPr>
          <w:t>32</w:t>
        </w:r>
        <w:r w:rsidRPr="00B778A6">
          <w:rPr>
            <w:rFonts w:ascii="Times New Roman" w:hAnsi="Times New Roman"/>
            <w:noProof/>
            <w:webHidden/>
          </w:rPr>
          <w:fldChar w:fldCharType="end"/>
        </w:r>
      </w:hyperlink>
    </w:p>
    <w:p w:rsidR="00DA1A2F" w:rsidRPr="00B778A6" w:rsidRDefault="0001670F">
      <w:pPr>
        <w:pStyle w:val="TOC2"/>
        <w:tabs>
          <w:tab w:val="right" w:leader="dot" w:pos="9628"/>
        </w:tabs>
        <w:rPr>
          <w:rFonts w:ascii="Times New Roman" w:hAnsi="Times New Roman"/>
          <w:noProof/>
        </w:rPr>
      </w:pPr>
      <w:hyperlink w:anchor="_Toc34924493" w:history="1">
        <w:r w:rsidR="00DA1A2F" w:rsidRPr="00B778A6">
          <w:rPr>
            <w:rStyle w:val="Hyperlink"/>
            <w:rFonts w:ascii="Times New Roman" w:hAnsi="Times New Roman"/>
            <w:noProof/>
          </w:rPr>
          <w:t>4.4. Finansiniai rodikliai</w:t>
        </w:r>
        <w:r w:rsidR="00DA1A2F" w:rsidRPr="00B778A6">
          <w:rPr>
            <w:rFonts w:ascii="Times New Roman" w:hAnsi="Times New Roman"/>
            <w:noProof/>
            <w:webHidden/>
          </w:rPr>
          <w:tab/>
        </w:r>
        <w:r w:rsidRPr="00B778A6">
          <w:rPr>
            <w:rFonts w:ascii="Times New Roman" w:hAnsi="Times New Roman"/>
            <w:noProof/>
            <w:webHidden/>
          </w:rPr>
          <w:fldChar w:fldCharType="begin"/>
        </w:r>
        <w:r w:rsidR="00DA1A2F" w:rsidRPr="00B778A6">
          <w:rPr>
            <w:rFonts w:ascii="Times New Roman" w:hAnsi="Times New Roman"/>
            <w:noProof/>
            <w:webHidden/>
          </w:rPr>
          <w:instrText xml:space="preserve"> PAGEREF _Toc34924493 \h </w:instrText>
        </w:r>
        <w:r w:rsidRPr="00B778A6">
          <w:rPr>
            <w:rFonts w:ascii="Times New Roman" w:hAnsi="Times New Roman"/>
            <w:noProof/>
            <w:webHidden/>
          </w:rPr>
        </w:r>
        <w:r w:rsidRPr="00B778A6">
          <w:rPr>
            <w:rFonts w:ascii="Times New Roman" w:hAnsi="Times New Roman"/>
            <w:noProof/>
            <w:webHidden/>
          </w:rPr>
          <w:fldChar w:fldCharType="separate"/>
        </w:r>
        <w:r w:rsidR="00C668D4">
          <w:rPr>
            <w:rFonts w:ascii="Times New Roman" w:hAnsi="Times New Roman"/>
            <w:noProof/>
            <w:webHidden/>
          </w:rPr>
          <w:t>32</w:t>
        </w:r>
        <w:r w:rsidRPr="00B778A6">
          <w:rPr>
            <w:rFonts w:ascii="Times New Roman" w:hAnsi="Times New Roman"/>
            <w:noProof/>
            <w:webHidden/>
          </w:rPr>
          <w:fldChar w:fldCharType="end"/>
        </w:r>
      </w:hyperlink>
    </w:p>
    <w:p w:rsidR="00DA1A2F" w:rsidRPr="00B778A6" w:rsidRDefault="0001670F">
      <w:pPr>
        <w:pStyle w:val="TOC3"/>
        <w:tabs>
          <w:tab w:val="right" w:leader="dot" w:pos="9628"/>
        </w:tabs>
        <w:rPr>
          <w:rFonts w:ascii="Times New Roman" w:hAnsi="Times New Roman"/>
          <w:noProof/>
        </w:rPr>
      </w:pPr>
      <w:hyperlink w:anchor="_Toc34924494" w:history="1">
        <w:r w:rsidR="00DA1A2F" w:rsidRPr="00B778A6">
          <w:rPr>
            <w:rStyle w:val="Hyperlink"/>
            <w:rFonts w:ascii="Times New Roman" w:hAnsi="Times New Roman"/>
            <w:noProof/>
          </w:rPr>
          <w:t>4.4.1. Investicijų finansiniai rodikliai</w:t>
        </w:r>
        <w:r w:rsidR="00DA1A2F" w:rsidRPr="00B778A6">
          <w:rPr>
            <w:rFonts w:ascii="Times New Roman" w:hAnsi="Times New Roman"/>
            <w:noProof/>
            <w:webHidden/>
          </w:rPr>
          <w:tab/>
        </w:r>
        <w:r w:rsidRPr="00B778A6">
          <w:rPr>
            <w:rFonts w:ascii="Times New Roman" w:hAnsi="Times New Roman"/>
            <w:noProof/>
            <w:webHidden/>
          </w:rPr>
          <w:fldChar w:fldCharType="begin"/>
        </w:r>
        <w:r w:rsidR="00DA1A2F" w:rsidRPr="00B778A6">
          <w:rPr>
            <w:rFonts w:ascii="Times New Roman" w:hAnsi="Times New Roman"/>
            <w:noProof/>
            <w:webHidden/>
          </w:rPr>
          <w:instrText xml:space="preserve"> PAGEREF _Toc34924494 \h </w:instrText>
        </w:r>
        <w:r w:rsidRPr="00B778A6">
          <w:rPr>
            <w:rFonts w:ascii="Times New Roman" w:hAnsi="Times New Roman"/>
            <w:noProof/>
            <w:webHidden/>
          </w:rPr>
        </w:r>
        <w:r w:rsidRPr="00B778A6">
          <w:rPr>
            <w:rFonts w:ascii="Times New Roman" w:hAnsi="Times New Roman"/>
            <w:noProof/>
            <w:webHidden/>
          </w:rPr>
          <w:fldChar w:fldCharType="separate"/>
        </w:r>
        <w:r w:rsidR="00C668D4">
          <w:rPr>
            <w:rFonts w:ascii="Times New Roman" w:hAnsi="Times New Roman"/>
            <w:noProof/>
            <w:webHidden/>
          </w:rPr>
          <w:t>32</w:t>
        </w:r>
        <w:r w:rsidRPr="00B778A6">
          <w:rPr>
            <w:rFonts w:ascii="Times New Roman" w:hAnsi="Times New Roman"/>
            <w:noProof/>
            <w:webHidden/>
          </w:rPr>
          <w:fldChar w:fldCharType="end"/>
        </w:r>
      </w:hyperlink>
    </w:p>
    <w:p w:rsidR="00DA1A2F" w:rsidRPr="00B778A6" w:rsidRDefault="0001670F">
      <w:pPr>
        <w:pStyle w:val="TOC3"/>
        <w:tabs>
          <w:tab w:val="right" w:leader="dot" w:pos="9628"/>
        </w:tabs>
        <w:rPr>
          <w:rFonts w:ascii="Times New Roman" w:hAnsi="Times New Roman"/>
          <w:noProof/>
        </w:rPr>
      </w:pPr>
      <w:hyperlink w:anchor="_Toc34924495" w:history="1">
        <w:r w:rsidR="00DA1A2F" w:rsidRPr="00B778A6">
          <w:rPr>
            <w:rStyle w:val="Hyperlink"/>
            <w:rFonts w:ascii="Times New Roman" w:hAnsi="Times New Roman"/>
            <w:noProof/>
          </w:rPr>
          <w:t>4.4.2. Išvada dėl finansinio gyvybingumo</w:t>
        </w:r>
        <w:r w:rsidR="00DA1A2F" w:rsidRPr="00B778A6">
          <w:rPr>
            <w:rFonts w:ascii="Times New Roman" w:hAnsi="Times New Roman"/>
            <w:noProof/>
            <w:webHidden/>
          </w:rPr>
          <w:tab/>
        </w:r>
        <w:r w:rsidRPr="00B778A6">
          <w:rPr>
            <w:rFonts w:ascii="Times New Roman" w:hAnsi="Times New Roman"/>
            <w:noProof/>
            <w:webHidden/>
          </w:rPr>
          <w:fldChar w:fldCharType="begin"/>
        </w:r>
        <w:r w:rsidR="00DA1A2F" w:rsidRPr="00B778A6">
          <w:rPr>
            <w:rFonts w:ascii="Times New Roman" w:hAnsi="Times New Roman"/>
            <w:noProof/>
            <w:webHidden/>
          </w:rPr>
          <w:instrText xml:space="preserve"> PAGEREF _Toc34924495 \h </w:instrText>
        </w:r>
        <w:r w:rsidRPr="00B778A6">
          <w:rPr>
            <w:rFonts w:ascii="Times New Roman" w:hAnsi="Times New Roman"/>
            <w:noProof/>
            <w:webHidden/>
          </w:rPr>
        </w:r>
        <w:r w:rsidRPr="00B778A6">
          <w:rPr>
            <w:rFonts w:ascii="Times New Roman" w:hAnsi="Times New Roman"/>
            <w:noProof/>
            <w:webHidden/>
          </w:rPr>
          <w:fldChar w:fldCharType="separate"/>
        </w:r>
        <w:r w:rsidR="00C668D4">
          <w:rPr>
            <w:rFonts w:ascii="Times New Roman" w:hAnsi="Times New Roman"/>
            <w:noProof/>
            <w:webHidden/>
          </w:rPr>
          <w:t>33</w:t>
        </w:r>
        <w:r w:rsidRPr="00B778A6">
          <w:rPr>
            <w:rFonts w:ascii="Times New Roman" w:hAnsi="Times New Roman"/>
            <w:noProof/>
            <w:webHidden/>
          </w:rPr>
          <w:fldChar w:fldCharType="end"/>
        </w:r>
      </w:hyperlink>
    </w:p>
    <w:p w:rsidR="00DA1A2F" w:rsidRPr="00B778A6" w:rsidRDefault="0001670F">
      <w:pPr>
        <w:pStyle w:val="TOC3"/>
        <w:tabs>
          <w:tab w:val="right" w:leader="dot" w:pos="9628"/>
        </w:tabs>
        <w:rPr>
          <w:rFonts w:ascii="Times New Roman" w:hAnsi="Times New Roman"/>
          <w:noProof/>
        </w:rPr>
      </w:pPr>
      <w:hyperlink w:anchor="_Toc34924496" w:history="1">
        <w:r w:rsidR="00DA1A2F" w:rsidRPr="00B778A6">
          <w:rPr>
            <w:rStyle w:val="Hyperlink"/>
            <w:rFonts w:ascii="Times New Roman" w:hAnsi="Times New Roman"/>
            <w:noProof/>
          </w:rPr>
          <w:t>4.4.3. Kapitalo finansiniai rodikliai</w:t>
        </w:r>
        <w:r w:rsidR="00DA1A2F" w:rsidRPr="00B778A6">
          <w:rPr>
            <w:rFonts w:ascii="Times New Roman" w:hAnsi="Times New Roman"/>
            <w:noProof/>
            <w:webHidden/>
          </w:rPr>
          <w:tab/>
        </w:r>
        <w:r w:rsidRPr="00B778A6">
          <w:rPr>
            <w:rFonts w:ascii="Times New Roman" w:hAnsi="Times New Roman"/>
            <w:noProof/>
            <w:webHidden/>
          </w:rPr>
          <w:fldChar w:fldCharType="begin"/>
        </w:r>
        <w:r w:rsidR="00DA1A2F" w:rsidRPr="00B778A6">
          <w:rPr>
            <w:rFonts w:ascii="Times New Roman" w:hAnsi="Times New Roman"/>
            <w:noProof/>
            <w:webHidden/>
          </w:rPr>
          <w:instrText xml:space="preserve"> PAGEREF _Toc34924496 \h </w:instrText>
        </w:r>
        <w:r w:rsidRPr="00B778A6">
          <w:rPr>
            <w:rFonts w:ascii="Times New Roman" w:hAnsi="Times New Roman"/>
            <w:noProof/>
            <w:webHidden/>
          </w:rPr>
        </w:r>
        <w:r w:rsidRPr="00B778A6">
          <w:rPr>
            <w:rFonts w:ascii="Times New Roman" w:hAnsi="Times New Roman"/>
            <w:noProof/>
            <w:webHidden/>
          </w:rPr>
          <w:fldChar w:fldCharType="separate"/>
        </w:r>
        <w:r w:rsidR="00C668D4">
          <w:rPr>
            <w:rFonts w:ascii="Times New Roman" w:hAnsi="Times New Roman"/>
            <w:noProof/>
            <w:webHidden/>
          </w:rPr>
          <w:t>33</w:t>
        </w:r>
        <w:r w:rsidRPr="00B778A6">
          <w:rPr>
            <w:rFonts w:ascii="Times New Roman" w:hAnsi="Times New Roman"/>
            <w:noProof/>
            <w:webHidden/>
          </w:rPr>
          <w:fldChar w:fldCharType="end"/>
        </w:r>
      </w:hyperlink>
    </w:p>
    <w:p w:rsidR="00DA1A2F" w:rsidRPr="00B778A6" w:rsidRDefault="0001670F">
      <w:pPr>
        <w:pStyle w:val="TOC3"/>
        <w:tabs>
          <w:tab w:val="right" w:leader="dot" w:pos="9628"/>
        </w:tabs>
        <w:rPr>
          <w:rFonts w:ascii="Times New Roman" w:hAnsi="Times New Roman"/>
          <w:noProof/>
        </w:rPr>
      </w:pPr>
      <w:hyperlink w:anchor="_Toc34924497" w:history="1">
        <w:r w:rsidR="00DA1A2F" w:rsidRPr="00B778A6">
          <w:rPr>
            <w:rStyle w:val="Hyperlink"/>
            <w:rFonts w:ascii="Times New Roman" w:hAnsi="Times New Roman"/>
            <w:noProof/>
          </w:rPr>
          <w:t>4.4.4. Rodiklių palyginimas</w:t>
        </w:r>
        <w:r w:rsidR="00DA1A2F" w:rsidRPr="00B778A6">
          <w:rPr>
            <w:rFonts w:ascii="Times New Roman" w:hAnsi="Times New Roman"/>
            <w:noProof/>
            <w:webHidden/>
          </w:rPr>
          <w:tab/>
        </w:r>
        <w:r w:rsidRPr="00B778A6">
          <w:rPr>
            <w:rFonts w:ascii="Times New Roman" w:hAnsi="Times New Roman"/>
            <w:noProof/>
            <w:webHidden/>
          </w:rPr>
          <w:fldChar w:fldCharType="begin"/>
        </w:r>
        <w:r w:rsidR="00DA1A2F" w:rsidRPr="00B778A6">
          <w:rPr>
            <w:rFonts w:ascii="Times New Roman" w:hAnsi="Times New Roman"/>
            <w:noProof/>
            <w:webHidden/>
          </w:rPr>
          <w:instrText xml:space="preserve"> PAGEREF _Toc34924497 \h </w:instrText>
        </w:r>
        <w:r w:rsidRPr="00B778A6">
          <w:rPr>
            <w:rFonts w:ascii="Times New Roman" w:hAnsi="Times New Roman"/>
            <w:noProof/>
            <w:webHidden/>
          </w:rPr>
        </w:r>
        <w:r w:rsidRPr="00B778A6">
          <w:rPr>
            <w:rFonts w:ascii="Times New Roman" w:hAnsi="Times New Roman"/>
            <w:noProof/>
            <w:webHidden/>
          </w:rPr>
          <w:fldChar w:fldCharType="separate"/>
        </w:r>
        <w:r w:rsidR="00C668D4">
          <w:rPr>
            <w:rFonts w:ascii="Times New Roman" w:hAnsi="Times New Roman"/>
            <w:noProof/>
            <w:webHidden/>
          </w:rPr>
          <w:t>34</w:t>
        </w:r>
        <w:r w:rsidRPr="00B778A6">
          <w:rPr>
            <w:rFonts w:ascii="Times New Roman" w:hAnsi="Times New Roman"/>
            <w:noProof/>
            <w:webHidden/>
          </w:rPr>
          <w:fldChar w:fldCharType="end"/>
        </w:r>
      </w:hyperlink>
    </w:p>
    <w:p w:rsidR="00DA1A2F" w:rsidRPr="00B778A6" w:rsidRDefault="0001670F">
      <w:pPr>
        <w:pStyle w:val="TOC1"/>
        <w:rPr>
          <w:b w:val="0"/>
          <w:noProof/>
          <w:sz w:val="22"/>
        </w:rPr>
      </w:pPr>
      <w:hyperlink w:anchor="_Toc34924498" w:history="1">
        <w:r w:rsidR="00DA1A2F" w:rsidRPr="00B778A6">
          <w:rPr>
            <w:rStyle w:val="Hyperlink"/>
            <w:noProof/>
            <w:sz w:val="22"/>
          </w:rPr>
          <w:t>5. EKONOMINĖ ANALIZĖ</w:t>
        </w:r>
        <w:r w:rsidR="00DA1A2F" w:rsidRPr="00B778A6">
          <w:rPr>
            <w:noProof/>
            <w:webHidden/>
            <w:sz w:val="22"/>
          </w:rPr>
          <w:tab/>
        </w:r>
        <w:r w:rsidRPr="00B778A6">
          <w:rPr>
            <w:noProof/>
            <w:webHidden/>
            <w:sz w:val="22"/>
          </w:rPr>
          <w:fldChar w:fldCharType="begin"/>
        </w:r>
        <w:r w:rsidR="00DA1A2F" w:rsidRPr="00B778A6">
          <w:rPr>
            <w:noProof/>
            <w:webHidden/>
            <w:sz w:val="22"/>
          </w:rPr>
          <w:instrText xml:space="preserve"> PAGEREF _Toc34924498 \h </w:instrText>
        </w:r>
        <w:r w:rsidRPr="00B778A6">
          <w:rPr>
            <w:noProof/>
            <w:webHidden/>
            <w:sz w:val="22"/>
          </w:rPr>
        </w:r>
        <w:r w:rsidRPr="00B778A6">
          <w:rPr>
            <w:noProof/>
            <w:webHidden/>
            <w:sz w:val="22"/>
          </w:rPr>
          <w:fldChar w:fldCharType="separate"/>
        </w:r>
        <w:r w:rsidR="00C668D4">
          <w:rPr>
            <w:noProof/>
            <w:webHidden/>
            <w:sz w:val="22"/>
          </w:rPr>
          <w:t>35</w:t>
        </w:r>
        <w:r w:rsidRPr="00B778A6">
          <w:rPr>
            <w:noProof/>
            <w:webHidden/>
            <w:sz w:val="22"/>
          </w:rPr>
          <w:fldChar w:fldCharType="end"/>
        </w:r>
      </w:hyperlink>
    </w:p>
    <w:p w:rsidR="00DA1A2F" w:rsidRPr="00B778A6" w:rsidRDefault="0001670F">
      <w:pPr>
        <w:pStyle w:val="TOC2"/>
        <w:tabs>
          <w:tab w:val="right" w:leader="dot" w:pos="9628"/>
        </w:tabs>
        <w:rPr>
          <w:rFonts w:ascii="Times New Roman" w:hAnsi="Times New Roman"/>
          <w:noProof/>
        </w:rPr>
      </w:pPr>
      <w:hyperlink w:anchor="_Toc34924499" w:history="1">
        <w:r w:rsidR="00DA1A2F" w:rsidRPr="00B778A6">
          <w:rPr>
            <w:rStyle w:val="Hyperlink"/>
            <w:rFonts w:ascii="Times New Roman" w:hAnsi="Times New Roman"/>
            <w:noProof/>
          </w:rPr>
          <w:t>5.1. Rinkos kainų pavertimas į ekonomines</w:t>
        </w:r>
        <w:r w:rsidR="00DA1A2F" w:rsidRPr="00B778A6">
          <w:rPr>
            <w:rFonts w:ascii="Times New Roman" w:hAnsi="Times New Roman"/>
            <w:noProof/>
            <w:webHidden/>
          </w:rPr>
          <w:tab/>
        </w:r>
        <w:r w:rsidRPr="00B778A6">
          <w:rPr>
            <w:rFonts w:ascii="Times New Roman" w:hAnsi="Times New Roman"/>
            <w:noProof/>
            <w:webHidden/>
          </w:rPr>
          <w:fldChar w:fldCharType="begin"/>
        </w:r>
        <w:r w:rsidR="00DA1A2F" w:rsidRPr="00B778A6">
          <w:rPr>
            <w:rFonts w:ascii="Times New Roman" w:hAnsi="Times New Roman"/>
            <w:noProof/>
            <w:webHidden/>
          </w:rPr>
          <w:instrText xml:space="preserve"> PAGEREF _Toc34924499 \h </w:instrText>
        </w:r>
        <w:r w:rsidRPr="00B778A6">
          <w:rPr>
            <w:rFonts w:ascii="Times New Roman" w:hAnsi="Times New Roman"/>
            <w:noProof/>
            <w:webHidden/>
          </w:rPr>
        </w:r>
        <w:r w:rsidRPr="00B778A6">
          <w:rPr>
            <w:rFonts w:ascii="Times New Roman" w:hAnsi="Times New Roman"/>
            <w:noProof/>
            <w:webHidden/>
          </w:rPr>
          <w:fldChar w:fldCharType="separate"/>
        </w:r>
        <w:r w:rsidR="00C668D4">
          <w:rPr>
            <w:rFonts w:ascii="Times New Roman" w:hAnsi="Times New Roman"/>
            <w:noProof/>
            <w:webHidden/>
          </w:rPr>
          <w:t>35</w:t>
        </w:r>
        <w:r w:rsidRPr="00B778A6">
          <w:rPr>
            <w:rFonts w:ascii="Times New Roman" w:hAnsi="Times New Roman"/>
            <w:noProof/>
            <w:webHidden/>
          </w:rPr>
          <w:fldChar w:fldCharType="end"/>
        </w:r>
      </w:hyperlink>
    </w:p>
    <w:p w:rsidR="00DA1A2F" w:rsidRPr="00B778A6" w:rsidRDefault="0001670F">
      <w:pPr>
        <w:pStyle w:val="TOC2"/>
        <w:tabs>
          <w:tab w:val="right" w:leader="dot" w:pos="9628"/>
        </w:tabs>
        <w:rPr>
          <w:rFonts w:ascii="Times New Roman" w:hAnsi="Times New Roman"/>
          <w:noProof/>
        </w:rPr>
      </w:pPr>
      <w:hyperlink w:anchor="_Toc34924500" w:history="1">
        <w:r w:rsidR="00DA1A2F" w:rsidRPr="00B778A6">
          <w:rPr>
            <w:rStyle w:val="Hyperlink"/>
            <w:rFonts w:ascii="Times New Roman" w:hAnsi="Times New Roman"/>
            <w:noProof/>
          </w:rPr>
          <w:t>5.2. Socialinė diskonto norma</w:t>
        </w:r>
        <w:r w:rsidR="00DA1A2F" w:rsidRPr="00B778A6">
          <w:rPr>
            <w:rFonts w:ascii="Times New Roman" w:hAnsi="Times New Roman"/>
            <w:noProof/>
            <w:webHidden/>
          </w:rPr>
          <w:tab/>
        </w:r>
        <w:r w:rsidRPr="00B778A6">
          <w:rPr>
            <w:rFonts w:ascii="Times New Roman" w:hAnsi="Times New Roman"/>
            <w:noProof/>
            <w:webHidden/>
          </w:rPr>
          <w:fldChar w:fldCharType="begin"/>
        </w:r>
        <w:r w:rsidR="00DA1A2F" w:rsidRPr="00B778A6">
          <w:rPr>
            <w:rFonts w:ascii="Times New Roman" w:hAnsi="Times New Roman"/>
            <w:noProof/>
            <w:webHidden/>
          </w:rPr>
          <w:instrText xml:space="preserve"> PAGEREF _Toc34924500 \h </w:instrText>
        </w:r>
        <w:r w:rsidRPr="00B778A6">
          <w:rPr>
            <w:rFonts w:ascii="Times New Roman" w:hAnsi="Times New Roman"/>
            <w:noProof/>
            <w:webHidden/>
          </w:rPr>
        </w:r>
        <w:r w:rsidRPr="00B778A6">
          <w:rPr>
            <w:rFonts w:ascii="Times New Roman" w:hAnsi="Times New Roman"/>
            <w:noProof/>
            <w:webHidden/>
          </w:rPr>
          <w:fldChar w:fldCharType="separate"/>
        </w:r>
        <w:r w:rsidR="00C668D4">
          <w:rPr>
            <w:rFonts w:ascii="Times New Roman" w:hAnsi="Times New Roman"/>
            <w:noProof/>
            <w:webHidden/>
          </w:rPr>
          <w:t>35</w:t>
        </w:r>
        <w:r w:rsidRPr="00B778A6">
          <w:rPr>
            <w:rFonts w:ascii="Times New Roman" w:hAnsi="Times New Roman"/>
            <w:noProof/>
            <w:webHidden/>
          </w:rPr>
          <w:fldChar w:fldCharType="end"/>
        </w:r>
      </w:hyperlink>
    </w:p>
    <w:p w:rsidR="00DA1A2F" w:rsidRPr="00B778A6" w:rsidRDefault="0001670F">
      <w:pPr>
        <w:pStyle w:val="TOC2"/>
        <w:tabs>
          <w:tab w:val="right" w:leader="dot" w:pos="9628"/>
        </w:tabs>
        <w:rPr>
          <w:rFonts w:ascii="Times New Roman" w:hAnsi="Times New Roman"/>
          <w:noProof/>
        </w:rPr>
      </w:pPr>
      <w:hyperlink w:anchor="_Toc34924501" w:history="1">
        <w:r w:rsidR="00DA1A2F" w:rsidRPr="00B778A6">
          <w:rPr>
            <w:rStyle w:val="Hyperlink"/>
            <w:rFonts w:ascii="Times New Roman" w:hAnsi="Times New Roman"/>
            <w:noProof/>
          </w:rPr>
          <w:t>5.3. Išorinio poveikio įvertinimas</w:t>
        </w:r>
        <w:r w:rsidR="00DA1A2F" w:rsidRPr="00B778A6">
          <w:rPr>
            <w:rFonts w:ascii="Times New Roman" w:hAnsi="Times New Roman"/>
            <w:noProof/>
            <w:webHidden/>
          </w:rPr>
          <w:tab/>
        </w:r>
        <w:r w:rsidRPr="00B778A6">
          <w:rPr>
            <w:rFonts w:ascii="Times New Roman" w:hAnsi="Times New Roman"/>
            <w:noProof/>
            <w:webHidden/>
          </w:rPr>
          <w:fldChar w:fldCharType="begin"/>
        </w:r>
        <w:r w:rsidR="00DA1A2F" w:rsidRPr="00B778A6">
          <w:rPr>
            <w:rFonts w:ascii="Times New Roman" w:hAnsi="Times New Roman"/>
            <w:noProof/>
            <w:webHidden/>
          </w:rPr>
          <w:instrText xml:space="preserve"> PAGEREF _Toc34924501 \h </w:instrText>
        </w:r>
        <w:r w:rsidRPr="00B778A6">
          <w:rPr>
            <w:rFonts w:ascii="Times New Roman" w:hAnsi="Times New Roman"/>
            <w:noProof/>
            <w:webHidden/>
          </w:rPr>
        </w:r>
        <w:r w:rsidRPr="00B778A6">
          <w:rPr>
            <w:rFonts w:ascii="Times New Roman" w:hAnsi="Times New Roman"/>
            <w:noProof/>
            <w:webHidden/>
          </w:rPr>
          <w:fldChar w:fldCharType="separate"/>
        </w:r>
        <w:r w:rsidR="00C668D4">
          <w:rPr>
            <w:rFonts w:ascii="Times New Roman" w:hAnsi="Times New Roman"/>
            <w:noProof/>
            <w:webHidden/>
          </w:rPr>
          <w:t>35</w:t>
        </w:r>
        <w:r w:rsidRPr="00B778A6">
          <w:rPr>
            <w:rFonts w:ascii="Times New Roman" w:hAnsi="Times New Roman"/>
            <w:noProof/>
            <w:webHidden/>
          </w:rPr>
          <w:fldChar w:fldCharType="end"/>
        </w:r>
      </w:hyperlink>
    </w:p>
    <w:p w:rsidR="00DA1A2F" w:rsidRPr="00B778A6" w:rsidRDefault="0001670F">
      <w:pPr>
        <w:pStyle w:val="TOC2"/>
        <w:tabs>
          <w:tab w:val="right" w:leader="dot" w:pos="9628"/>
        </w:tabs>
        <w:rPr>
          <w:rFonts w:ascii="Times New Roman" w:hAnsi="Times New Roman"/>
          <w:noProof/>
        </w:rPr>
      </w:pPr>
      <w:hyperlink w:anchor="_Toc34924502" w:history="1">
        <w:r w:rsidR="00DA1A2F" w:rsidRPr="00B778A6">
          <w:rPr>
            <w:rStyle w:val="Hyperlink"/>
            <w:rFonts w:ascii="Times New Roman" w:hAnsi="Times New Roman"/>
            <w:noProof/>
          </w:rPr>
          <w:t>5.4. Ekonominiai  rodikliai</w:t>
        </w:r>
        <w:r w:rsidR="00DA1A2F" w:rsidRPr="00B778A6">
          <w:rPr>
            <w:rFonts w:ascii="Times New Roman" w:hAnsi="Times New Roman"/>
            <w:noProof/>
            <w:webHidden/>
          </w:rPr>
          <w:tab/>
        </w:r>
        <w:r w:rsidRPr="00B778A6">
          <w:rPr>
            <w:rFonts w:ascii="Times New Roman" w:hAnsi="Times New Roman"/>
            <w:noProof/>
            <w:webHidden/>
          </w:rPr>
          <w:fldChar w:fldCharType="begin"/>
        </w:r>
        <w:r w:rsidR="00DA1A2F" w:rsidRPr="00B778A6">
          <w:rPr>
            <w:rFonts w:ascii="Times New Roman" w:hAnsi="Times New Roman"/>
            <w:noProof/>
            <w:webHidden/>
          </w:rPr>
          <w:instrText xml:space="preserve"> PAGEREF _Toc34924502 \h </w:instrText>
        </w:r>
        <w:r w:rsidRPr="00B778A6">
          <w:rPr>
            <w:rFonts w:ascii="Times New Roman" w:hAnsi="Times New Roman"/>
            <w:noProof/>
            <w:webHidden/>
          </w:rPr>
        </w:r>
        <w:r w:rsidRPr="00B778A6">
          <w:rPr>
            <w:rFonts w:ascii="Times New Roman" w:hAnsi="Times New Roman"/>
            <w:noProof/>
            <w:webHidden/>
          </w:rPr>
          <w:fldChar w:fldCharType="separate"/>
        </w:r>
        <w:r w:rsidR="00C668D4">
          <w:rPr>
            <w:rFonts w:ascii="Times New Roman" w:hAnsi="Times New Roman"/>
            <w:noProof/>
            <w:webHidden/>
          </w:rPr>
          <w:t>37</w:t>
        </w:r>
        <w:r w:rsidRPr="00B778A6">
          <w:rPr>
            <w:rFonts w:ascii="Times New Roman" w:hAnsi="Times New Roman"/>
            <w:noProof/>
            <w:webHidden/>
          </w:rPr>
          <w:fldChar w:fldCharType="end"/>
        </w:r>
      </w:hyperlink>
    </w:p>
    <w:p w:rsidR="00DA1A2F" w:rsidRPr="00B778A6" w:rsidRDefault="0001670F">
      <w:pPr>
        <w:pStyle w:val="TOC2"/>
        <w:tabs>
          <w:tab w:val="right" w:leader="dot" w:pos="9628"/>
        </w:tabs>
        <w:rPr>
          <w:rFonts w:ascii="Times New Roman" w:hAnsi="Times New Roman"/>
          <w:noProof/>
        </w:rPr>
      </w:pPr>
      <w:hyperlink w:anchor="_Toc34924503" w:history="1">
        <w:r w:rsidR="00DA1A2F" w:rsidRPr="00B778A6">
          <w:rPr>
            <w:rStyle w:val="Hyperlink"/>
            <w:rFonts w:ascii="Times New Roman" w:hAnsi="Times New Roman"/>
            <w:noProof/>
          </w:rPr>
          <w:t>5.5. Optimalios alternatyvos parinkimas</w:t>
        </w:r>
        <w:r w:rsidR="00DA1A2F" w:rsidRPr="00B778A6">
          <w:rPr>
            <w:rFonts w:ascii="Times New Roman" w:hAnsi="Times New Roman"/>
            <w:noProof/>
            <w:webHidden/>
          </w:rPr>
          <w:tab/>
        </w:r>
        <w:r w:rsidRPr="00B778A6">
          <w:rPr>
            <w:rFonts w:ascii="Times New Roman" w:hAnsi="Times New Roman"/>
            <w:noProof/>
            <w:webHidden/>
          </w:rPr>
          <w:fldChar w:fldCharType="begin"/>
        </w:r>
        <w:r w:rsidR="00DA1A2F" w:rsidRPr="00B778A6">
          <w:rPr>
            <w:rFonts w:ascii="Times New Roman" w:hAnsi="Times New Roman"/>
            <w:noProof/>
            <w:webHidden/>
          </w:rPr>
          <w:instrText xml:space="preserve"> PAGEREF _Toc34924503 \h </w:instrText>
        </w:r>
        <w:r w:rsidRPr="00B778A6">
          <w:rPr>
            <w:rFonts w:ascii="Times New Roman" w:hAnsi="Times New Roman"/>
            <w:noProof/>
            <w:webHidden/>
          </w:rPr>
        </w:r>
        <w:r w:rsidRPr="00B778A6">
          <w:rPr>
            <w:rFonts w:ascii="Times New Roman" w:hAnsi="Times New Roman"/>
            <w:noProof/>
            <w:webHidden/>
          </w:rPr>
          <w:fldChar w:fldCharType="separate"/>
        </w:r>
        <w:r w:rsidR="00C668D4">
          <w:rPr>
            <w:rFonts w:ascii="Times New Roman" w:hAnsi="Times New Roman"/>
            <w:noProof/>
            <w:webHidden/>
          </w:rPr>
          <w:t>38</w:t>
        </w:r>
        <w:r w:rsidRPr="00B778A6">
          <w:rPr>
            <w:rFonts w:ascii="Times New Roman" w:hAnsi="Times New Roman"/>
            <w:noProof/>
            <w:webHidden/>
          </w:rPr>
          <w:fldChar w:fldCharType="end"/>
        </w:r>
      </w:hyperlink>
    </w:p>
    <w:p w:rsidR="00DA1A2F" w:rsidRPr="00B778A6" w:rsidRDefault="0001670F">
      <w:pPr>
        <w:pStyle w:val="TOC1"/>
        <w:rPr>
          <w:b w:val="0"/>
          <w:noProof/>
          <w:sz w:val="22"/>
        </w:rPr>
      </w:pPr>
      <w:hyperlink w:anchor="_Toc34924504" w:history="1">
        <w:r w:rsidR="00DA1A2F" w:rsidRPr="00B778A6">
          <w:rPr>
            <w:rStyle w:val="Hyperlink"/>
            <w:noProof/>
            <w:sz w:val="22"/>
          </w:rPr>
          <w:t>6. JAUTRUMAS IR RIZIKOS</w:t>
        </w:r>
        <w:r w:rsidR="00DA1A2F" w:rsidRPr="00B778A6">
          <w:rPr>
            <w:noProof/>
            <w:webHidden/>
            <w:sz w:val="22"/>
          </w:rPr>
          <w:tab/>
        </w:r>
        <w:r w:rsidRPr="00B778A6">
          <w:rPr>
            <w:noProof/>
            <w:webHidden/>
            <w:sz w:val="22"/>
          </w:rPr>
          <w:fldChar w:fldCharType="begin"/>
        </w:r>
        <w:r w:rsidR="00DA1A2F" w:rsidRPr="00B778A6">
          <w:rPr>
            <w:noProof/>
            <w:webHidden/>
            <w:sz w:val="22"/>
          </w:rPr>
          <w:instrText xml:space="preserve"> PAGEREF _Toc34924504 \h </w:instrText>
        </w:r>
        <w:r w:rsidRPr="00B778A6">
          <w:rPr>
            <w:noProof/>
            <w:webHidden/>
            <w:sz w:val="22"/>
          </w:rPr>
        </w:r>
        <w:r w:rsidRPr="00B778A6">
          <w:rPr>
            <w:noProof/>
            <w:webHidden/>
            <w:sz w:val="22"/>
          </w:rPr>
          <w:fldChar w:fldCharType="separate"/>
        </w:r>
        <w:r w:rsidR="00C668D4">
          <w:rPr>
            <w:noProof/>
            <w:webHidden/>
            <w:sz w:val="22"/>
          </w:rPr>
          <w:t>39</w:t>
        </w:r>
        <w:r w:rsidRPr="00B778A6">
          <w:rPr>
            <w:noProof/>
            <w:webHidden/>
            <w:sz w:val="22"/>
          </w:rPr>
          <w:fldChar w:fldCharType="end"/>
        </w:r>
      </w:hyperlink>
    </w:p>
    <w:p w:rsidR="00DA1A2F" w:rsidRPr="00B778A6" w:rsidRDefault="0001670F">
      <w:pPr>
        <w:pStyle w:val="TOC2"/>
        <w:tabs>
          <w:tab w:val="right" w:leader="dot" w:pos="9628"/>
        </w:tabs>
        <w:rPr>
          <w:rFonts w:ascii="Times New Roman" w:hAnsi="Times New Roman"/>
          <w:noProof/>
        </w:rPr>
      </w:pPr>
      <w:hyperlink w:anchor="_Toc34924505" w:history="1">
        <w:r w:rsidR="00DA1A2F" w:rsidRPr="00B778A6">
          <w:rPr>
            <w:rStyle w:val="Hyperlink"/>
            <w:rFonts w:ascii="Times New Roman" w:hAnsi="Times New Roman"/>
            <w:noProof/>
          </w:rPr>
          <w:t>6.1. Jautrumo analizė</w:t>
        </w:r>
        <w:r w:rsidR="00DA1A2F" w:rsidRPr="00B778A6">
          <w:rPr>
            <w:rFonts w:ascii="Times New Roman" w:hAnsi="Times New Roman"/>
            <w:noProof/>
            <w:webHidden/>
          </w:rPr>
          <w:tab/>
        </w:r>
        <w:r w:rsidRPr="00B778A6">
          <w:rPr>
            <w:rFonts w:ascii="Times New Roman" w:hAnsi="Times New Roman"/>
            <w:noProof/>
            <w:webHidden/>
          </w:rPr>
          <w:fldChar w:fldCharType="begin"/>
        </w:r>
        <w:r w:rsidR="00DA1A2F" w:rsidRPr="00B778A6">
          <w:rPr>
            <w:rFonts w:ascii="Times New Roman" w:hAnsi="Times New Roman"/>
            <w:noProof/>
            <w:webHidden/>
          </w:rPr>
          <w:instrText xml:space="preserve"> PAGEREF _Toc34924505 \h </w:instrText>
        </w:r>
        <w:r w:rsidRPr="00B778A6">
          <w:rPr>
            <w:rFonts w:ascii="Times New Roman" w:hAnsi="Times New Roman"/>
            <w:noProof/>
            <w:webHidden/>
          </w:rPr>
        </w:r>
        <w:r w:rsidRPr="00B778A6">
          <w:rPr>
            <w:rFonts w:ascii="Times New Roman" w:hAnsi="Times New Roman"/>
            <w:noProof/>
            <w:webHidden/>
          </w:rPr>
          <w:fldChar w:fldCharType="separate"/>
        </w:r>
        <w:r w:rsidR="00C668D4">
          <w:rPr>
            <w:rFonts w:ascii="Times New Roman" w:hAnsi="Times New Roman"/>
            <w:noProof/>
            <w:webHidden/>
          </w:rPr>
          <w:t>39</w:t>
        </w:r>
        <w:r w:rsidRPr="00B778A6">
          <w:rPr>
            <w:rFonts w:ascii="Times New Roman" w:hAnsi="Times New Roman"/>
            <w:noProof/>
            <w:webHidden/>
          </w:rPr>
          <w:fldChar w:fldCharType="end"/>
        </w:r>
      </w:hyperlink>
    </w:p>
    <w:p w:rsidR="00DA1A2F" w:rsidRPr="00B778A6" w:rsidRDefault="0001670F">
      <w:pPr>
        <w:pStyle w:val="TOC3"/>
        <w:tabs>
          <w:tab w:val="right" w:leader="dot" w:pos="9628"/>
        </w:tabs>
        <w:rPr>
          <w:rFonts w:ascii="Times New Roman" w:hAnsi="Times New Roman"/>
          <w:noProof/>
        </w:rPr>
      </w:pPr>
      <w:hyperlink w:anchor="_Toc34924506" w:history="1">
        <w:r w:rsidR="00DA1A2F" w:rsidRPr="00B778A6">
          <w:rPr>
            <w:rStyle w:val="Hyperlink"/>
            <w:rFonts w:ascii="Times New Roman" w:hAnsi="Times New Roman"/>
            <w:noProof/>
          </w:rPr>
          <w:t>6.1.1. Kintamųjų nustatymas</w:t>
        </w:r>
        <w:r w:rsidR="00DA1A2F" w:rsidRPr="00B778A6">
          <w:rPr>
            <w:rFonts w:ascii="Times New Roman" w:hAnsi="Times New Roman"/>
            <w:noProof/>
            <w:webHidden/>
          </w:rPr>
          <w:tab/>
        </w:r>
        <w:r w:rsidRPr="00B778A6">
          <w:rPr>
            <w:rFonts w:ascii="Times New Roman" w:hAnsi="Times New Roman"/>
            <w:noProof/>
            <w:webHidden/>
          </w:rPr>
          <w:fldChar w:fldCharType="begin"/>
        </w:r>
        <w:r w:rsidR="00DA1A2F" w:rsidRPr="00B778A6">
          <w:rPr>
            <w:rFonts w:ascii="Times New Roman" w:hAnsi="Times New Roman"/>
            <w:noProof/>
            <w:webHidden/>
          </w:rPr>
          <w:instrText xml:space="preserve"> PAGEREF _Toc34924506 \h </w:instrText>
        </w:r>
        <w:r w:rsidRPr="00B778A6">
          <w:rPr>
            <w:rFonts w:ascii="Times New Roman" w:hAnsi="Times New Roman"/>
            <w:noProof/>
            <w:webHidden/>
          </w:rPr>
        </w:r>
        <w:r w:rsidRPr="00B778A6">
          <w:rPr>
            <w:rFonts w:ascii="Times New Roman" w:hAnsi="Times New Roman"/>
            <w:noProof/>
            <w:webHidden/>
          </w:rPr>
          <w:fldChar w:fldCharType="separate"/>
        </w:r>
        <w:r w:rsidR="00C668D4">
          <w:rPr>
            <w:rFonts w:ascii="Times New Roman" w:hAnsi="Times New Roman"/>
            <w:noProof/>
            <w:webHidden/>
          </w:rPr>
          <w:t>39</w:t>
        </w:r>
        <w:r w:rsidRPr="00B778A6">
          <w:rPr>
            <w:rFonts w:ascii="Times New Roman" w:hAnsi="Times New Roman"/>
            <w:noProof/>
            <w:webHidden/>
          </w:rPr>
          <w:fldChar w:fldCharType="end"/>
        </w:r>
      </w:hyperlink>
    </w:p>
    <w:p w:rsidR="00DA1A2F" w:rsidRPr="00B778A6" w:rsidRDefault="0001670F">
      <w:pPr>
        <w:pStyle w:val="TOC3"/>
        <w:tabs>
          <w:tab w:val="right" w:leader="dot" w:pos="9628"/>
        </w:tabs>
        <w:rPr>
          <w:rFonts w:ascii="Times New Roman" w:hAnsi="Times New Roman"/>
          <w:noProof/>
        </w:rPr>
      </w:pPr>
      <w:hyperlink w:anchor="_Toc34924507" w:history="1">
        <w:r w:rsidR="00DA1A2F" w:rsidRPr="00B778A6">
          <w:rPr>
            <w:rStyle w:val="Hyperlink"/>
            <w:rFonts w:ascii="Times New Roman" w:hAnsi="Times New Roman"/>
            <w:noProof/>
          </w:rPr>
          <w:t>6.1.2. Tarpusavio priklausomybės įvertinimas</w:t>
        </w:r>
        <w:r w:rsidR="00DA1A2F" w:rsidRPr="00B778A6">
          <w:rPr>
            <w:rFonts w:ascii="Times New Roman" w:hAnsi="Times New Roman"/>
            <w:noProof/>
            <w:webHidden/>
          </w:rPr>
          <w:tab/>
        </w:r>
        <w:r w:rsidRPr="00B778A6">
          <w:rPr>
            <w:rFonts w:ascii="Times New Roman" w:hAnsi="Times New Roman"/>
            <w:noProof/>
            <w:webHidden/>
          </w:rPr>
          <w:fldChar w:fldCharType="begin"/>
        </w:r>
        <w:r w:rsidR="00DA1A2F" w:rsidRPr="00B778A6">
          <w:rPr>
            <w:rFonts w:ascii="Times New Roman" w:hAnsi="Times New Roman"/>
            <w:noProof/>
            <w:webHidden/>
          </w:rPr>
          <w:instrText xml:space="preserve"> PAGEREF _Toc34924507 \h </w:instrText>
        </w:r>
        <w:r w:rsidRPr="00B778A6">
          <w:rPr>
            <w:rFonts w:ascii="Times New Roman" w:hAnsi="Times New Roman"/>
            <w:noProof/>
            <w:webHidden/>
          </w:rPr>
        </w:r>
        <w:r w:rsidRPr="00B778A6">
          <w:rPr>
            <w:rFonts w:ascii="Times New Roman" w:hAnsi="Times New Roman"/>
            <w:noProof/>
            <w:webHidden/>
          </w:rPr>
          <w:fldChar w:fldCharType="separate"/>
        </w:r>
        <w:r w:rsidR="00C668D4">
          <w:rPr>
            <w:rFonts w:ascii="Times New Roman" w:hAnsi="Times New Roman"/>
            <w:noProof/>
            <w:webHidden/>
          </w:rPr>
          <w:t>39</w:t>
        </w:r>
        <w:r w:rsidRPr="00B778A6">
          <w:rPr>
            <w:rFonts w:ascii="Times New Roman" w:hAnsi="Times New Roman"/>
            <w:noProof/>
            <w:webHidden/>
          </w:rPr>
          <w:fldChar w:fldCharType="end"/>
        </w:r>
      </w:hyperlink>
    </w:p>
    <w:p w:rsidR="00DA1A2F" w:rsidRPr="00B778A6" w:rsidRDefault="0001670F">
      <w:pPr>
        <w:pStyle w:val="TOC3"/>
        <w:tabs>
          <w:tab w:val="right" w:leader="dot" w:pos="9628"/>
        </w:tabs>
        <w:rPr>
          <w:rFonts w:ascii="Times New Roman" w:hAnsi="Times New Roman"/>
          <w:noProof/>
        </w:rPr>
      </w:pPr>
      <w:hyperlink w:anchor="_Toc34924508" w:history="1">
        <w:r w:rsidR="00DA1A2F" w:rsidRPr="00B778A6">
          <w:rPr>
            <w:rStyle w:val="Hyperlink"/>
            <w:rFonts w:ascii="Times New Roman" w:hAnsi="Times New Roman"/>
            <w:noProof/>
          </w:rPr>
          <w:t>6.1.3. Elastingumo analizė</w:t>
        </w:r>
        <w:r w:rsidR="00DA1A2F" w:rsidRPr="00B778A6">
          <w:rPr>
            <w:rFonts w:ascii="Times New Roman" w:hAnsi="Times New Roman"/>
            <w:noProof/>
            <w:webHidden/>
          </w:rPr>
          <w:tab/>
        </w:r>
        <w:r w:rsidRPr="00B778A6">
          <w:rPr>
            <w:rFonts w:ascii="Times New Roman" w:hAnsi="Times New Roman"/>
            <w:noProof/>
            <w:webHidden/>
          </w:rPr>
          <w:fldChar w:fldCharType="begin"/>
        </w:r>
        <w:r w:rsidR="00DA1A2F" w:rsidRPr="00B778A6">
          <w:rPr>
            <w:rFonts w:ascii="Times New Roman" w:hAnsi="Times New Roman"/>
            <w:noProof/>
            <w:webHidden/>
          </w:rPr>
          <w:instrText xml:space="preserve"> PAGEREF _Toc34924508 \h </w:instrText>
        </w:r>
        <w:r w:rsidRPr="00B778A6">
          <w:rPr>
            <w:rFonts w:ascii="Times New Roman" w:hAnsi="Times New Roman"/>
            <w:noProof/>
            <w:webHidden/>
          </w:rPr>
        </w:r>
        <w:r w:rsidRPr="00B778A6">
          <w:rPr>
            <w:rFonts w:ascii="Times New Roman" w:hAnsi="Times New Roman"/>
            <w:noProof/>
            <w:webHidden/>
          </w:rPr>
          <w:fldChar w:fldCharType="separate"/>
        </w:r>
        <w:r w:rsidR="00C668D4">
          <w:rPr>
            <w:rFonts w:ascii="Times New Roman" w:hAnsi="Times New Roman"/>
            <w:noProof/>
            <w:webHidden/>
          </w:rPr>
          <w:t>39</w:t>
        </w:r>
        <w:r w:rsidRPr="00B778A6">
          <w:rPr>
            <w:rFonts w:ascii="Times New Roman" w:hAnsi="Times New Roman"/>
            <w:noProof/>
            <w:webHidden/>
          </w:rPr>
          <w:fldChar w:fldCharType="end"/>
        </w:r>
      </w:hyperlink>
    </w:p>
    <w:p w:rsidR="00DA1A2F" w:rsidRPr="00B778A6" w:rsidRDefault="0001670F">
      <w:pPr>
        <w:pStyle w:val="TOC3"/>
        <w:tabs>
          <w:tab w:val="right" w:leader="dot" w:pos="9628"/>
        </w:tabs>
        <w:rPr>
          <w:rFonts w:ascii="Times New Roman" w:hAnsi="Times New Roman"/>
          <w:noProof/>
        </w:rPr>
      </w:pPr>
      <w:hyperlink w:anchor="_Toc34924509" w:history="1">
        <w:r w:rsidR="00DA1A2F" w:rsidRPr="00B778A6">
          <w:rPr>
            <w:rStyle w:val="Hyperlink"/>
            <w:rFonts w:ascii="Times New Roman" w:hAnsi="Times New Roman"/>
            <w:noProof/>
          </w:rPr>
          <w:t>6.1.4. Kritiniai kintamieji</w:t>
        </w:r>
        <w:r w:rsidR="00DA1A2F" w:rsidRPr="00B778A6">
          <w:rPr>
            <w:rFonts w:ascii="Times New Roman" w:hAnsi="Times New Roman"/>
            <w:noProof/>
            <w:webHidden/>
          </w:rPr>
          <w:tab/>
        </w:r>
        <w:r w:rsidRPr="00B778A6">
          <w:rPr>
            <w:rFonts w:ascii="Times New Roman" w:hAnsi="Times New Roman"/>
            <w:noProof/>
            <w:webHidden/>
          </w:rPr>
          <w:fldChar w:fldCharType="begin"/>
        </w:r>
        <w:r w:rsidR="00DA1A2F" w:rsidRPr="00B778A6">
          <w:rPr>
            <w:rFonts w:ascii="Times New Roman" w:hAnsi="Times New Roman"/>
            <w:noProof/>
            <w:webHidden/>
          </w:rPr>
          <w:instrText xml:space="preserve"> PAGEREF _Toc34924509 \h </w:instrText>
        </w:r>
        <w:r w:rsidRPr="00B778A6">
          <w:rPr>
            <w:rFonts w:ascii="Times New Roman" w:hAnsi="Times New Roman"/>
            <w:noProof/>
            <w:webHidden/>
          </w:rPr>
        </w:r>
        <w:r w:rsidRPr="00B778A6">
          <w:rPr>
            <w:rFonts w:ascii="Times New Roman" w:hAnsi="Times New Roman"/>
            <w:noProof/>
            <w:webHidden/>
          </w:rPr>
          <w:fldChar w:fldCharType="separate"/>
        </w:r>
        <w:r w:rsidR="00C668D4">
          <w:rPr>
            <w:rFonts w:ascii="Times New Roman" w:hAnsi="Times New Roman"/>
            <w:noProof/>
            <w:webHidden/>
          </w:rPr>
          <w:t>39</w:t>
        </w:r>
        <w:r w:rsidRPr="00B778A6">
          <w:rPr>
            <w:rFonts w:ascii="Times New Roman" w:hAnsi="Times New Roman"/>
            <w:noProof/>
            <w:webHidden/>
          </w:rPr>
          <w:fldChar w:fldCharType="end"/>
        </w:r>
      </w:hyperlink>
    </w:p>
    <w:p w:rsidR="00DA1A2F" w:rsidRPr="00B778A6" w:rsidRDefault="0001670F">
      <w:pPr>
        <w:pStyle w:val="TOC2"/>
        <w:tabs>
          <w:tab w:val="right" w:leader="dot" w:pos="9628"/>
        </w:tabs>
        <w:rPr>
          <w:rFonts w:ascii="Times New Roman" w:hAnsi="Times New Roman"/>
          <w:noProof/>
        </w:rPr>
      </w:pPr>
      <w:hyperlink w:anchor="_Toc34924510" w:history="1">
        <w:r w:rsidR="00DA1A2F" w:rsidRPr="00B778A6">
          <w:rPr>
            <w:rStyle w:val="Hyperlink"/>
            <w:rFonts w:ascii="Times New Roman" w:hAnsi="Times New Roman"/>
            <w:noProof/>
          </w:rPr>
          <w:t>6.2. Scenarijų analizė</w:t>
        </w:r>
        <w:r w:rsidR="00DA1A2F" w:rsidRPr="00B778A6">
          <w:rPr>
            <w:rFonts w:ascii="Times New Roman" w:hAnsi="Times New Roman"/>
            <w:noProof/>
            <w:webHidden/>
          </w:rPr>
          <w:tab/>
        </w:r>
        <w:r w:rsidRPr="00B778A6">
          <w:rPr>
            <w:rFonts w:ascii="Times New Roman" w:hAnsi="Times New Roman"/>
            <w:noProof/>
            <w:webHidden/>
          </w:rPr>
          <w:fldChar w:fldCharType="begin"/>
        </w:r>
        <w:r w:rsidR="00DA1A2F" w:rsidRPr="00B778A6">
          <w:rPr>
            <w:rFonts w:ascii="Times New Roman" w:hAnsi="Times New Roman"/>
            <w:noProof/>
            <w:webHidden/>
          </w:rPr>
          <w:instrText xml:space="preserve"> PAGEREF _Toc34924510 \h </w:instrText>
        </w:r>
        <w:r w:rsidRPr="00B778A6">
          <w:rPr>
            <w:rFonts w:ascii="Times New Roman" w:hAnsi="Times New Roman"/>
            <w:noProof/>
            <w:webHidden/>
          </w:rPr>
        </w:r>
        <w:r w:rsidRPr="00B778A6">
          <w:rPr>
            <w:rFonts w:ascii="Times New Roman" w:hAnsi="Times New Roman"/>
            <w:noProof/>
            <w:webHidden/>
          </w:rPr>
          <w:fldChar w:fldCharType="separate"/>
        </w:r>
        <w:r w:rsidR="00C668D4">
          <w:rPr>
            <w:rFonts w:ascii="Times New Roman" w:hAnsi="Times New Roman"/>
            <w:noProof/>
            <w:webHidden/>
          </w:rPr>
          <w:t>39</w:t>
        </w:r>
        <w:r w:rsidRPr="00B778A6">
          <w:rPr>
            <w:rFonts w:ascii="Times New Roman" w:hAnsi="Times New Roman"/>
            <w:noProof/>
            <w:webHidden/>
          </w:rPr>
          <w:fldChar w:fldCharType="end"/>
        </w:r>
      </w:hyperlink>
    </w:p>
    <w:p w:rsidR="00DA1A2F" w:rsidRPr="00B778A6" w:rsidRDefault="0001670F">
      <w:pPr>
        <w:pStyle w:val="TOC2"/>
        <w:tabs>
          <w:tab w:val="right" w:leader="dot" w:pos="9628"/>
        </w:tabs>
        <w:rPr>
          <w:rFonts w:ascii="Times New Roman" w:hAnsi="Times New Roman"/>
          <w:noProof/>
        </w:rPr>
      </w:pPr>
      <w:hyperlink w:anchor="_Toc34924511" w:history="1">
        <w:r w:rsidR="00DA1A2F" w:rsidRPr="00B778A6">
          <w:rPr>
            <w:rStyle w:val="Hyperlink"/>
            <w:rFonts w:ascii="Times New Roman" w:hAnsi="Times New Roman"/>
            <w:noProof/>
          </w:rPr>
          <w:t>6.3. Kintamųjų tikimybės</w:t>
        </w:r>
        <w:r w:rsidR="00DA1A2F" w:rsidRPr="00B778A6">
          <w:rPr>
            <w:rFonts w:ascii="Times New Roman" w:hAnsi="Times New Roman"/>
            <w:noProof/>
            <w:webHidden/>
          </w:rPr>
          <w:tab/>
        </w:r>
        <w:r w:rsidRPr="00B778A6">
          <w:rPr>
            <w:rFonts w:ascii="Times New Roman" w:hAnsi="Times New Roman"/>
            <w:noProof/>
            <w:webHidden/>
          </w:rPr>
          <w:fldChar w:fldCharType="begin"/>
        </w:r>
        <w:r w:rsidR="00DA1A2F" w:rsidRPr="00B778A6">
          <w:rPr>
            <w:rFonts w:ascii="Times New Roman" w:hAnsi="Times New Roman"/>
            <w:noProof/>
            <w:webHidden/>
          </w:rPr>
          <w:instrText xml:space="preserve"> PAGEREF _Toc34924511 \h </w:instrText>
        </w:r>
        <w:r w:rsidRPr="00B778A6">
          <w:rPr>
            <w:rFonts w:ascii="Times New Roman" w:hAnsi="Times New Roman"/>
            <w:noProof/>
            <w:webHidden/>
          </w:rPr>
        </w:r>
        <w:r w:rsidRPr="00B778A6">
          <w:rPr>
            <w:rFonts w:ascii="Times New Roman" w:hAnsi="Times New Roman"/>
            <w:noProof/>
            <w:webHidden/>
          </w:rPr>
          <w:fldChar w:fldCharType="separate"/>
        </w:r>
        <w:r w:rsidR="00C668D4">
          <w:rPr>
            <w:rFonts w:ascii="Times New Roman" w:hAnsi="Times New Roman"/>
            <w:noProof/>
            <w:webHidden/>
          </w:rPr>
          <w:t>40</w:t>
        </w:r>
        <w:r w:rsidRPr="00B778A6">
          <w:rPr>
            <w:rFonts w:ascii="Times New Roman" w:hAnsi="Times New Roman"/>
            <w:noProof/>
            <w:webHidden/>
          </w:rPr>
          <w:fldChar w:fldCharType="end"/>
        </w:r>
      </w:hyperlink>
    </w:p>
    <w:p w:rsidR="00DA1A2F" w:rsidRPr="00B778A6" w:rsidRDefault="0001670F">
      <w:pPr>
        <w:pStyle w:val="TOC2"/>
        <w:tabs>
          <w:tab w:val="right" w:leader="dot" w:pos="9628"/>
        </w:tabs>
        <w:rPr>
          <w:rFonts w:ascii="Times New Roman" w:hAnsi="Times New Roman"/>
          <w:noProof/>
        </w:rPr>
      </w:pPr>
      <w:hyperlink w:anchor="_Toc34924512" w:history="1">
        <w:r w:rsidR="00DA1A2F" w:rsidRPr="00B778A6">
          <w:rPr>
            <w:rStyle w:val="Hyperlink"/>
            <w:rFonts w:ascii="Times New Roman" w:hAnsi="Times New Roman"/>
            <w:noProof/>
          </w:rPr>
          <w:t>6.4. Rizikų vertinimas</w:t>
        </w:r>
        <w:r w:rsidR="00DA1A2F" w:rsidRPr="00B778A6">
          <w:rPr>
            <w:rFonts w:ascii="Times New Roman" w:hAnsi="Times New Roman"/>
            <w:noProof/>
            <w:webHidden/>
          </w:rPr>
          <w:tab/>
        </w:r>
        <w:r w:rsidRPr="00B778A6">
          <w:rPr>
            <w:rFonts w:ascii="Times New Roman" w:hAnsi="Times New Roman"/>
            <w:noProof/>
            <w:webHidden/>
          </w:rPr>
          <w:fldChar w:fldCharType="begin"/>
        </w:r>
        <w:r w:rsidR="00DA1A2F" w:rsidRPr="00B778A6">
          <w:rPr>
            <w:rFonts w:ascii="Times New Roman" w:hAnsi="Times New Roman"/>
            <w:noProof/>
            <w:webHidden/>
          </w:rPr>
          <w:instrText xml:space="preserve"> PAGEREF _Toc34924512 \h </w:instrText>
        </w:r>
        <w:r w:rsidRPr="00B778A6">
          <w:rPr>
            <w:rFonts w:ascii="Times New Roman" w:hAnsi="Times New Roman"/>
            <w:noProof/>
            <w:webHidden/>
          </w:rPr>
        </w:r>
        <w:r w:rsidRPr="00B778A6">
          <w:rPr>
            <w:rFonts w:ascii="Times New Roman" w:hAnsi="Times New Roman"/>
            <w:noProof/>
            <w:webHidden/>
          </w:rPr>
          <w:fldChar w:fldCharType="separate"/>
        </w:r>
        <w:r w:rsidR="00C668D4">
          <w:rPr>
            <w:rFonts w:ascii="Times New Roman" w:hAnsi="Times New Roman"/>
            <w:noProof/>
            <w:webHidden/>
          </w:rPr>
          <w:t>40</w:t>
        </w:r>
        <w:r w:rsidRPr="00B778A6">
          <w:rPr>
            <w:rFonts w:ascii="Times New Roman" w:hAnsi="Times New Roman"/>
            <w:noProof/>
            <w:webHidden/>
          </w:rPr>
          <w:fldChar w:fldCharType="end"/>
        </w:r>
      </w:hyperlink>
    </w:p>
    <w:p w:rsidR="00DA1A2F" w:rsidRPr="00B778A6" w:rsidRDefault="0001670F">
      <w:pPr>
        <w:pStyle w:val="TOC2"/>
        <w:tabs>
          <w:tab w:val="right" w:leader="dot" w:pos="9628"/>
        </w:tabs>
        <w:rPr>
          <w:rFonts w:ascii="Times New Roman" w:hAnsi="Times New Roman"/>
          <w:noProof/>
        </w:rPr>
      </w:pPr>
      <w:hyperlink w:anchor="_Toc34924513" w:history="1">
        <w:r w:rsidR="00DA1A2F" w:rsidRPr="00B778A6">
          <w:rPr>
            <w:rStyle w:val="Hyperlink"/>
            <w:rFonts w:ascii="Times New Roman" w:hAnsi="Times New Roman"/>
            <w:noProof/>
          </w:rPr>
          <w:t>6.5. Rizikos priimtinumas</w:t>
        </w:r>
        <w:r w:rsidR="00DA1A2F" w:rsidRPr="00B778A6">
          <w:rPr>
            <w:rFonts w:ascii="Times New Roman" w:hAnsi="Times New Roman"/>
            <w:noProof/>
            <w:webHidden/>
          </w:rPr>
          <w:tab/>
        </w:r>
        <w:r w:rsidRPr="00B778A6">
          <w:rPr>
            <w:rFonts w:ascii="Times New Roman" w:hAnsi="Times New Roman"/>
            <w:noProof/>
            <w:webHidden/>
          </w:rPr>
          <w:fldChar w:fldCharType="begin"/>
        </w:r>
        <w:r w:rsidR="00DA1A2F" w:rsidRPr="00B778A6">
          <w:rPr>
            <w:rFonts w:ascii="Times New Roman" w:hAnsi="Times New Roman"/>
            <w:noProof/>
            <w:webHidden/>
          </w:rPr>
          <w:instrText xml:space="preserve"> PAGEREF _Toc34924513 \h </w:instrText>
        </w:r>
        <w:r w:rsidRPr="00B778A6">
          <w:rPr>
            <w:rFonts w:ascii="Times New Roman" w:hAnsi="Times New Roman"/>
            <w:noProof/>
            <w:webHidden/>
          </w:rPr>
        </w:r>
        <w:r w:rsidRPr="00B778A6">
          <w:rPr>
            <w:rFonts w:ascii="Times New Roman" w:hAnsi="Times New Roman"/>
            <w:noProof/>
            <w:webHidden/>
          </w:rPr>
          <w:fldChar w:fldCharType="separate"/>
        </w:r>
        <w:r w:rsidR="00C668D4">
          <w:rPr>
            <w:rFonts w:ascii="Times New Roman" w:hAnsi="Times New Roman"/>
            <w:noProof/>
            <w:webHidden/>
          </w:rPr>
          <w:t>40</w:t>
        </w:r>
        <w:r w:rsidRPr="00B778A6">
          <w:rPr>
            <w:rFonts w:ascii="Times New Roman" w:hAnsi="Times New Roman"/>
            <w:noProof/>
            <w:webHidden/>
          </w:rPr>
          <w:fldChar w:fldCharType="end"/>
        </w:r>
      </w:hyperlink>
    </w:p>
    <w:p w:rsidR="00DA1A2F" w:rsidRPr="00B778A6" w:rsidRDefault="0001670F">
      <w:pPr>
        <w:pStyle w:val="TOC2"/>
        <w:tabs>
          <w:tab w:val="right" w:leader="dot" w:pos="9628"/>
        </w:tabs>
        <w:rPr>
          <w:rFonts w:ascii="Times New Roman" w:hAnsi="Times New Roman"/>
          <w:noProof/>
        </w:rPr>
      </w:pPr>
      <w:hyperlink w:anchor="_Toc34924514" w:history="1">
        <w:r w:rsidR="00DA1A2F" w:rsidRPr="00B778A6">
          <w:rPr>
            <w:rStyle w:val="Hyperlink"/>
            <w:rFonts w:ascii="Times New Roman" w:hAnsi="Times New Roman"/>
            <w:noProof/>
          </w:rPr>
          <w:t>6.6. Rizikų valdymo veiksmai</w:t>
        </w:r>
        <w:r w:rsidR="00DA1A2F" w:rsidRPr="00B778A6">
          <w:rPr>
            <w:rFonts w:ascii="Times New Roman" w:hAnsi="Times New Roman"/>
            <w:noProof/>
            <w:webHidden/>
          </w:rPr>
          <w:tab/>
        </w:r>
        <w:r w:rsidRPr="00B778A6">
          <w:rPr>
            <w:rFonts w:ascii="Times New Roman" w:hAnsi="Times New Roman"/>
            <w:noProof/>
            <w:webHidden/>
          </w:rPr>
          <w:fldChar w:fldCharType="begin"/>
        </w:r>
        <w:r w:rsidR="00DA1A2F" w:rsidRPr="00B778A6">
          <w:rPr>
            <w:rFonts w:ascii="Times New Roman" w:hAnsi="Times New Roman"/>
            <w:noProof/>
            <w:webHidden/>
          </w:rPr>
          <w:instrText xml:space="preserve"> PAGEREF _Toc34924514 \h </w:instrText>
        </w:r>
        <w:r w:rsidRPr="00B778A6">
          <w:rPr>
            <w:rFonts w:ascii="Times New Roman" w:hAnsi="Times New Roman"/>
            <w:noProof/>
            <w:webHidden/>
          </w:rPr>
        </w:r>
        <w:r w:rsidRPr="00B778A6">
          <w:rPr>
            <w:rFonts w:ascii="Times New Roman" w:hAnsi="Times New Roman"/>
            <w:noProof/>
            <w:webHidden/>
          </w:rPr>
          <w:fldChar w:fldCharType="separate"/>
        </w:r>
        <w:r w:rsidR="00C668D4">
          <w:rPr>
            <w:rFonts w:ascii="Times New Roman" w:hAnsi="Times New Roman"/>
            <w:noProof/>
            <w:webHidden/>
          </w:rPr>
          <w:t>41</w:t>
        </w:r>
        <w:r w:rsidRPr="00B778A6">
          <w:rPr>
            <w:rFonts w:ascii="Times New Roman" w:hAnsi="Times New Roman"/>
            <w:noProof/>
            <w:webHidden/>
          </w:rPr>
          <w:fldChar w:fldCharType="end"/>
        </w:r>
      </w:hyperlink>
    </w:p>
    <w:p w:rsidR="00DA1A2F" w:rsidRPr="00B778A6" w:rsidRDefault="0001670F">
      <w:pPr>
        <w:pStyle w:val="TOC1"/>
        <w:rPr>
          <w:b w:val="0"/>
          <w:noProof/>
          <w:sz w:val="22"/>
        </w:rPr>
      </w:pPr>
      <w:hyperlink w:anchor="_Toc34924515" w:history="1">
        <w:r w:rsidR="00DA1A2F" w:rsidRPr="00B778A6">
          <w:rPr>
            <w:rStyle w:val="Hyperlink"/>
            <w:noProof/>
            <w:sz w:val="22"/>
          </w:rPr>
          <w:t>7. PROJEKTO VYKDYMO PLANAS</w:t>
        </w:r>
        <w:r w:rsidR="00DA1A2F" w:rsidRPr="00B778A6">
          <w:rPr>
            <w:noProof/>
            <w:webHidden/>
            <w:sz w:val="22"/>
          </w:rPr>
          <w:tab/>
        </w:r>
        <w:r w:rsidRPr="00B778A6">
          <w:rPr>
            <w:noProof/>
            <w:webHidden/>
            <w:sz w:val="22"/>
          </w:rPr>
          <w:fldChar w:fldCharType="begin"/>
        </w:r>
        <w:r w:rsidR="00DA1A2F" w:rsidRPr="00B778A6">
          <w:rPr>
            <w:noProof/>
            <w:webHidden/>
            <w:sz w:val="22"/>
          </w:rPr>
          <w:instrText xml:space="preserve"> PAGEREF _Toc34924515 \h </w:instrText>
        </w:r>
        <w:r w:rsidRPr="00B778A6">
          <w:rPr>
            <w:noProof/>
            <w:webHidden/>
            <w:sz w:val="22"/>
          </w:rPr>
        </w:r>
        <w:r w:rsidRPr="00B778A6">
          <w:rPr>
            <w:noProof/>
            <w:webHidden/>
            <w:sz w:val="22"/>
          </w:rPr>
          <w:fldChar w:fldCharType="separate"/>
        </w:r>
        <w:r w:rsidR="00C668D4">
          <w:rPr>
            <w:noProof/>
            <w:webHidden/>
            <w:sz w:val="22"/>
          </w:rPr>
          <w:t>44</w:t>
        </w:r>
        <w:r w:rsidRPr="00B778A6">
          <w:rPr>
            <w:noProof/>
            <w:webHidden/>
            <w:sz w:val="22"/>
          </w:rPr>
          <w:fldChar w:fldCharType="end"/>
        </w:r>
      </w:hyperlink>
    </w:p>
    <w:p w:rsidR="00DA1A2F" w:rsidRPr="00B778A6" w:rsidRDefault="0001670F">
      <w:pPr>
        <w:pStyle w:val="TOC2"/>
        <w:tabs>
          <w:tab w:val="right" w:leader="dot" w:pos="9628"/>
        </w:tabs>
        <w:rPr>
          <w:rFonts w:ascii="Times New Roman" w:hAnsi="Times New Roman"/>
          <w:noProof/>
        </w:rPr>
      </w:pPr>
      <w:hyperlink w:anchor="_Toc34924516" w:history="1">
        <w:r w:rsidR="00DA1A2F" w:rsidRPr="00B778A6">
          <w:rPr>
            <w:rStyle w:val="Hyperlink"/>
            <w:rFonts w:ascii="Times New Roman" w:hAnsi="Times New Roman"/>
            <w:noProof/>
          </w:rPr>
          <w:t>7.1. Projekto trukmė ir etapai</w:t>
        </w:r>
        <w:r w:rsidR="00DA1A2F" w:rsidRPr="00B778A6">
          <w:rPr>
            <w:rFonts w:ascii="Times New Roman" w:hAnsi="Times New Roman"/>
            <w:noProof/>
            <w:webHidden/>
          </w:rPr>
          <w:tab/>
        </w:r>
        <w:r w:rsidRPr="00B778A6">
          <w:rPr>
            <w:rFonts w:ascii="Times New Roman" w:hAnsi="Times New Roman"/>
            <w:noProof/>
            <w:webHidden/>
          </w:rPr>
          <w:fldChar w:fldCharType="begin"/>
        </w:r>
        <w:r w:rsidR="00DA1A2F" w:rsidRPr="00B778A6">
          <w:rPr>
            <w:rFonts w:ascii="Times New Roman" w:hAnsi="Times New Roman"/>
            <w:noProof/>
            <w:webHidden/>
          </w:rPr>
          <w:instrText xml:space="preserve"> PAGEREF _Toc34924516 \h </w:instrText>
        </w:r>
        <w:r w:rsidRPr="00B778A6">
          <w:rPr>
            <w:rFonts w:ascii="Times New Roman" w:hAnsi="Times New Roman"/>
            <w:noProof/>
            <w:webHidden/>
          </w:rPr>
        </w:r>
        <w:r w:rsidRPr="00B778A6">
          <w:rPr>
            <w:rFonts w:ascii="Times New Roman" w:hAnsi="Times New Roman"/>
            <w:noProof/>
            <w:webHidden/>
          </w:rPr>
          <w:fldChar w:fldCharType="separate"/>
        </w:r>
        <w:r w:rsidR="00C668D4">
          <w:rPr>
            <w:rFonts w:ascii="Times New Roman" w:hAnsi="Times New Roman"/>
            <w:noProof/>
            <w:webHidden/>
          </w:rPr>
          <w:t>44</w:t>
        </w:r>
        <w:r w:rsidRPr="00B778A6">
          <w:rPr>
            <w:rFonts w:ascii="Times New Roman" w:hAnsi="Times New Roman"/>
            <w:noProof/>
            <w:webHidden/>
          </w:rPr>
          <w:fldChar w:fldCharType="end"/>
        </w:r>
      </w:hyperlink>
    </w:p>
    <w:p w:rsidR="00DA1A2F" w:rsidRPr="00B778A6" w:rsidRDefault="0001670F">
      <w:pPr>
        <w:pStyle w:val="TOC2"/>
        <w:tabs>
          <w:tab w:val="right" w:leader="dot" w:pos="9628"/>
        </w:tabs>
        <w:rPr>
          <w:rFonts w:ascii="Times New Roman" w:hAnsi="Times New Roman"/>
          <w:noProof/>
        </w:rPr>
      </w:pPr>
      <w:hyperlink w:anchor="_Toc34924517" w:history="1">
        <w:r w:rsidR="00DA1A2F" w:rsidRPr="00B778A6">
          <w:rPr>
            <w:rStyle w:val="Hyperlink"/>
            <w:rFonts w:ascii="Times New Roman" w:hAnsi="Times New Roman"/>
            <w:noProof/>
          </w:rPr>
          <w:t>7.2. Projekto vieta</w:t>
        </w:r>
        <w:r w:rsidR="00DA1A2F" w:rsidRPr="00B778A6">
          <w:rPr>
            <w:rFonts w:ascii="Times New Roman" w:hAnsi="Times New Roman"/>
            <w:noProof/>
            <w:webHidden/>
          </w:rPr>
          <w:tab/>
        </w:r>
        <w:r w:rsidRPr="00B778A6">
          <w:rPr>
            <w:rFonts w:ascii="Times New Roman" w:hAnsi="Times New Roman"/>
            <w:noProof/>
            <w:webHidden/>
          </w:rPr>
          <w:fldChar w:fldCharType="begin"/>
        </w:r>
        <w:r w:rsidR="00DA1A2F" w:rsidRPr="00B778A6">
          <w:rPr>
            <w:rFonts w:ascii="Times New Roman" w:hAnsi="Times New Roman"/>
            <w:noProof/>
            <w:webHidden/>
          </w:rPr>
          <w:instrText xml:space="preserve"> PAGEREF _Toc34924517 \h </w:instrText>
        </w:r>
        <w:r w:rsidRPr="00B778A6">
          <w:rPr>
            <w:rFonts w:ascii="Times New Roman" w:hAnsi="Times New Roman"/>
            <w:noProof/>
            <w:webHidden/>
          </w:rPr>
        </w:r>
        <w:r w:rsidRPr="00B778A6">
          <w:rPr>
            <w:rFonts w:ascii="Times New Roman" w:hAnsi="Times New Roman"/>
            <w:noProof/>
            <w:webHidden/>
          </w:rPr>
          <w:fldChar w:fldCharType="separate"/>
        </w:r>
        <w:r w:rsidR="00C668D4">
          <w:rPr>
            <w:rFonts w:ascii="Times New Roman" w:hAnsi="Times New Roman"/>
            <w:noProof/>
            <w:webHidden/>
          </w:rPr>
          <w:t>46</w:t>
        </w:r>
        <w:r w:rsidRPr="00B778A6">
          <w:rPr>
            <w:rFonts w:ascii="Times New Roman" w:hAnsi="Times New Roman"/>
            <w:noProof/>
            <w:webHidden/>
          </w:rPr>
          <w:fldChar w:fldCharType="end"/>
        </w:r>
      </w:hyperlink>
    </w:p>
    <w:p w:rsidR="00DA1A2F" w:rsidRPr="00B778A6" w:rsidRDefault="0001670F">
      <w:pPr>
        <w:pStyle w:val="TOC2"/>
        <w:tabs>
          <w:tab w:val="right" w:leader="dot" w:pos="9628"/>
        </w:tabs>
        <w:rPr>
          <w:rFonts w:ascii="Times New Roman" w:hAnsi="Times New Roman"/>
          <w:noProof/>
        </w:rPr>
      </w:pPr>
      <w:hyperlink w:anchor="_Toc34924518" w:history="1">
        <w:r w:rsidR="00DA1A2F" w:rsidRPr="00B778A6">
          <w:rPr>
            <w:rStyle w:val="Hyperlink"/>
            <w:rFonts w:ascii="Times New Roman" w:hAnsi="Times New Roman"/>
            <w:noProof/>
          </w:rPr>
          <w:t>7.3. Projekto komanda</w:t>
        </w:r>
        <w:r w:rsidR="00DA1A2F" w:rsidRPr="00B778A6">
          <w:rPr>
            <w:rFonts w:ascii="Times New Roman" w:hAnsi="Times New Roman"/>
            <w:noProof/>
            <w:webHidden/>
          </w:rPr>
          <w:tab/>
        </w:r>
        <w:r w:rsidRPr="00B778A6">
          <w:rPr>
            <w:rFonts w:ascii="Times New Roman" w:hAnsi="Times New Roman"/>
            <w:noProof/>
            <w:webHidden/>
          </w:rPr>
          <w:fldChar w:fldCharType="begin"/>
        </w:r>
        <w:r w:rsidR="00DA1A2F" w:rsidRPr="00B778A6">
          <w:rPr>
            <w:rFonts w:ascii="Times New Roman" w:hAnsi="Times New Roman"/>
            <w:noProof/>
            <w:webHidden/>
          </w:rPr>
          <w:instrText xml:space="preserve"> PAGEREF _Toc34924518 \h </w:instrText>
        </w:r>
        <w:r w:rsidRPr="00B778A6">
          <w:rPr>
            <w:rFonts w:ascii="Times New Roman" w:hAnsi="Times New Roman"/>
            <w:noProof/>
            <w:webHidden/>
          </w:rPr>
        </w:r>
        <w:r w:rsidRPr="00B778A6">
          <w:rPr>
            <w:rFonts w:ascii="Times New Roman" w:hAnsi="Times New Roman"/>
            <w:noProof/>
            <w:webHidden/>
          </w:rPr>
          <w:fldChar w:fldCharType="separate"/>
        </w:r>
        <w:r w:rsidR="00C668D4">
          <w:rPr>
            <w:rFonts w:ascii="Times New Roman" w:hAnsi="Times New Roman"/>
            <w:noProof/>
            <w:webHidden/>
          </w:rPr>
          <w:t>46</w:t>
        </w:r>
        <w:r w:rsidRPr="00B778A6">
          <w:rPr>
            <w:rFonts w:ascii="Times New Roman" w:hAnsi="Times New Roman"/>
            <w:noProof/>
            <w:webHidden/>
          </w:rPr>
          <w:fldChar w:fldCharType="end"/>
        </w:r>
      </w:hyperlink>
    </w:p>
    <w:p w:rsidR="00DA1A2F" w:rsidRPr="00B778A6" w:rsidRDefault="0001670F">
      <w:pPr>
        <w:pStyle w:val="TOC2"/>
        <w:tabs>
          <w:tab w:val="right" w:leader="dot" w:pos="9628"/>
        </w:tabs>
        <w:rPr>
          <w:rFonts w:ascii="Times New Roman" w:hAnsi="Times New Roman"/>
          <w:noProof/>
        </w:rPr>
      </w:pPr>
      <w:hyperlink w:anchor="_Toc34924519" w:history="1">
        <w:r w:rsidR="00DA1A2F" w:rsidRPr="00B778A6">
          <w:rPr>
            <w:rStyle w:val="Hyperlink"/>
            <w:rFonts w:ascii="Times New Roman" w:hAnsi="Times New Roman"/>
            <w:noProof/>
          </w:rPr>
          <w:t>7.4. Projekto prielaidos ir tęstinumas</w:t>
        </w:r>
        <w:r w:rsidR="00DA1A2F" w:rsidRPr="00B778A6">
          <w:rPr>
            <w:rFonts w:ascii="Times New Roman" w:hAnsi="Times New Roman"/>
            <w:noProof/>
            <w:webHidden/>
          </w:rPr>
          <w:tab/>
        </w:r>
        <w:r w:rsidRPr="00B778A6">
          <w:rPr>
            <w:rFonts w:ascii="Times New Roman" w:hAnsi="Times New Roman"/>
            <w:noProof/>
            <w:webHidden/>
          </w:rPr>
          <w:fldChar w:fldCharType="begin"/>
        </w:r>
        <w:r w:rsidR="00DA1A2F" w:rsidRPr="00B778A6">
          <w:rPr>
            <w:rFonts w:ascii="Times New Roman" w:hAnsi="Times New Roman"/>
            <w:noProof/>
            <w:webHidden/>
          </w:rPr>
          <w:instrText xml:space="preserve"> PAGEREF _Toc34924519 \h </w:instrText>
        </w:r>
        <w:r w:rsidRPr="00B778A6">
          <w:rPr>
            <w:rFonts w:ascii="Times New Roman" w:hAnsi="Times New Roman"/>
            <w:noProof/>
            <w:webHidden/>
          </w:rPr>
        </w:r>
        <w:r w:rsidRPr="00B778A6">
          <w:rPr>
            <w:rFonts w:ascii="Times New Roman" w:hAnsi="Times New Roman"/>
            <w:noProof/>
            <w:webHidden/>
          </w:rPr>
          <w:fldChar w:fldCharType="separate"/>
        </w:r>
        <w:r w:rsidR="00C668D4">
          <w:rPr>
            <w:rFonts w:ascii="Times New Roman" w:hAnsi="Times New Roman"/>
            <w:noProof/>
            <w:webHidden/>
          </w:rPr>
          <w:t>46</w:t>
        </w:r>
        <w:r w:rsidRPr="00B778A6">
          <w:rPr>
            <w:rFonts w:ascii="Times New Roman" w:hAnsi="Times New Roman"/>
            <w:noProof/>
            <w:webHidden/>
          </w:rPr>
          <w:fldChar w:fldCharType="end"/>
        </w:r>
      </w:hyperlink>
    </w:p>
    <w:p w:rsidR="00DA1A2F" w:rsidRPr="00B778A6" w:rsidRDefault="0001670F">
      <w:pPr>
        <w:pStyle w:val="TOC1"/>
        <w:rPr>
          <w:b w:val="0"/>
          <w:noProof/>
          <w:sz w:val="22"/>
        </w:rPr>
      </w:pPr>
      <w:hyperlink w:anchor="_Toc34924520" w:history="1">
        <w:r w:rsidR="00DA1A2F" w:rsidRPr="00B778A6">
          <w:rPr>
            <w:rStyle w:val="Hyperlink"/>
            <w:noProof/>
            <w:sz w:val="22"/>
          </w:rPr>
          <w:t>IŠVADOS IR PASIŪLYMAI</w:t>
        </w:r>
        <w:r w:rsidR="00DA1A2F" w:rsidRPr="00B778A6">
          <w:rPr>
            <w:noProof/>
            <w:webHidden/>
            <w:sz w:val="22"/>
          </w:rPr>
          <w:tab/>
        </w:r>
        <w:r w:rsidRPr="00B778A6">
          <w:rPr>
            <w:noProof/>
            <w:webHidden/>
            <w:sz w:val="22"/>
          </w:rPr>
          <w:fldChar w:fldCharType="begin"/>
        </w:r>
        <w:r w:rsidR="00DA1A2F" w:rsidRPr="00B778A6">
          <w:rPr>
            <w:noProof/>
            <w:webHidden/>
            <w:sz w:val="22"/>
          </w:rPr>
          <w:instrText xml:space="preserve"> PAGEREF _Toc34924520 \h </w:instrText>
        </w:r>
        <w:r w:rsidRPr="00B778A6">
          <w:rPr>
            <w:noProof/>
            <w:webHidden/>
            <w:sz w:val="22"/>
          </w:rPr>
        </w:r>
        <w:r w:rsidRPr="00B778A6">
          <w:rPr>
            <w:noProof/>
            <w:webHidden/>
            <w:sz w:val="22"/>
          </w:rPr>
          <w:fldChar w:fldCharType="separate"/>
        </w:r>
        <w:r w:rsidR="00C668D4">
          <w:rPr>
            <w:noProof/>
            <w:webHidden/>
            <w:sz w:val="22"/>
          </w:rPr>
          <w:t>47</w:t>
        </w:r>
        <w:r w:rsidRPr="00B778A6">
          <w:rPr>
            <w:noProof/>
            <w:webHidden/>
            <w:sz w:val="22"/>
          </w:rPr>
          <w:fldChar w:fldCharType="end"/>
        </w:r>
      </w:hyperlink>
    </w:p>
    <w:p w:rsidR="00DA1A2F" w:rsidRPr="00B778A6" w:rsidRDefault="0001670F">
      <w:pPr>
        <w:pStyle w:val="TOC1"/>
        <w:rPr>
          <w:b w:val="0"/>
          <w:noProof/>
          <w:sz w:val="22"/>
        </w:rPr>
      </w:pPr>
      <w:hyperlink w:anchor="_Toc34924521" w:history="1">
        <w:r w:rsidR="00DA1A2F" w:rsidRPr="00B778A6">
          <w:rPr>
            <w:rStyle w:val="Hyperlink"/>
            <w:noProof/>
            <w:sz w:val="22"/>
          </w:rPr>
          <w:t>PRIEDAI</w:t>
        </w:r>
        <w:r w:rsidR="00DA1A2F" w:rsidRPr="00B778A6">
          <w:rPr>
            <w:noProof/>
            <w:webHidden/>
            <w:sz w:val="22"/>
          </w:rPr>
          <w:tab/>
        </w:r>
        <w:r w:rsidRPr="00B778A6">
          <w:rPr>
            <w:noProof/>
            <w:webHidden/>
            <w:sz w:val="22"/>
          </w:rPr>
          <w:fldChar w:fldCharType="begin"/>
        </w:r>
        <w:r w:rsidR="00DA1A2F" w:rsidRPr="00B778A6">
          <w:rPr>
            <w:noProof/>
            <w:webHidden/>
            <w:sz w:val="22"/>
          </w:rPr>
          <w:instrText xml:space="preserve"> PAGEREF _Toc34924521 \h </w:instrText>
        </w:r>
        <w:r w:rsidRPr="00B778A6">
          <w:rPr>
            <w:noProof/>
            <w:webHidden/>
            <w:sz w:val="22"/>
          </w:rPr>
        </w:r>
        <w:r w:rsidRPr="00B778A6">
          <w:rPr>
            <w:noProof/>
            <w:webHidden/>
            <w:sz w:val="22"/>
          </w:rPr>
          <w:fldChar w:fldCharType="separate"/>
        </w:r>
        <w:r w:rsidR="00C668D4">
          <w:rPr>
            <w:noProof/>
            <w:webHidden/>
            <w:sz w:val="22"/>
          </w:rPr>
          <w:t>48</w:t>
        </w:r>
        <w:r w:rsidRPr="00B778A6">
          <w:rPr>
            <w:noProof/>
            <w:webHidden/>
            <w:sz w:val="22"/>
          </w:rPr>
          <w:fldChar w:fldCharType="end"/>
        </w:r>
      </w:hyperlink>
    </w:p>
    <w:p w:rsidR="00FD1BF7" w:rsidRPr="00B778A6" w:rsidRDefault="0001670F" w:rsidP="008C459C">
      <w:pPr>
        <w:pStyle w:val="Heading1"/>
      </w:pPr>
      <w:r w:rsidRPr="00B778A6">
        <w:rPr>
          <w:rFonts w:ascii="Times New Roman" w:hAnsi="Times New Roman"/>
          <w:sz w:val="22"/>
          <w:szCs w:val="22"/>
        </w:rPr>
        <w:fldChar w:fldCharType="end"/>
      </w:r>
      <w:r w:rsidR="00FC6E7E" w:rsidRPr="00B778A6">
        <w:rPr>
          <w:szCs w:val="24"/>
          <w:lang w:val="lt-LT"/>
        </w:rPr>
        <w:br w:type="page"/>
      </w:r>
      <w:bookmarkStart w:id="0" w:name="_Toc34924462"/>
      <w:r w:rsidR="0056012B" w:rsidRPr="00B778A6">
        <w:rPr>
          <w:lang w:val="lt-LT"/>
        </w:rPr>
        <w:lastRenderedPageBreak/>
        <w:t>S</w:t>
      </w:r>
      <w:r w:rsidR="00FD1BF7" w:rsidRPr="00B778A6">
        <w:rPr>
          <w:lang w:val="lt-LT"/>
        </w:rPr>
        <w:t>ANTRAUKA</w:t>
      </w:r>
      <w:bookmarkEnd w:id="0"/>
      <w:r w:rsidR="00FD1BF7" w:rsidRPr="00B778A6">
        <w:rPr>
          <w:lang w:val="lt-LT"/>
        </w:rPr>
        <w:t xml:space="preserve"> </w:t>
      </w:r>
    </w:p>
    <w:p w:rsidR="00CF0A0A" w:rsidRPr="00B778A6" w:rsidRDefault="00CF0A0A" w:rsidP="00CF0A0A"/>
    <w:p w:rsidR="00B3657A" w:rsidRPr="00B778A6" w:rsidRDefault="00B3657A" w:rsidP="00B3657A">
      <w:pPr>
        <w:autoSpaceDE w:val="0"/>
        <w:autoSpaceDN w:val="0"/>
        <w:adjustRightInd w:val="0"/>
        <w:ind w:firstLine="709"/>
        <w:jc w:val="both"/>
        <w:rPr>
          <w:b/>
          <w:bCs/>
          <w:color w:val="000000"/>
        </w:rPr>
      </w:pPr>
      <w:r w:rsidRPr="00B778A6">
        <w:rPr>
          <w:b/>
          <w:bCs/>
          <w:color w:val="000000"/>
        </w:rPr>
        <w:t>Projekto kontekstas</w:t>
      </w:r>
    </w:p>
    <w:p w:rsidR="00745B11" w:rsidRPr="00B778A6" w:rsidRDefault="00745B11" w:rsidP="00B3657A">
      <w:pPr>
        <w:pStyle w:val="Default"/>
        <w:tabs>
          <w:tab w:val="left" w:pos="993"/>
          <w:tab w:val="left" w:pos="1134"/>
          <w:tab w:val="left" w:pos="1276"/>
          <w:tab w:val="left" w:pos="1560"/>
        </w:tabs>
        <w:ind w:firstLine="709"/>
        <w:jc w:val="both"/>
      </w:pPr>
      <w:r w:rsidRPr="00B778A6">
        <w:t xml:space="preserve">Europos Sąjunga susiduria su beprecedentėmis problemomis, kurias lemia didėjanti priklausomybė nuo energijos importo ir menki energijos ištekliai, taip pat su poreikiu riboti klimato kaitą. Energijos vartojimo efektyvumas yra </w:t>
      </w:r>
      <w:r w:rsidR="00867822" w:rsidRPr="00B778A6">
        <w:t>svarbi</w:t>
      </w:r>
      <w:r w:rsidRPr="00B778A6">
        <w:t xml:space="preserve"> priemonė šioms problemoms spręsti. Ją naudojant Europos Sąjungoje gerinamas energijos tiekimo saugumas mažinant pirminės energijos suvartojimą ir energijos importą. Energijos vartojimo efektyvumas padeda ekonomiškai efektyviai mažinti išmetamą šiltnamio efektą sukeliančių dujų kiekį ir taip švelninti klimato kaitą.</w:t>
      </w:r>
    </w:p>
    <w:p w:rsidR="00664B6F" w:rsidRPr="00B778A6" w:rsidRDefault="00664B6F" w:rsidP="00664B6F">
      <w:pPr>
        <w:pStyle w:val="ColorfulList-Accent11"/>
        <w:ind w:left="0" w:firstLine="709"/>
        <w:jc w:val="both"/>
        <w:rPr>
          <w:szCs w:val="24"/>
        </w:rPr>
      </w:pPr>
      <w:r w:rsidRPr="00B778A6">
        <w:rPr>
          <w:szCs w:val="24"/>
        </w:rPr>
        <w:t>Viena didžiausių problemų šilumos sektoriuje – neefektyvus šilumos energijos vartojimas. Vidutinis metinis šilumos suvartojimas pastatuose Lietuvoje siekia 209 kWh/m</w:t>
      </w:r>
      <w:r w:rsidRPr="00B778A6">
        <w:rPr>
          <w:szCs w:val="24"/>
          <w:vertAlign w:val="superscript"/>
        </w:rPr>
        <w:t>2</w:t>
      </w:r>
      <w:r w:rsidRPr="00B778A6">
        <w:rPr>
          <w:szCs w:val="24"/>
        </w:rPr>
        <w:t>, t. y. daug daugiau negu</w:t>
      </w:r>
      <w:r w:rsidR="00867822" w:rsidRPr="00B778A6">
        <w:rPr>
          <w:szCs w:val="24"/>
        </w:rPr>
        <w:t xml:space="preserve"> šaltesnio klimato</w:t>
      </w:r>
      <w:r w:rsidRPr="00B778A6">
        <w:rPr>
          <w:szCs w:val="24"/>
        </w:rPr>
        <w:t xml:space="preserve"> Skandinavijos šalyse, kuriose per metus pastatams šildyti sunaudojama vidutiniškai 128 kWh/m</w:t>
      </w:r>
      <w:r w:rsidRPr="00B778A6">
        <w:rPr>
          <w:szCs w:val="24"/>
          <w:vertAlign w:val="superscript"/>
        </w:rPr>
        <w:t>2</w:t>
      </w:r>
      <w:r w:rsidRPr="00B778A6">
        <w:rPr>
          <w:szCs w:val="24"/>
        </w:rPr>
        <w:t>. Padidinus šilumos vartojimo efektyvumą, gerokai sumažėtų mokesčių už šildymą našta ir kartu būtų sumažinti išmetamų šiltnamio efektą sukeliančių dujų kiekiai.</w:t>
      </w:r>
    </w:p>
    <w:p w:rsidR="00100088" w:rsidRPr="00B778A6" w:rsidRDefault="00411565" w:rsidP="00654531">
      <w:pPr>
        <w:pStyle w:val="Default"/>
        <w:tabs>
          <w:tab w:val="left" w:pos="993"/>
          <w:tab w:val="left" w:pos="1134"/>
          <w:tab w:val="left" w:pos="1276"/>
          <w:tab w:val="left" w:pos="1560"/>
        </w:tabs>
        <w:ind w:firstLine="709"/>
        <w:jc w:val="both"/>
      </w:pPr>
      <w:r w:rsidRPr="00B778A6">
        <w:t>Prienų lopšelio-</w:t>
      </w:r>
      <w:r w:rsidR="0033067A" w:rsidRPr="00B778A6">
        <w:t>darželio Gintarėlis</w:t>
      </w:r>
      <w:r w:rsidR="002F61D9" w:rsidRPr="00B778A6">
        <w:t xml:space="preserve"> pastata</w:t>
      </w:r>
      <w:r w:rsidR="00745B11" w:rsidRPr="00B778A6">
        <w:t xml:space="preserve">s </w:t>
      </w:r>
      <w:r w:rsidR="00654531" w:rsidRPr="00B778A6">
        <w:t>(</w:t>
      </w:r>
      <w:r w:rsidR="0033067A" w:rsidRPr="00B778A6">
        <w:t>Statybininkų g. 17, Prienai</w:t>
      </w:r>
      <w:r w:rsidR="00654531" w:rsidRPr="00B778A6">
        <w:t xml:space="preserve">) </w:t>
      </w:r>
      <w:r w:rsidR="00035589" w:rsidRPr="00B778A6">
        <w:t>pa</w:t>
      </w:r>
      <w:r w:rsidR="00654531" w:rsidRPr="00B778A6">
        <w:t>statyta</w:t>
      </w:r>
      <w:r w:rsidR="00745B11" w:rsidRPr="00B778A6">
        <w:t xml:space="preserve">s </w:t>
      </w:r>
      <w:r w:rsidR="0033067A" w:rsidRPr="00B778A6">
        <w:t>197</w:t>
      </w:r>
      <w:r w:rsidR="00BE4C10" w:rsidRPr="00B778A6">
        <w:t>5</w:t>
      </w:r>
      <w:r w:rsidR="0033067A" w:rsidRPr="00B778A6">
        <w:t xml:space="preserve"> </w:t>
      </w:r>
      <w:r w:rsidR="00745B11" w:rsidRPr="00B778A6">
        <w:t>metais</w:t>
      </w:r>
      <w:r w:rsidR="0033067A" w:rsidRPr="00B778A6">
        <w:t xml:space="preserve">, jo </w:t>
      </w:r>
      <w:r w:rsidR="00654531" w:rsidRPr="00B778A6">
        <w:t xml:space="preserve">energinis efektyvumas yra labai žemas, siekia F </w:t>
      </w:r>
      <w:r w:rsidR="00654531" w:rsidRPr="00B778A6">
        <w:rPr>
          <w:color w:val="auto"/>
          <w:lang w:eastAsia="en-US"/>
        </w:rPr>
        <w:t xml:space="preserve">energinio naudingumo </w:t>
      </w:r>
      <w:r w:rsidR="00654531" w:rsidRPr="00B778A6">
        <w:t xml:space="preserve">klasę. </w:t>
      </w:r>
      <w:r w:rsidR="00654531" w:rsidRPr="00B778A6">
        <w:rPr>
          <w:color w:val="auto"/>
          <w:lang w:eastAsia="en-US"/>
        </w:rPr>
        <w:t xml:space="preserve">Tai reiškia, kad </w:t>
      </w:r>
      <w:r w:rsidR="0033067A" w:rsidRPr="00B778A6">
        <w:rPr>
          <w:color w:val="auto"/>
          <w:lang w:eastAsia="en-US"/>
        </w:rPr>
        <w:t xml:space="preserve">pastato </w:t>
      </w:r>
      <w:r w:rsidR="00654531" w:rsidRPr="00B778A6">
        <w:rPr>
          <w:color w:val="auto"/>
          <w:lang w:eastAsia="en-US"/>
        </w:rPr>
        <w:t xml:space="preserve">energetinės savybės yra labai prastos: išlaidos šildymui ir kitiems energijos resursams yra didelės, tuo tarpu patalpose </w:t>
      </w:r>
      <w:r w:rsidR="00867822" w:rsidRPr="00B778A6">
        <w:rPr>
          <w:color w:val="auto"/>
          <w:lang w:eastAsia="en-US"/>
        </w:rPr>
        <w:t xml:space="preserve">kai kuriais atvejais </w:t>
      </w:r>
      <w:r w:rsidR="00654531" w:rsidRPr="00B778A6">
        <w:rPr>
          <w:color w:val="auto"/>
          <w:lang w:eastAsia="en-US"/>
        </w:rPr>
        <w:t xml:space="preserve">neužtikrinamas tinkamas mikroklimatas (temperatūra, drėgmė ir pan.). Tai sąlygoja pasenusi ir neefektyvi šildymo sistema, nepakankama išorinių atitvarų šiluminė varža. Dėl lėšų trūkumo įstaigos infrastruktūra kasmet blogėja, o išlaidos </w:t>
      </w:r>
      <w:r w:rsidR="0033067A" w:rsidRPr="00B778A6">
        <w:rPr>
          <w:color w:val="auto"/>
          <w:lang w:eastAsia="en-US"/>
        </w:rPr>
        <w:t xml:space="preserve">pastato </w:t>
      </w:r>
      <w:r w:rsidR="00654531" w:rsidRPr="00B778A6">
        <w:rPr>
          <w:color w:val="auto"/>
          <w:lang w:eastAsia="en-US"/>
        </w:rPr>
        <w:t xml:space="preserve">šildymui ir elektrai kasmet pareikalauja didelių </w:t>
      </w:r>
      <w:r w:rsidR="0033067A" w:rsidRPr="00B778A6">
        <w:rPr>
          <w:color w:val="auto"/>
          <w:lang w:eastAsia="en-US"/>
        </w:rPr>
        <w:t>įstaigos ir jos steigėjo (</w:t>
      </w:r>
      <w:r w:rsidR="00654531" w:rsidRPr="00B778A6">
        <w:rPr>
          <w:color w:val="auto"/>
          <w:lang w:eastAsia="en-US"/>
        </w:rPr>
        <w:t>savivaldybės</w:t>
      </w:r>
      <w:r w:rsidR="0033067A" w:rsidRPr="00B778A6">
        <w:rPr>
          <w:color w:val="auto"/>
          <w:lang w:eastAsia="en-US"/>
        </w:rPr>
        <w:t>)</w:t>
      </w:r>
      <w:r w:rsidR="00654531" w:rsidRPr="00B778A6">
        <w:rPr>
          <w:color w:val="auto"/>
          <w:lang w:eastAsia="en-US"/>
        </w:rPr>
        <w:t xml:space="preserve"> biudž</w:t>
      </w:r>
      <w:r w:rsidR="00867822" w:rsidRPr="00B778A6">
        <w:rPr>
          <w:color w:val="auto"/>
          <w:lang w:eastAsia="en-US"/>
        </w:rPr>
        <w:t>eto išlaidų. I</w:t>
      </w:r>
      <w:r w:rsidR="00654531" w:rsidRPr="00B778A6">
        <w:rPr>
          <w:color w:val="auto"/>
          <w:lang w:eastAsia="en-US"/>
        </w:rPr>
        <w:t xml:space="preserve">šteklių </w:t>
      </w:r>
      <w:r w:rsidR="0033067A" w:rsidRPr="00B778A6">
        <w:rPr>
          <w:color w:val="auto"/>
          <w:lang w:eastAsia="en-US"/>
        </w:rPr>
        <w:t xml:space="preserve">pastato </w:t>
      </w:r>
      <w:r w:rsidR="00654531" w:rsidRPr="00B778A6">
        <w:rPr>
          <w:color w:val="auto"/>
          <w:lang w:eastAsia="en-US"/>
        </w:rPr>
        <w:t xml:space="preserve">kapitaliniam remontui </w:t>
      </w:r>
      <w:r w:rsidR="00867822" w:rsidRPr="00B778A6">
        <w:rPr>
          <w:color w:val="auto"/>
          <w:lang w:eastAsia="en-US"/>
        </w:rPr>
        <w:t>a</w:t>
      </w:r>
      <w:r w:rsidR="00654531" w:rsidRPr="00B778A6">
        <w:rPr>
          <w:color w:val="auto"/>
          <w:lang w:eastAsia="en-US"/>
        </w:rPr>
        <w:t>r rekonstrukcijai įstaiga neturi.</w:t>
      </w:r>
    </w:p>
    <w:p w:rsidR="006838B4" w:rsidRPr="00B778A6" w:rsidRDefault="0033067A" w:rsidP="0067083E">
      <w:pPr>
        <w:pStyle w:val="Default"/>
        <w:tabs>
          <w:tab w:val="left" w:pos="993"/>
          <w:tab w:val="left" w:pos="1134"/>
          <w:tab w:val="left" w:pos="1276"/>
          <w:tab w:val="left" w:pos="1560"/>
        </w:tabs>
        <w:ind w:firstLine="709"/>
        <w:jc w:val="both"/>
        <w:rPr>
          <w:rFonts w:eastAsia="Calibri"/>
        </w:rPr>
      </w:pPr>
      <w:r w:rsidRPr="00B778A6">
        <w:t>Prienų</w:t>
      </w:r>
      <w:r w:rsidR="00745B11" w:rsidRPr="00B778A6">
        <w:t xml:space="preserve"> rajono savivaldybės administracija inicijuojamu projektu </w:t>
      </w:r>
      <w:r w:rsidR="00745B11" w:rsidRPr="00B778A6">
        <w:rPr>
          <w:b/>
          <w:i/>
          <w:color w:val="auto"/>
          <w:lang w:eastAsia="en-US"/>
        </w:rPr>
        <w:t>„</w:t>
      </w:r>
      <w:r w:rsidR="00411565" w:rsidRPr="00B778A6">
        <w:rPr>
          <w:b/>
          <w:i/>
          <w:color w:val="auto"/>
          <w:lang w:eastAsia="en-US"/>
        </w:rPr>
        <w:t>Lopšelio-</w:t>
      </w:r>
      <w:r w:rsidR="006838B4" w:rsidRPr="00B778A6">
        <w:rPr>
          <w:b/>
          <w:i/>
          <w:color w:val="auto"/>
          <w:lang w:eastAsia="en-US"/>
        </w:rPr>
        <w:t>darželio Gintarėlis modernizavimas</w:t>
      </w:r>
      <w:r w:rsidR="00745B11" w:rsidRPr="00B778A6">
        <w:rPr>
          <w:b/>
          <w:i/>
          <w:color w:val="auto"/>
          <w:lang w:eastAsia="en-US"/>
        </w:rPr>
        <w:t>“</w:t>
      </w:r>
      <w:r w:rsidR="00745B11" w:rsidRPr="00B778A6">
        <w:rPr>
          <w:color w:val="auto"/>
          <w:lang w:eastAsia="en-US"/>
        </w:rPr>
        <w:t xml:space="preserve"> siekia sumažinti</w:t>
      </w:r>
      <w:r w:rsidR="00654531" w:rsidRPr="00B778A6">
        <w:rPr>
          <w:color w:val="auto"/>
          <w:lang w:eastAsia="en-US"/>
        </w:rPr>
        <w:t xml:space="preserve"> šio</w:t>
      </w:r>
      <w:r w:rsidR="00745B11" w:rsidRPr="00B778A6">
        <w:rPr>
          <w:color w:val="auto"/>
          <w:lang w:eastAsia="en-US"/>
        </w:rPr>
        <w:t xml:space="preserve"> pastato šilumos bei elektros energijos suvartojimą bei pagerinti </w:t>
      </w:r>
      <w:r w:rsidR="00654531" w:rsidRPr="00B778A6">
        <w:rPr>
          <w:color w:val="auto"/>
          <w:lang w:eastAsia="en-US"/>
        </w:rPr>
        <w:t>patalpų</w:t>
      </w:r>
      <w:r w:rsidR="00745B11" w:rsidRPr="00B778A6">
        <w:rPr>
          <w:color w:val="auto"/>
          <w:lang w:eastAsia="en-US"/>
        </w:rPr>
        <w:t xml:space="preserve"> mikroklimatą. </w:t>
      </w:r>
      <w:r w:rsidR="00035589" w:rsidRPr="00B778A6">
        <w:rPr>
          <w:color w:val="auto"/>
          <w:lang w:eastAsia="en-US"/>
        </w:rPr>
        <w:t xml:space="preserve">Įgyvendinus projektą, </w:t>
      </w:r>
      <w:r w:rsidR="00654531" w:rsidRPr="00B778A6">
        <w:rPr>
          <w:color w:val="auto"/>
          <w:lang w:eastAsia="en-US"/>
        </w:rPr>
        <w:t>būtų padidintas pastato</w:t>
      </w:r>
      <w:r w:rsidR="006838B4" w:rsidRPr="00B778A6">
        <w:rPr>
          <w:color w:val="auto"/>
          <w:lang w:eastAsia="en-US"/>
        </w:rPr>
        <w:t xml:space="preserve"> </w:t>
      </w:r>
      <w:r w:rsidR="00654531" w:rsidRPr="00B778A6">
        <w:rPr>
          <w:color w:val="auto"/>
          <w:lang w:eastAsia="en-US"/>
        </w:rPr>
        <w:t xml:space="preserve">energetinis efektyvumas nuo esamos F klasės iki </w:t>
      </w:r>
      <w:r w:rsidR="007A41EE">
        <w:rPr>
          <w:color w:val="auto"/>
          <w:lang w:eastAsia="en-US"/>
        </w:rPr>
        <w:t>B</w:t>
      </w:r>
      <w:r w:rsidR="00654531" w:rsidRPr="00B778A6">
        <w:rPr>
          <w:color w:val="auto"/>
          <w:lang w:eastAsia="en-US"/>
        </w:rPr>
        <w:t>. D</w:t>
      </w:r>
      <w:r w:rsidR="00673890" w:rsidRPr="00B778A6">
        <w:rPr>
          <w:color w:val="auto"/>
          <w:lang w:eastAsia="en-US"/>
        </w:rPr>
        <w:t xml:space="preserve">etalios energetinio efektyvumo priemonės įvertintos </w:t>
      </w:r>
      <w:r w:rsidR="006838B4" w:rsidRPr="00B778A6">
        <w:rPr>
          <w:color w:val="auto"/>
          <w:lang w:eastAsia="en-US"/>
        </w:rPr>
        <w:t>2021</w:t>
      </w:r>
      <w:r w:rsidR="007A41EE">
        <w:rPr>
          <w:color w:val="auto"/>
          <w:lang w:eastAsia="en-US"/>
        </w:rPr>
        <w:t>-2022</w:t>
      </w:r>
      <w:r w:rsidR="006838B4" w:rsidRPr="00B778A6">
        <w:rPr>
          <w:color w:val="auto"/>
          <w:lang w:eastAsia="en-US"/>
        </w:rPr>
        <w:t xml:space="preserve"> </w:t>
      </w:r>
      <w:r w:rsidR="00673890" w:rsidRPr="00B778A6">
        <w:rPr>
          <w:color w:val="auto"/>
          <w:lang w:eastAsia="en-US"/>
        </w:rPr>
        <w:t xml:space="preserve">m. parengtoje Energijos vartojimo audito ataskaitoje. Analizuoti </w:t>
      </w:r>
      <w:r w:rsidR="007A41EE">
        <w:rPr>
          <w:color w:val="auto"/>
          <w:lang w:eastAsia="en-US"/>
        </w:rPr>
        <w:t>4</w:t>
      </w:r>
      <w:r w:rsidR="007A41EE" w:rsidRPr="00B778A6">
        <w:rPr>
          <w:color w:val="auto"/>
          <w:lang w:eastAsia="en-US"/>
        </w:rPr>
        <w:t xml:space="preserve"> </w:t>
      </w:r>
      <w:r w:rsidR="00673890" w:rsidRPr="00B778A6">
        <w:rPr>
          <w:color w:val="auto"/>
          <w:lang w:eastAsia="en-US"/>
        </w:rPr>
        <w:t>investicijų paketai, parinktas pirmasis, apimantis langų keitimą; išorės durų keitimą; išorinių sienų ir cokolio šiltinimą (</w:t>
      </w:r>
      <w:r w:rsidR="006838B4" w:rsidRPr="00B778A6">
        <w:rPr>
          <w:color w:val="auto"/>
          <w:lang w:eastAsia="en-US"/>
        </w:rPr>
        <w:t>vent. fasadai</w:t>
      </w:r>
      <w:r w:rsidR="00673890" w:rsidRPr="00B778A6">
        <w:rPr>
          <w:color w:val="auto"/>
          <w:lang w:eastAsia="en-US"/>
        </w:rPr>
        <w:t>)</w:t>
      </w:r>
      <w:r w:rsidR="006838B4" w:rsidRPr="00B778A6">
        <w:rPr>
          <w:color w:val="auto"/>
          <w:lang w:eastAsia="en-US"/>
        </w:rPr>
        <w:t xml:space="preserve">; </w:t>
      </w:r>
      <w:r w:rsidR="00673890" w:rsidRPr="00B778A6">
        <w:rPr>
          <w:color w:val="auto"/>
          <w:lang w:eastAsia="en-US"/>
        </w:rPr>
        <w:t xml:space="preserve">stogo šiltinimą; </w:t>
      </w:r>
      <w:r w:rsidR="007A41EE" w:rsidRPr="00B778A6">
        <w:rPr>
          <w:color w:val="auto"/>
          <w:lang w:eastAsia="en-US"/>
        </w:rPr>
        <w:t>karšto vandens sistemos renovaciją;</w:t>
      </w:r>
      <w:r w:rsidR="007A41EE">
        <w:rPr>
          <w:color w:val="auto"/>
          <w:lang w:eastAsia="en-US"/>
        </w:rPr>
        <w:t xml:space="preserve"> </w:t>
      </w:r>
      <w:r w:rsidR="006838B4" w:rsidRPr="00B778A6">
        <w:rPr>
          <w:color w:val="auto"/>
          <w:lang w:eastAsia="en-US"/>
        </w:rPr>
        <w:t xml:space="preserve">apšvietimo sistemos </w:t>
      </w:r>
      <w:r w:rsidR="00100088" w:rsidRPr="00B778A6">
        <w:rPr>
          <w:color w:val="auto"/>
          <w:lang w:eastAsia="en-US"/>
        </w:rPr>
        <w:t>renovacij</w:t>
      </w:r>
      <w:r w:rsidR="00100088">
        <w:rPr>
          <w:color w:val="auto"/>
          <w:lang w:eastAsia="en-US"/>
        </w:rPr>
        <w:t>ą</w:t>
      </w:r>
      <w:r w:rsidR="00100088" w:rsidRPr="00B778A6">
        <w:rPr>
          <w:color w:val="auto"/>
          <w:lang w:eastAsia="en-US"/>
        </w:rPr>
        <w:t xml:space="preserve"> </w:t>
      </w:r>
      <w:r w:rsidR="006838B4" w:rsidRPr="00B778A6">
        <w:rPr>
          <w:color w:val="auto"/>
          <w:lang w:eastAsia="en-US"/>
        </w:rPr>
        <w:t xml:space="preserve">bendro naudojimo patalpose; </w:t>
      </w:r>
      <w:r w:rsidR="00100088">
        <w:rPr>
          <w:color w:val="auto"/>
          <w:lang w:eastAsia="en-US"/>
        </w:rPr>
        <w:t>š</w:t>
      </w:r>
      <w:r w:rsidR="00100088" w:rsidRPr="00B778A6">
        <w:rPr>
          <w:color w:val="auto"/>
          <w:lang w:eastAsia="en-US"/>
        </w:rPr>
        <w:t xml:space="preserve">ilumos </w:t>
      </w:r>
      <w:r w:rsidR="006838B4" w:rsidRPr="00B778A6">
        <w:rPr>
          <w:color w:val="auto"/>
          <w:lang w:eastAsia="en-US"/>
        </w:rPr>
        <w:t>punkto ir šildymo sistemos modernizavimą; papildomas energijos netaupančias priemones (</w:t>
      </w:r>
      <w:r w:rsidR="00100088">
        <w:rPr>
          <w:rFonts w:eastAsia="Calibri"/>
        </w:rPr>
        <w:t>d</w:t>
      </w:r>
      <w:r w:rsidR="00100088" w:rsidRPr="00B778A6">
        <w:rPr>
          <w:rFonts w:eastAsia="Calibri"/>
        </w:rPr>
        <w:t xml:space="preserve">alinis </w:t>
      </w:r>
      <w:r w:rsidR="006838B4" w:rsidRPr="00B778A6">
        <w:rPr>
          <w:rFonts w:eastAsia="Calibri"/>
        </w:rPr>
        <w:t xml:space="preserve">elektros sistemos atnaujinimas; </w:t>
      </w:r>
      <w:r w:rsidR="00100088">
        <w:rPr>
          <w:rFonts w:eastAsia="Calibri"/>
        </w:rPr>
        <w:t>g</w:t>
      </w:r>
      <w:r w:rsidR="00100088" w:rsidRPr="00B778A6">
        <w:rPr>
          <w:rFonts w:eastAsia="Calibri"/>
        </w:rPr>
        <w:t xml:space="preserve">eriamojo </w:t>
      </w:r>
      <w:r w:rsidR="006838B4" w:rsidRPr="00B778A6">
        <w:rPr>
          <w:rFonts w:eastAsia="Calibri"/>
        </w:rPr>
        <w:t xml:space="preserve">vandens sistemos atnaujinimas; </w:t>
      </w:r>
      <w:r w:rsidR="00100088">
        <w:rPr>
          <w:rFonts w:eastAsia="Calibri"/>
        </w:rPr>
        <w:t>b</w:t>
      </w:r>
      <w:r w:rsidR="00100088" w:rsidRPr="00B778A6">
        <w:rPr>
          <w:rFonts w:eastAsia="Calibri"/>
        </w:rPr>
        <w:t xml:space="preserve">uitinių </w:t>
      </w:r>
      <w:r w:rsidR="006838B4" w:rsidRPr="00B778A6">
        <w:rPr>
          <w:rFonts w:eastAsia="Calibri"/>
        </w:rPr>
        <w:t xml:space="preserve">nuotekų sistemos atnaujinimas; </w:t>
      </w:r>
      <w:r w:rsidR="00100088">
        <w:rPr>
          <w:rFonts w:eastAsia="Calibri"/>
        </w:rPr>
        <w:t>l</w:t>
      </w:r>
      <w:r w:rsidR="00100088" w:rsidRPr="00B778A6">
        <w:rPr>
          <w:rFonts w:eastAsia="Calibri"/>
        </w:rPr>
        <w:t xml:space="preserve">ietaus </w:t>
      </w:r>
      <w:r w:rsidR="006838B4" w:rsidRPr="00B778A6">
        <w:rPr>
          <w:rFonts w:eastAsia="Calibri"/>
        </w:rPr>
        <w:t xml:space="preserve">ir drenažo sistemų atnaujinimas; </w:t>
      </w:r>
      <w:r w:rsidR="00100088">
        <w:rPr>
          <w:rFonts w:eastAsia="Calibri"/>
        </w:rPr>
        <w:t>į</w:t>
      </w:r>
      <w:r w:rsidR="00100088" w:rsidRPr="00B778A6">
        <w:rPr>
          <w:rFonts w:eastAsia="Calibri"/>
        </w:rPr>
        <w:t xml:space="preserve">ėjimo </w:t>
      </w:r>
      <w:r w:rsidR="006838B4" w:rsidRPr="00B778A6">
        <w:rPr>
          <w:rFonts w:eastAsia="Calibri"/>
        </w:rPr>
        <w:t xml:space="preserve">laiptų atnaujinimas; </w:t>
      </w:r>
      <w:r w:rsidR="00100088">
        <w:rPr>
          <w:rFonts w:eastAsia="Calibri"/>
        </w:rPr>
        <w:t>st</w:t>
      </w:r>
      <w:r w:rsidR="006838B4" w:rsidRPr="00B778A6">
        <w:rPr>
          <w:rFonts w:eastAsia="Calibri"/>
        </w:rPr>
        <w:t>ogelių virš įėjimų sutvarkymas).</w:t>
      </w:r>
    </w:p>
    <w:p w:rsidR="00B3657A" w:rsidRPr="00B778A6" w:rsidRDefault="00035589" w:rsidP="00673890">
      <w:pPr>
        <w:pStyle w:val="Default"/>
        <w:tabs>
          <w:tab w:val="left" w:pos="993"/>
          <w:tab w:val="left" w:pos="1134"/>
          <w:tab w:val="left" w:pos="1276"/>
          <w:tab w:val="left" w:pos="1560"/>
        </w:tabs>
        <w:ind w:firstLine="709"/>
        <w:jc w:val="both"/>
        <w:rPr>
          <w:color w:val="auto"/>
          <w:lang w:eastAsia="en-US"/>
        </w:rPr>
      </w:pPr>
      <w:r w:rsidRPr="00B778A6">
        <w:rPr>
          <w:color w:val="auto"/>
          <w:lang w:eastAsia="en-US"/>
        </w:rPr>
        <w:t xml:space="preserve">Įgyvendinus projektą, </w:t>
      </w:r>
      <w:r w:rsidR="00B3657A" w:rsidRPr="00B778A6">
        <w:rPr>
          <w:color w:val="auto"/>
          <w:lang w:eastAsia="en-US"/>
        </w:rPr>
        <w:t xml:space="preserve">bus iš esmės </w:t>
      </w:r>
      <w:r w:rsidR="00900CA8" w:rsidRPr="00B778A6">
        <w:rPr>
          <w:color w:val="auto"/>
          <w:lang w:eastAsia="en-US"/>
        </w:rPr>
        <w:t>pagerintos</w:t>
      </w:r>
      <w:r w:rsidR="00B3657A" w:rsidRPr="00B778A6">
        <w:rPr>
          <w:color w:val="auto"/>
          <w:lang w:eastAsia="en-US"/>
        </w:rPr>
        <w:t xml:space="preserve"> </w:t>
      </w:r>
      <w:r w:rsidR="00900CA8" w:rsidRPr="00B778A6">
        <w:rPr>
          <w:color w:val="auto"/>
          <w:lang w:eastAsia="en-US"/>
        </w:rPr>
        <w:t>pastato energijos vartojimo savybės</w:t>
      </w:r>
      <w:r w:rsidR="00673890" w:rsidRPr="00B778A6">
        <w:rPr>
          <w:color w:val="auto"/>
          <w:lang w:eastAsia="en-US"/>
        </w:rPr>
        <w:t xml:space="preserve"> bei </w:t>
      </w:r>
      <w:r w:rsidR="00900CA8" w:rsidRPr="00B778A6">
        <w:rPr>
          <w:color w:val="auto"/>
          <w:lang w:eastAsia="en-US"/>
        </w:rPr>
        <w:t>išspręstos</w:t>
      </w:r>
      <w:r w:rsidR="00B3657A" w:rsidRPr="00B778A6">
        <w:rPr>
          <w:color w:val="auto"/>
          <w:lang w:eastAsia="en-US"/>
        </w:rPr>
        <w:t xml:space="preserve"> esminė</w:t>
      </w:r>
      <w:r w:rsidR="00900CA8" w:rsidRPr="00B778A6">
        <w:rPr>
          <w:color w:val="auto"/>
          <w:lang w:eastAsia="en-US"/>
        </w:rPr>
        <w:t>s</w:t>
      </w:r>
      <w:r w:rsidR="00B3657A" w:rsidRPr="00B778A6">
        <w:rPr>
          <w:color w:val="auto"/>
          <w:lang w:eastAsia="en-US"/>
        </w:rPr>
        <w:t xml:space="preserve"> įstaigos</w:t>
      </w:r>
      <w:r w:rsidR="00900CA8" w:rsidRPr="00B778A6">
        <w:rPr>
          <w:color w:val="auto"/>
          <w:lang w:eastAsia="en-US"/>
        </w:rPr>
        <w:t xml:space="preserve"> problemos</w:t>
      </w:r>
      <w:r w:rsidR="00B3657A" w:rsidRPr="00B778A6">
        <w:rPr>
          <w:color w:val="auto"/>
          <w:lang w:eastAsia="en-US"/>
        </w:rPr>
        <w:t xml:space="preserve"> – </w:t>
      </w:r>
      <w:r w:rsidR="00900CA8" w:rsidRPr="00B778A6">
        <w:t>didelės pastato energijos vartojimo sąnaudos</w:t>
      </w:r>
      <w:r w:rsidR="00867822" w:rsidRPr="00B778A6">
        <w:rPr>
          <w:color w:val="auto"/>
          <w:lang w:eastAsia="en-US"/>
        </w:rPr>
        <w:t>, veiklos efektyvumą mažinantys veiksniai</w:t>
      </w:r>
      <w:r w:rsidR="00900CA8" w:rsidRPr="00B778A6">
        <w:t>.</w:t>
      </w:r>
    </w:p>
    <w:p w:rsidR="00B3657A" w:rsidRPr="00B778A6" w:rsidRDefault="00B3657A" w:rsidP="00B3657A">
      <w:pPr>
        <w:autoSpaceDE w:val="0"/>
        <w:autoSpaceDN w:val="0"/>
        <w:adjustRightInd w:val="0"/>
        <w:ind w:left="720"/>
        <w:jc w:val="both"/>
        <w:rPr>
          <w:color w:val="000000"/>
        </w:rPr>
      </w:pPr>
    </w:p>
    <w:p w:rsidR="00B3657A" w:rsidRPr="00B778A6" w:rsidRDefault="00B3657A" w:rsidP="00B3657A">
      <w:pPr>
        <w:autoSpaceDE w:val="0"/>
        <w:autoSpaceDN w:val="0"/>
        <w:adjustRightInd w:val="0"/>
        <w:ind w:firstLine="709"/>
        <w:jc w:val="both"/>
        <w:rPr>
          <w:color w:val="000000"/>
        </w:rPr>
      </w:pPr>
      <w:r w:rsidRPr="00B778A6">
        <w:rPr>
          <w:b/>
          <w:bCs/>
          <w:color w:val="000000"/>
        </w:rPr>
        <w:t>Projekto turinys</w:t>
      </w:r>
    </w:p>
    <w:p w:rsidR="00B3657A" w:rsidRPr="00B778A6" w:rsidRDefault="00B3657A" w:rsidP="00B3657A">
      <w:pPr>
        <w:ind w:firstLine="709"/>
        <w:jc w:val="both"/>
        <w:rPr>
          <w:b/>
          <w:lang w:eastAsia="en-US"/>
        </w:rPr>
      </w:pPr>
      <w:r w:rsidRPr="00B778A6">
        <w:rPr>
          <w:b/>
          <w:lang w:eastAsia="en-US"/>
        </w:rPr>
        <w:t>Projekto tikslas:</w:t>
      </w:r>
    </w:p>
    <w:p w:rsidR="00673890" w:rsidRPr="00B778A6" w:rsidRDefault="00673890" w:rsidP="00B3657A">
      <w:pPr>
        <w:numPr>
          <w:ilvl w:val="0"/>
          <w:numId w:val="4"/>
        </w:numPr>
        <w:jc w:val="both"/>
        <w:rPr>
          <w:lang w:eastAsia="en-US"/>
        </w:rPr>
      </w:pPr>
      <w:r w:rsidRPr="00B778A6">
        <w:rPr>
          <w:lang w:eastAsia="en-US"/>
        </w:rPr>
        <w:t xml:space="preserve">Optimizuoti </w:t>
      </w:r>
      <w:r w:rsidR="0033067A" w:rsidRPr="00B778A6">
        <w:rPr>
          <w:lang w:eastAsia="en-US"/>
        </w:rPr>
        <w:t>Prienų</w:t>
      </w:r>
      <w:r w:rsidRPr="00B778A6">
        <w:rPr>
          <w:lang w:eastAsia="en-US"/>
        </w:rPr>
        <w:t xml:space="preserve"> rajono savivaldybės </w:t>
      </w:r>
      <w:r w:rsidR="00BB2AE1" w:rsidRPr="00B778A6">
        <w:rPr>
          <w:lang w:eastAsia="en-US"/>
        </w:rPr>
        <w:t xml:space="preserve">ir jos įstaigų </w:t>
      </w:r>
      <w:r w:rsidRPr="00B778A6">
        <w:rPr>
          <w:lang w:eastAsia="en-US"/>
        </w:rPr>
        <w:t>teikiamų viešųjų paslaugų kaštus</w:t>
      </w:r>
      <w:r w:rsidR="006547AA" w:rsidRPr="00B778A6">
        <w:rPr>
          <w:lang w:eastAsia="en-US"/>
        </w:rPr>
        <w:t>.</w:t>
      </w:r>
    </w:p>
    <w:p w:rsidR="00673890" w:rsidRPr="00B778A6" w:rsidRDefault="00673890" w:rsidP="00673890">
      <w:pPr>
        <w:ind w:firstLine="709"/>
        <w:jc w:val="both"/>
        <w:rPr>
          <w:lang w:eastAsia="en-US"/>
        </w:rPr>
      </w:pPr>
      <w:r w:rsidRPr="00B778A6">
        <w:t>Projekto tikslas atitinka fondų fondo „Savivaldybių pastatų fondas“ finansin</w:t>
      </w:r>
      <w:r w:rsidR="00867822" w:rsidRPr="00B778A6">
        <w:t>ės</w:t>
      </w:r>
      <w:r w:rsidRPr="00B778A6">
        <w:t xml:space="preserve"> priemonės „Paskolos savivaldybių pastatų modernizavimui, finansuojamos iš Europos regioninės plėtros fondo“ tikslą „Atnaujinti savivaldybių viešuosius pastatus, siekiant, kad pastatai atitiktų bent minimalius energinio naudingumo reikalavimus, t. y., ne žemesnę kaip C energinio naudingumo klasę“.</w:t>
      </w:r>
    </w:p>
    <w:p w:rsidR="00867822" w:rsidRPr="00B778A6" w:rsidRDefault="00867822" w:rsidP="00B3657A">
      <w:pPr>
        <w:pStyle w:val="Default"/>
        <w:jc w:val="both"/>
        <w:rPr>
          <w:rFonts w:eastAsia="Calibri"/>
        </w:rPr>
      </w:pPr>
    </w:p>
    <w:p w:rsidR="00B3657A" w:rsidRPr="00B778A6" w:rsidRDefault="00B3657A" w:rsidP="00B3657A">
      <w:pPr>
        <w:ind w:firstLine="709"/>
        <w:jc w:val="both"/>
        <w:rPr>
          <w:b/>
          <w:lang w:eastAsia="en-US"/>
        </w:rPr>
      </w:pPr>
      <w:r w:rsidRPr="00B778A6">
        <w:rPr>
          <w:b/>
          <w:lang w:eastAsia="en-US"/>
        </w:rPr>
        <w:t>Projekto uždavinys:</w:t>
      </w:r>
    </w:p>
    <w:p w:rsidR="00B3657A" w:rsidRPr="00B778A6" w:rsidRDefault="00673890" w:rsidP="00673890">
      <w:pPr>
        <w:numPr>
          <w:ilvl w:val="0"/>
          <w:numId w:val="4"/>
        </w:numPr>
        <w:contextualSpacing/>
        <w:jc w:val="both"/>
        <w:rPr>
          <w:lang w:eastAsia="en-US"/>
        </w:rPr>
      </w:pPr>
      <w:r w:rsidRPr="00B778A6">
        <w:rPr>
          <w:lang w:eastAsia="en-US"/>
        </w:rPr>
        <w:t xml:space="preserve">Optimizuoti </w:t>
      </w:r>
      <w:r w:rsidR="0033067A" w:rsidRPr="00B778A6">
        <w:rPr>
          <w:lang w:eastAsia="en-US"/>
        </w:rPr>
        <w:t>Prienų</w:t>
      </w:r>
      <w:r w:rsidRPr="00B778A6">
        <w:rPr>
          <w:lang w:eastAsia="en-US"/>
        </w:rPr>
        <w:t xml:space="preserve"> rajono savivaldybės </w:t>
      </w:r>
      <w:r w:rsidR="00BB2AE1" w:rsidRPr="00B778A6">
        <w:rPr>
          <w:lang w:eastAsia="en-US"/>
        </w:rPr>
        <w:t xml:space="preserve">įstaigų </w:t>
      </w:r>
      <w:r w:rsidRPr="00B778A6">
        <w:rPr>
          <w:lang w:eastAsia="en-US"/>
        </w:rPr>
        <w:t>veiklai naudojamas patalpas</w:t>
      </w:r>
      <w:r w:rsidR="006547AA" w:rsidRPr="00B778A6">
        <w:rPr>
          <w:lang w:eastAsia="en-US"/>
        </w:rPr>
        <w:t>.</w:t>
      </w:r>
    </w:p>
    <w:p w:rsidR="00BB2AE1" w:rsidRPr="00B778A6" w:rsidRDefault="00BB2AE1" w:rsidP="00B3657A">
      <w:pPr>
        <w:ind w:firstLine="709"/>
        <w:jc w:val="both"/>
        <w:rPr>
          <w:b/>
          <w:lang w:eastAsia="en-US"/>
        </w:rPr>
      </w:pPr>
    </w:p>
    <w:p w:rsidR="00B3657A" w:rsidRPr="00B778A6" w:rsidRDefault="00B3657A" w:rsidP="00B3657A">
      <w:pPr>
        <w:ind w:firstLine="709"/>
        <w:jc w:val="both"/>
        <w:rPr>
          <w:b/>
          <w:lang w:eastAsia="en-US"/>
        </w:rPr>
      </w:pPr>
      <w:r w:rsidRPr="00B778A6">
        <w:rPr>
          <w:b/>
          <w:lang w:eastAsia="en-US"/>
        </w:rPr>
        <w:lastRenderedPageBreak/>
        <w:t xml:space="preserve">Projekto veiklos: </w:t>
      </w:r>
    </w:p>
    <w:p w:rsidR="00B3657A" w:rsidRPr="00B778A6" w:rsidRDefault="00411565" w:rsidP="00673890">
      <w:pPr>
        <w:numPr>
          <w:ilvl w:val="0"/>
          <w:numId w:val="22"/>
        </w:numPr>
        <w:autoSpaceDE w:val="0"/>
        <w:autoSpaceDN w:val="0"/>
        <w:adjustRightInd w:val="0"/>
        <w:jc w:val="both"/>
      </w:pPr>
      <w:r w:rsidRPr="00B778A6">
        <w:t>Lopšelio-</w:t>
      </w:r>
      <w:r w:rsidR="00BB2AE1" w:rsidRPr="00B778A6">
        <w:t xml:space="preserve">darželio Gintarėlis </w:t>
      </w:r>
      <w:r w:rsidR="00EC75DC" w:rsidRPr="00B778A6">
        <w:t>pastato energetinio efektyvumo pagerinimas</w:t>
      </w:r>
      <w:r w:rsidR="006547AA" w:rsidRPr="00B778A6">
        <w:rPr>
          <w:lang w:eastAsia="en-US"/>
        </w:rPr>
        <w:t>.</w:t>
      </w:r>
    </w:p>
    <w:p w:rsidR="00BB2AE1" w:rsidRPr="00B778A6" w:rsidRDefault="00BB2AE1" w:rsidP="00B778A6">
      <w:pPr>
        <w:autoSpaceDE w:val="0"/>
        <w:autoSpaceDN w:val="0"/>
        <w:adjustRightInd w:val="0"/>
        <w:ind w:left="720"/>
        <w:jc w:val="both"/>
      </w:pPr>
    </w:p>
    <w:p w:rsidR="00673890" w:rsidRPr="00B778A6" w:rsidRDefault="00673890" w:rsidP="00673890">
      <w:pPr>
        <w:autoSpaceDE w:val="0"/>
        <w:autoSpaceDN w:val="0"/>
        <w:adjustRightInd w:val="0"/>
        <w:ind w:firstLine="709"/>
        <w:jc w:val="both"/>
        <w:rPr>
          <w:color w:val="000000"/>
        </w:rPr>
      </w:pPr>
      <w:r w:rsidRPr="00B778A6">
        <w:rPr>
          <w:color w:val="000000"/>
        </w:rPr>
        <w:t>Projekto veikla atitinka fondų fondo „Savivaldybių pastatų fondas“ finansinę priemonės „Paskolos savivaldybių pastatų modernizavimui, finansuojamos iš Europos regioninės plėtros fondo“ veiklą „Savivaldybių viešųjų pastatų atnaujinimas, didinant energijos vartojimo efektyvumą“.</w:t>
      </w:r>
    </w:p>
    <w:p w:rsidR="00673890" w:rsidRPr="00B778A6" w:rsidRDefault="00673890" w:rsidP="00B3657A">
      <w:pPr>
        <w:autoSpaceDE w:val="0"/>
        <w:autoSpaceDN w:val="0"/>
        <w:adjustRightInd w:val="0"/>
        <w:ind w:left="720"/>
        <w:jc w:val="both"/>
        <w:rPr>
          <w:color w:val="000000"/>
        </w:rPr>
      </w:pPr>
    </w:p>
    <w:p w:rsidR="00B3657A" w:rsidRPr="00B778A6" w:rsidRDefault="00B3657A" w:rsidP="00B3657A">
      <w:pPr>
        <w:autoSpaceDE w:val="0"/>
        <w:autoSpaceDN w:val="0"/>
        <w:adjustRightInd w:val="0"/>
        <w:ind w:firstLine="720"/>
        <w:jc w:val="both"/>
        <w:rPr>
          <w:color w:val="000000"/>
        </w:rPr>
      </w:pPr>
      <w:r w:rsidRPr="00B778A6">
        <w:rPr>
          <w:b/>
          <w:color w:val="000000"/>
        </w:rPr>
        <w:t>Projekto tikslinės grupės</w:t>
      </w:r>
      <w:r w:rsidRPr="00B778A6">
        <w:rPr>
          <w:color w:val="000000"/>
        </w:rPr>
        <w:t xml:space="preserve"> </w:t>
      </w:r>
    </w:p>
    <w:p w:rsidR="00B3657A" w:rsidRPr="00B778A6" w:rsidRDefault="00664B6F" w:rsidP="00664B6F">
      <w:pPr>
        <w:autoSpaceDE w:val="0"/>
        <w:autoSpaceDN w:val="0"/>
        <w:adjustRightInd w:val="0"/>
        <w:ind w:firstLine="720"/>
        <w:jc w:val="both"/>
        <w:rPr>
          <w:color w:val="000000"/>
        </w:rPr>
      </w:pPr>
      <w:r w:rsidRPr="00B778A6">
        <w:rPr>
          <w:color w:val="000000"/>
        </w:rPr>
        <w:t xml:space="preserve">Tikslinės grupės: </w:t>
      </w:r>
      <w:r w:rsidR="00BB2AE1" w:rsidRPr="00B778A6">
        <w:rPr>
          <w:color w:val="000000"/>
        </w:rPr>
        <w:t xml:space="preserve"> vaikai iki 7 metų amžiaus ir suaugusieji (vaikų tėvai (globėjai) ir įstaigos darbuotojai). Pagrindinis tikslinės grupės poreikis </w:t>
      </w:r>
      <w:r w:rsidR="00100088">
        <w:rPr>
          <w:color w:val="000000"/>
        </w:rPr>
        <w:t>–</w:t>
      </w:r>
      <w:r w:rsidR="00BB2AE1" w:rsidRPr="00B778A6">
        <w:rPr>
          <w:color w:val="000000"/>
        </w:rPr>
        <w:t xml:space="preserve"> higienos reikalavimus atitinkanti ir patraukli ikimokyklinio </w:t>
      </w:r>
      <w:r w:rsidR="001667D5" w:rsidRPr="00B778A6">
        <w:rPr>
          <w:color w:val="000000"/>
        </w:rPr>
        <w:t xml:space="preserve">ir priešmokyklinio </w:t>
      </w:r>
      <w:r w:rsidR="00BB2AE1" w:rsidRPr="00B778A6">
        <w:rPr>
          <w:color w:val="000000"/>
        </w:rPr>
        <w:t>ugdymo aplinka.</w:t>
      </w:r>
    </w:p>
    <w:p w:rsidR="00B3657A" w:rsidRPr="00B778A6" w:rsidRDefault="00B3657A" w:rsidP="00B3657A">
      <w:pPr>
        <w:autoSpaceDE w:val="0"/>
        <w:autoSpaceDN w:val="0"/>
        <w:adjustRightInd w:val="0"/>
        <w:ind w:firstLine="720"/>
        <w:jc w:val="both"/>
        <w:rPr>
          <w:color w:val="000000"/>
        </w:rPr>
      </w:pPr>
      <w:r w:rsidRPr="00B778A6">
        <w:rPr>
          <w:color w:val="000000"/>
        </w:rPr>
        <w:t xml:space="preserve">Projekto vykdytojas – </w:t>
      </w:r>
      <w:r w:rsidR="0033067A" w:rsidRPr="00B778A6">
        <w:rPr>
          <w:color w:val="000000"/>
        </w:rPr>
        <w:t>Prienų</w:t>
      </w:r>
      <w:r w:rsidRPr="00B778A6">
        <w:rPr>
          <w:color w:val="000000"/>
        </w:rPr>
        <w:t xml:space="preserve"> rajono savivaldybės administracija, kuri pagal </w:t>
      </w:r>
      <w:r w:rsidR="0006361A" w:rsidRPr="00B778A6">
        <w:rPr>
          <w:color w:val="000000"/>
        </w:rPr>
        <w:t xml:space="preserve">LR </w:t>
      </w:r>
      <w:r w:rsidR="00867822" w:rsidRPr="00B778A6">
        <w:rPr>
          <w:color w:val="000000"/>
        </w:rPr>
        <w:t xml:space="preserve">Vietos savivaldos įstatymą ir </w:t>
      </w:r>
      <w:r w:rsidRPr="00B778A6">
        <w:rPr>
          <w:color w:val="000000"/>
        </w:rPr>
        <w:t xml:space="preserve">savo veiklos kompetenciją yra atsakinga už </w:t>
      </w:r>
      <w:r w:rsidR="00673890" w:rsidRPr="00B778A6">
        <w:rPr>
          <w:color w:val="000000"/>
        </w:rPr>
        <w:t>daugelį viešųjų paslaugų, taip pat už atitinkamos</w:t>
      </w:r>
      <w:r w:rsidRPr="00B778A6">
        <w:rPr>
          <w:color w:val="000000"/>
        </w:rPr>
        <w:t xml:space="preserve"> infrastruktūros vystymą ir priežiūrą, infrastruktūros gerinimo projektų įgyvendinimą.</w:t>
      </w:r>
    </w:p>
    <w:p w:rsidR="00B3657A" w:rsidRPr="00B778A6" w:rsidRDefault="00B3657A" w:rsidP="00B3657A">
      <w:pPr>
        <w:autoSpaceDE w:val="0"/>
        <w:autoSpaceDN w:val="0"/>
        <w:adjustRightInd w:val="0"/>
        <w:jc w:val="both"/>
        <w:rPr>
          <w:color w:val="000000"/>
        </w:rPr>
      </w:pPr>
    </w:p>
    <w:p w:rsidR="00B3657A" w:rsidRPr="00B778A6" w:rsidRDefault="00B3657A" w:rsidP="00B3657A">
      <w:pPr>
        <w:autoSpaceDE w:val="0"/>
        <w:autoSpaceDN w:val="0"/>
        <w:adjustRightInd w:val="0"/>
        <w:ind w:firstLine="709"/>
        <w:jc w:val="both"/>
        <w:rPr>
          <w:color w:val="000000"/>
        </w:rPr>
      </w:pPr>
      <w:r w:rsidRPr="00B778A6">
        <w:rPr>
          <w:b/>
          <w:bCs/>
          <w:color w:val="000000"/>
        </w:rPr>
        <w:t>Projekto galimybės ir alternatyvos</w:t>
      </w:r>
      <w:r w:rsidRPr="00B778A6">
        <w:rPr>
          <w:color w:val="000000"/>
        </w:rPr>
        <w:t xml:space="preserve"> </w:t>
      </w:r>
    </w:p>
    <w:p w:rsidR="00B3657A" w:rsidRPr="00B778A6" w:rsidRDefault="00B3657A" w:rsidP="00B3657A">
      <w:pPr>
        <w:ind w:firstLine="709"/>
        <w:jc w:val="both"/>
        <w:rPr>
          <w:lang w:eastAsia="en-US"/>
        </w:rPr>
      </w:pPr>
      <w:r w:rsidRPr="00B778A6">
        <w:rPr>
          <w:lang w:eastAsia="en-US"/>
        </w:rPr>
        <w:t>Investicijų projekte analizuotos 2 alternatyvos: „</w:t>
      </w:r>
      <w:r w:rsidR="000E76CF" w:rsidRPr="00B778A6">
        <w:rPr>
          <w:lang w:eastAsia="en-US"/>
        </w:rPr>
        <w:t xml:space="preserve">Esamo pastato </w:t>
      </w:r>
      <w:r w:rsidR="00666F43" w:rsidRPr="00B778A6">
        <w:rPr>
          <w:lang w:eastAsia="en-US"/>
        </w:rPr>
        <w:t>kapitalinis remontas</w:t>
      </w:r>
      <w:r w:rsidRPr="00B778A6">
        <w:rPr>
          <w:lang w:eastAsia="en-US"/>
        </w:rPr>
        <w:t>“ ir „</w:t>
      </w:r>
      <w:r w:rsidR="000E76CF" w:rsidRPr="00B778A6">
        <w:rPr>
          <w:lang w:eastAsia="en-US"/>
        </w:rPr>
        <w:t>Esamo pastato pardavimas ir naujo pastato statyba</w:t>
      </w:r>
      <w:r w:rsidRPr="00B778A6">
        <w:rPr>
          <w:lang w:eastAsia="en-US"/>
        </w:rPr>
        <w:t xml:space="preserve">“. </w:t>
      </w:r>
      <w:r w:rsidR="006547AA" w:rsidRPr="00B778A6">
        <w:rPr>
          <w:lang w:eastAsia="en-US"/>
        </w:rPr>
        <w:t>Įvertinus alternatyvas finansiškai ir ekonomiškai, optimalia alternatyva buvo pasirinkta alternatyva „</w:t>
      </w:r>
      <w:r w:rsidR="00673890" w:rsidRPr="00B778A6">
        <w:rPr>
          <w:lang w:eastAsia="en-US"/>
        </w:rPr>
        <w:t xml:space="preserve">Esamo pastato </w:t>
      </w:r>
      <w:r w:rsidR="00666F43" w:rsidRPr="00B778A6">
        <w:rPr>
          <w:lang w:eastAsia="en-US"/>
        </w:rPr>
        <w:t>kapitalinis remontas</w:t>
      </w:r>
      <w:r w:rsidR="006547AA" w:rsidRPr="00B778A6">
        <w:rPr>
          <w:lang w:eastAsia="en-US"/>
        </w:rPr>
        <w:t>“.</w:t>
      </w:r>
    </w:p>
    <w:p w:rsidR="00B3657A" w:rsidRPr="00B778A6" w:rsidRDefault="00B3657A" w:rsidP="00B3657A">
      <w:pPr>
        <w:autoSpaceDE w:val="0"/>
        <w:autoSpaceDN w:val="0"/>
        <w:adjustRightInd w:val="0"/>
        <w:jc w:val="both"/>
        <w:rPr>
          <w:color w:val="000000"/>
        </w:rPr>
      </w:pPr>
    </w:p>
    <w:p w:rsidR="00B3657A" w:rsidRPr="00B778A6" w:rsidRDefault="00B3657A" w:rsidP="00B3657A">
      <w:pPr>
        <w:autoSpaceDE w:val="0"/>
        <w:autoSpaceDN w:val="0"/>
        <w:adjustRightInd w:val="0"/>
        <w:ind w:firstLine="709"/>
        <w:jc w:val="both"/>
        <w:rPr>
          <w:color w:val="000000"/>
        </w:rPr>
      </w:pPr>
      <w:r w:rsidRPr="00B778A6">
        <w:rPr>
          <w:b/>
          <w:bCs/>
          <w:color w:val="000000"/>
        </w:rPr>
        <w:t>Finansinė analizė</w:t>
      </w:r>
    </w:p>
    <w:p w:rsidR="00B3657A" w:rsidRPr="00B778A6" w:rsidRDefault="00B3657A" w:rsidP="00B3657A">
      <w:pPr>
        <w:ind w:firstLine="709"/>
        <w:jc w:val="both"/>
        <w:rPr>
          <w:lang w:eastAsia="en-US"/>
        </w:rPr>
      </w:pPr>
      <w:r w:rsidRPr="00B778A6">
        <w:rPr>
          <w:lang w:eastAsia="en-US"/>
        </w:rPr>
        <w:t xml:space="preserve">Projekto biudžetas </w:t>
      </w:r>
      <w:r w:rsidR="009526FC" w:rsidRPr="00B778A6">
        <w:rPr>
          <w:lang w:eastAsia="en-US"/>
        </w:rPr>
        <w:t xml:space="preserve">iš viso </w:t>
      </w:r>
      <w:r w:rsidRPr="00B778A6">
        <w:rPr>
          <w:lang w:eastAsia="en-US"/>
        </w:rPr>
        <w:t xml:space="preserve">siekia </w:t>
      </w:r>
      <w:r w:rsidR="007A41EE" w:rsidRPr="007A41EE">
        <w:rPr>
          <w:lang w:eastAsia="en-US"/>
        </w:rPr>
        <w:t>1</w:t>
      </w:r>
      <w:r w:rsidR="007A41EE">
        <w:rPr>
          <w:lang w:eastAsia="en-US"/>
        </w:rPr>
        <w:t>.</w:t>
      </w:r>
      <w:r w:rsidR="007A41EE" w:rsidRPr="007A41EE">
        <w:rPr>
          <w:lang w:eastAsia="en-US"/>
        </w:rPr>
        <w:t>132</w:t>
      </w:r>
      <w:r w:rsidR="007A41EE">
        <w:rPr>
          <w:lang w:eastAsia="en-US"/>
        </w:rPr>
        <w:t>.</w:t>
      </w:r>
      <w:r w:rsidR="007A41EE" w:rsidRPr="007A41EE">
        <w:rPr>
          <w:lang w:eastAsia="en-US"/>
        </w:rPr>
        <w:t>878,13</w:t>
      </w:r>
      <w:r w:rsidR="00375FC6" w:rsidRPr="00B778A6">
        <w:rPr>
          <w:lang w:eastAsia="en-US"/>
        </w:rPr>
        <w:t xml:space="preserve"> </w:t>
      </w:r>
      <w:r w:rsidR="006860FD" w:rsidRPr="00B778A6">
        <w:rPr>
          <w:lang w:eastAsia="en-US"/>
        </w:rPr>
        <w:t xml:space="preserve"> EUR. </w:t>
      </w:r>
      <w:r w:rsidRPr="00B778A6">
        <w:rPr>
          <w:lang w:eastAsia="en-US"/>
        </w:rPr>
        <w:t>Finansinės naudos skaičiavimui taikytas 25 m. laikotarpis, 4,00 % diskonto norma. Vertintos statybos išlaidos</w:t>
      </w:r>
      <w:r w:rsidR="009526FC" w:rsidRPr="00B778A6">
        <w:rPr>
          <w:lang w:eastAsia="en-US"/>
        </w:rPr>
        <w:t>, numatomi sutaupymai ir projekto finansavimas</w:t>
      </w:r>
      <w:r w:rsidRPr="00B778A6">
        <w:rPr>
          <w:lang w:eastAsia="en-US"/>
        </w:rPr>
        <w:t>.</w:t>
      </w:r>
    </w:p>
    <w:p w:rsidR="00B3657A" w:rsidRPr="00B778A6" w:rsidRDefault="00B3657A" w:rsidP="00B3657A">
      <w:pPr>
        <w:ind w:firstLine="709"/>
        <w:jc w:val="both"/>
        <w:rPr>
          <w:lang w:eastAsia="en-US"/>
        </w:rPr>
      </w:pPr>
      <w:r w:rsidRPr="00B778A6">
        <w:rPr>
          <w:lang w:eastAsia="en-US"/>
        </w:rPr>
        <w:t xml:space="preserve">Finansiniai projekto rodikliai: </w:t>
      </w:r>
    </w:p>
    <w:p w:rsidR="00E55CAF" w:rsidRPr="00B778A6" w:rsidRDefault="00E55CAF" w:rsidP="00E55CAF">
      <w:pPr>
        <w:numPr>
          <w:ilvl w:val="0"/>
          <w:numId w:val="3"/>
        </w:numPr>
        <w:autoSpaceDE w:val="0"/>
        <w:autoSpaceDN w:val="0"/>
        <w:adjustRightInd w:val="0"/>
        <w:jc w:val="both"/>
      </w:pPr>
      <w:r w:rsidRPr="00B778A6">
        <w:t>FGDV(I) – (-</w:t>
      </w:r>
      <w:r w:rsidR="00B855F4" w:rsidRPr="00B778A6">
        <w:t>0,</w:t>
      </w:r>
      <w:r w:rsidR="007A41EE">
        <w:t>631</w:t>
      </w:r>
      <w:r w:rsidR="00B855F4" w:rsidRPr="00B778A6">
        <w:t>) mln</w:t>
      </w:r>
      <w:r w:rsidRPr="00B778A6">
        <w:t>. EUR;</w:t>
      </w:r>
    </w:p>
    <w:p w:rsidR="00E55CAF" w:rsidRPr="00B778A6" w:rsidRDefault="00E55CAF" w:rsidP="00E55CAF">
      <w:pPr>
        <w:numPr>
          <w:ilvl w:val="0"/>
          <w:numId w:val="3"/>
        </w:numPr>
        <w:autoSpaceDE w:val="0"/>
        <w:autoSpaceDN w:val="0"/>
        <w:adjustRightInd w:val="0"/>
        <w:jc w:val="both"/>
      </w:pPr>
      <w:r w:rsidRPr="00B778A6">
        <w:t xml:space="preserve">FVGN(I) – </w:t>
      </w:r>
      <w:r w:rsidR="006860FD" w:rsidRPr="00B778A6">
        <w:t>(</w:t>
      </w:r>
      <w:r w:rsidR="007B2702" w:rsidRPr="00B778A6">
        <w:t>-0,</w:t>
      </w:r>
      <w:r w:rsidR="007A41EE">
        <w:t>43</w:t>
      </w:r>
      <w:r w:rsidR="006860FD" w:rsidRPr="00B778A6">
        <w:t>)</w:t>
      </w:r>
      <w:r w:rsidRPr="00B778A6">
        <w:t xml:space="preserve"> proc.;</w:t>
      </w:r>
    </w:p>
    <w:p w:rsidR="00B3657A" w:rsidRPr="00B778A6" w:rsidRDefault="006547AA" w:rsidP="006547AA">
      <w:pPr>
        <w:numPr>
          <w:ilvl w:val="0"/>
          <w:numId w:val="3"/>
        </w:numPr>
        <w:autoSpaceDE w:val="0"/>
        <w:autoSpaceDN w:val="0"/>
        <w:adjustRightInd w:val="0"/>
        <w:jc w:val="both"/>
      </w:pPr>
      <w:r w:rsidRPr="00B778A6">
        <w:t>FNIS – 0,</w:t>
      </w:r>
      <w:r w:rsidR="007A41EE" w:rsidRPr="00B778A6">
        <w:t>2</w:t>
      </w:r>
      <w:r w:rsidR="007A41EE">
        <w:t>3</w:t>
      </w:r>
      <w:r w:rsidR="00B3657A" w:rsidRPr="00B778A6">
        <w:t>;</w:t>
      </w:r>
    </w:p>
    <w:p w:rsidR="00E55CAF" w:rsidRPr="00B778A6" w:rsidRDefault="00E55CAF" w:rsidP="00E55CAF">
      <w:pPr>
        <w:numPr>
          <w:ilvl w:val="0"/>
          <w:numId w:val="3"/>
        </w:numPr>
        <w:autoSpaceDE w:val="0"/>
        <w:autoSpaceDN w:val="0"/>
        <w:adjustRightInd w:val="0"/>
        <w:jc w:val="both"/>
      </w:pPr>
      <w:r w:rsidRPr="00B778A6">
        <w:t>FGDV(K) – (-</w:t>
      </w:r>
      <w:r w:rsidR="007B2702" w:rsidRPr="00B778A6">
        <w:t>1,</w:t>
      </w:r>
      <w:r w:rsidR="007A41EE">
        <w:t>254</w:t>
      </w:r>
      <w:r w:rsidRPr="00B778A6">
        <w:t xml:space="preserve">) </w:t>
      </w:r>
      <w:r w:rsidR="00B855F4" w:rsidRPr="00B778A6">
        <w:t>mln. EUR;</w:t>
      </w:r>
    </w:p>
    <w:p w:rsidR="00E55CAF" w:rsidRPr="00B778A6" w:rsidRDefault="00E55CAF" w:rsidP="00E55CAF">
      <w:pPr>
        <w:pStyle w:val="Default"/>
        <w:numPr>
          <w:ilvl w:val="0"/>
          <w:numId w:val="3"/>
        </w:numPr>
        <w:rPr>
          <w:rFonts w:eastAsia="Calibri"/>
        </w:rPr>
      </w:pPr>
      <w:r w:rsidRPr="00B778A6">
        <w:t xml:space="preserve">FVGN(K) – </w:t>
      </w:r>
      <w:r w:rsidR="00EC75DC" w:rsidRPr="00B778A6">
        <w:t>(-</w:t>
      </w:r>
      <w:r w:rsidR="007B2702" w:rsidRPr="00B778A6">
        <w:t>4,</w:t>
      </w:r>
      <w:r w:rsidR="007A41EE">
        <w:t>54</w:t>
      </w:r>
      <w:r w:rsidR="00EC75DC" w:rsidRPr="00B778A6">
        <w:t>)</w:t>
      </w:r>
      <w:r w:rsidR="00B855F4" w:rsidRPr="00B778A6">
        <w:t xml:space="preserve"> proc.</w:t>
      </w:r>
    </w:p>
    <w:p w:rsidR="00B3657A" w:rsidRPr="00B778A6" w:rsidRDefault="00B3657A" w:rsidP="00B3657A">
      <w:pPr>
        <w:autoSpaceDE w:val="0"/>
        <w:autoSpaceDN w:val="0"/>
        <w:adjustRightInd w:val="0"/>
        <w:jc w:val="both"/>
      </w:pPr>
    </w:p>
    <w:p w:rsidR="00B3657A" w:rsidRPr="00B778A6" w:rsidRDefault="00E55CAF" w:rsidP="00B3657A">
      <w:pPr>
        <w:ind w:firstLine="709"/>
        <w:jc w:val="both"/>
        <w:rPr>
          <w:lang w:eastAsia="en-US"/>
        </w:rPr>
      </w:pPr>
      <w:r w:rsidRPr="00B778A6">
        <w:rPr>
          <w:lang w:eastAsia="en-US"/>
        </w:rPr>
        <w:t>Projektas finansiškai gyvybingas, tačiau negeneruojantis finansinės naudos.</w:t>
      </w:r>
    </w:p>
    <w:p w:rsidR="00B3657A" w:rsidRPr="00B778A6" w:rsidRDefault="00B3657A" w:rsidP="00B3657A">
      <w:pPr>
        <w:autoSpaceDE w:val="0"/>
        <w:autoSpaceDN w:val="0"/>
        <w:adjustRightInd w:val="0"/>
        <w:jc w:val="both"/>
        <w:rPr>
          <w:color w:val="000000"/>
        </w:rPr>
      </w:pPr>
    </w:p>
    <w:p w:rsidR="00B3657A" w:rsidRPr="00B778A6" w:rsidRDefault="00B3657A" w:rsidP="00B3657A">
      <w:pPr>
        <w:autoSpaceDE w:val="0"/>
        <w:autoSpaceDN w:val="0"/>
        <w:adjustRightInd w:val="0"/>
        <w:ind w:firstLine="709"/>
        <w:jc w:val="both"/>
        <w:rPr>
          <w:color w:val="000000"/>
        </w:rPr>
      </w:pPr>
      <w:r w:rsidRPr="00B778A6">
        <w:rPr>
          <w:b/>
          <w:bCs/>
          <w:color w:val="000000"/>
        </w:rPr>
        <w:t>Ekonominė analizė</w:t>
      </w:r>
    </w:p>
    <w:p w:rsidR="00B3657A" w:rsidRPr="00B778A6" w:rsidRDefault="00B3657A" w:rsidP="00B3657A">
      <w:pPr>
        <w:ind w:firstLine="709"/>
        <w:jc w:val="both"/>
        <w:rPr>
          <w:lang w:eastAsia="en-US"/>
        </w:rPr>
      </w:pPr>
      <w:r w:rsidRPr="00B778A6">
        <w:rPr>
          <w:lang w:eastAsia="en-US"/>
        </w:rPr>
        <w:t>Ekonominė-socialinė nauda 2014-2020 m. dalinai ES paramos lėšomis finansuojamiems projektams apskaičiuojama pagal „Metodikos ir modelio, skirto įvertinti investicijų, finansuojamų Europos Sąjungos struktūrinių fondų ir Lietuvos nacionalinio biudžeto lėšomis, socialinį-ekonominį poveikį, sukūrimas. Galutinė ataskaita“. Skaičiuojant projekto ekonominę-socialinę naudą</w:t>
      </w:r>
      <w:r w:rsidR="00385D91" w:rsidRPr="00B778A6">
        <w:rPr>
          <w:lang w:eastAsia="en-US"/>
        </w:rPr>
        <w:t>,</w:t>
      </w:r>
      <w:r w:rsidRPr="00B778A6">
        <w:rPr>
          <w:lang w:eastAsia="en-US"/>
        </w:rPr>
        <w:t xml:space="preserve"> vertint</w:t>
      </w:r>
      <w:r w:rsidR="00B855F4" w:rsidRPr="00B778A6">
        <w:rPr>
          <w:lang w:eastAsia="en-US"/>
        </w:rPr>
        <w:t>a</w:t>
      </w:r>
      <w:r w:rsidRPr="00B778A6">
        <w:rPr>
          <w:lang w:eastAsia="en-US"/>
        </w:rPr>
        <w:t xml:space="preserve"> </w:t>
      </w:r>
      <w:r w:rsidR="00B855F4" w:rsidRPr="00B778A6">
        <w:rPr>
          <w:lang w:eastAsia="en-US"/>
        </w:rPr>
        <w:t>1</w:t>
      </w:r>
      <w:r w:rsidRPr="00B778A6">
        <w:rPr>
          <w:lang w:eastAsia="en-US"/>
        </w:rPr>
        <w:t xml:space="preserve"> </w:t>
      </w:r>
      <w:r w:rsidR="00B855F4" w:rsidRPr="00B778A6">
        <w:rPr>
          <w:lang w:eastAsia="en-US"/>
        </w:rPr>
        <w:t>dedamoji</w:t>
      </w:r>
      <w:r w:rsidRPr="00B778A6">
        <w:rPr>
          <w:lang w:eastAsia="en-US"/>
        </w:rPr>
        <w:t>: anglies dioksido (kaip šiltnamio efektą sukeliančių dujų) emisijos sumažėjimas. Skaičiavimui taikyta 5,00 % diskonto norma, atlikti konvertavimo veiksmai.</w:t>
      </w:r>
    </w:p>
    <w:p w:rsidR="00B3657A" w:rsidRPr="00B778A6" w:rsidRDefault="00B3657A" w:rsidP="00B3657A">
      <w:pPr>
        <w:ind w:firstLine="709"/>
        <w:jc w:val="both"/>
        <w:rPr>
          <w:lang w:eastAsia="en-US"/>
        </w:rPr>
      </w:pPr>
      <w:r w:rsidRPr="00B778A6">
        <w:rPr>
          <w:lang w:eastAsia="en-US"/>
        </w:rPr>
        <w:t xml:space="preserve">Ekonominiai-socialiniai projekto rodikliai: </w:t>
      </w:r>
    </w:p>
    <w:p w:rsidR="00B855F4" w:rsidRPr="00B778A6" w:rsidRDefault="00B3657A" w:rsidP="00141E21">
      <w:pPr>
        <w:pStyle w:val="Default"/>
        <w:numPr>
          <w:ilvl w:val="0"/>
          <w:numId w:val="6"/>
        </w:numPr>
        <w:jc w:val="both"/>
        <w:rPr>
          <w:rFonts w:eastAsia="Calibri"/>
        </w:rPr>
      </w:pPr>
      <w:r w:rsidRPr="00B778A6">
        <w:rPr>
          <w:rFonts w:eastAsia="Calibri"/>
        </w:rPr>
        <w:t xml:space="preserve">EGDV – </w:t>
      </w:r>
      <w:r w:rsidR="00E55CAF" w:rsidRPr="00B778A6">
        <w:rPr>
          <w:rFonts w:eastAsia="Calibri"/>
        </w:rPr>
        <w:t>(-</w:t>
      </w:r>
      <w:r w:rsidR="00B855F4" w:rsidRPr="00B778A6">
        <w:rPr>
          <w:rFonts w:eastAsia="Calibri"/>
        </w:rPr>
        <w:t>0,</w:t>
      </w:r>
      <w:r w:rsidR="007A41EE" w:rsidRPr="00B778A6">
        <w:rPr>
          <w:rFonts w:eastAsia="Calibri"/>
        </w:rPr>
        <w:t>3</w:t>
      </w:r>
      <w:r w:rsidR="007A41EE">
        <w:rPr>
          <w:rFonts w:eastAsia="Calibri"/>
        </w:rPr>
        <w:t>95</w:t>
      </w:r>
      <w:r w:rsidR="00E55CAF" w:rsidRPr="00B778A6">
        <w:rPr>
          <w:rFonts w:eastAsia="Calibri"/>
        </w:rPr>
        <w:t>)</w:t>
      </w:r>
      <w:r w:rsidR="00141E21" w:rsidRPr="00B778A6">
        <w:rPr>
          <w:rFonts w:eastAsia="Calibri"/>
        </w:rPr>
        <w:t xml:space="preserve"> </w:t>
      </w:r>
      <w:r w:rsidR="00B855F4" w:rsidRPr="00B778A6">
        <w:t>mln. EUR;</w:t>
      </w:r>
    </w:p>
    <w:p w:rsidR="00B3657A" w:rsidRPr="00B778A6" w:rsidRDefault="00B3657A" w:rsidP="00141E21">
      <w:pPr>
        <w:pStyle w:val="Default"/>
        <w:numPr>
          <w:ilvl w:val="0"/>
          <w:numId w:val="6"/>
        </w:numPr>
        <w:jc w:val="both"/>
        <w:rPr>
          <w:rFonts w:eastAsia="Calibri"/>
        </w:rPr>
      </w:pPr>
      <w:r w:rsidRPr="00B778A6">
        <w:rPr>
          <w:rFonts w:eastAsia="Calibri"/>
        </w:rPr>
        <w:t xml:space="preserve">EVGN – </w:t>
      </w:r>
      <w:r w:rsidR="007B2702" w:rsidRPr="00B778A6">
        <w:rPr>
          <w:rFonts w:eastAsia="Calibri"/>
        </w:rPr>
        <w:t>1,</w:t>
      </w:r>
      <w:r w:rsidR="007A41EE">
        <w:rPr>
          <w:rFonts w:eastAsia="Calibri"/>
        </w:rPr>
        <w:t>10</w:t>
      </w:r>
      <w:r w:rsidR="007A41EE" w:rsidRPr="00B778A6">
        <w:rPr>
          <w:rFonts w:eastAsia="Calibri"/>
        </w:rPr>
        <w:t xml:space="preserve"> </w:t>
      </w:r>
      <w:r w:rsidR="00141E21" w:rsidRPr="00B778A6">
        <w:rPr>
          <w:rFonts w:eastAsia="Calibri"/>
        </w:rPr>
        <w:t>proc.;</w:t>
      </w:r>
    </w:p>
    <w:p w:rsidR="00B3657A" w:rsidRPr="00B778A6" w:rsidRDefault="00B3657A" w:rsidP="00141E21">
      <w:pPr>
        <w:numPr>
          <w:ilvl w:val="0"/>
          <w:numId w:val="6"/>
        </w:numPr>
        <w:jc w:val="both"/>
        <w:rPr>
          <w:color w:val="000000"/>
        </w:rPr>
      </w:pPr>
      <w:r w:rsidRPr="00B778A6">
        <w:rPr>
          <w:color w:val="000000"/>
        </w:rPr>
        <w:t xml:space="preserve">ENIS – </w:t>
      </w:r>
      <w:r w:rsidR="00E55CAF" w:rsidRPr="00B778A6">
        <w:rPr>
          <w:color w:val="000000"/>
        </w:rPr>
        <w:t>0,</w:t>
      </w:r>
      <w:r w:rsidR="007A41EE">
        <w:rPr>
          <w:color w:val="000000"/>
        </w:rPr>
        <w:t>35</w:t>
      </w:r>
      <w:r w:rsidRPr="00B778A6">
        <w:rPr>
          <w:color w:val="000000"/>
        </w:rPr>
        <w:t>.</w:t>
      </w:r>
    </w:p>
    <w:p w:rsidR="00141E21" w:rsidRPr="00B778A6" w:rsidRDefault="00141E21" w:rsidP="00B3657A">
      <w:pPr>
        <w:ind w:firstLine="709"/>
        <w:jc w:val="both"/>
        <w:rPr>
          <w:lang w:eastAsia="en-US"/>
        </w:rPr>
      </w:pPr>
    </w:p>
    <w:p w:rsidR="00B3657A" w:rsidRPr="00B778A6" w:rsidRDefault="00E55CAF" w:rsidP="00B3657A">
      <w:pPr>
        <w:ind w:firstLine="709"/>
        <w:jc w:val="both"/>
        <w:rPr>
          <w:lang w:eastAsia="en-US"/>
        </w:rPr>
      </w:pPr>
      <w:r w:rsidRPr="00B778A6">
        <w:rPr>
          <w:lang w:eastAsia="en-US"/>
        </w:rPr>
        <w:t>Projektas skirtas ne finansinės naudos generavimui, o šilumo</w:t>
      </w:r>
      <w:r w:rsidR="00B855F4" w:rsidRPr="00B778A6">
        <w:rPr>
          <w:lang w:eastAsia="en-US"/>
        </w:rPr>
        <w:t>s energijos sąnaudų sumažinimui, įstaigos veiklos optimizavimui.</w:t>
      </w:r>
    </w:p>
    <w:p w:rsidR="00B3657A" w:rsidRPr="00B778A6" w:rsidRDefault="00B3657A" w:rsidP="00B3657A">
      <w:pPr>
        <w:autoSpaceDE w:val="0"/>
        <w:autoSpaceDN w:val="0"/>
        <w:adjustRightInd w:val="0"/>
        <w:jc w:val="both"/>
        <w:rPr>
          <w:color w:val="000000"/>
        </w:rPr>
      </w:pPr>
    </w:p>
    <w:p w:rsidR="00B3657A" w:rsidRPr="00B778A6" w:rsidRDefault="00B3657A" w:rsidP="00B3657A">
      <w:pPr>
        <w:autoSpaceDE w:val="0"/>
        <w:autoSpaceDN w:val="0"/>
        <w:adjustRightInd w:val="0"/>
        <w:ind w:firstLine="709"/>
        <w:jc w:val="both"/>
        <w:rPr>
          <w:color w:val="000000"/>
        </w:rPr>
      </w:pPr>
      <w:r w:rsidRPr="00B778A6">
        <w:rPr>
          <w:b/>
          <w:bCs/>
          <w:color w:val="000000"/>
        </w:rPr>
        <w:t>Jautrumas ir rizikos</w:t>
      </w:r>
      <w:r w:rsidRPr="00B778A6">
        <w:rPr>
          <w:color w:val="000000"/>
        </w:rPr>
        <w:t xml:space="preserve"> </w:t>
      </w:r>
    </w:p>
    <w:p w:rsidR="00B3657A" w:rsidRPr="00B778A6" w:rsidRDefault="008711F8" w:rsidP="00B3657A">
      <w:pPr>
        <w:ind w:firstLine="709"/>
        <w:jc w:val="both"/>
        <w:rPr>
          <w:lang w:eastAsia="en-US"/>
        </w:rPr>
      </w:pPr>
      <w:r w:rsidRPr="00B778A6">
        <w:rPr>
          <w:lang w:eastAsia="en-US"/>
        </w:rPr>
        <w:t xml:space="preserve">Jautrumo analizės metu buvo nustatyti kritiniai kintamieji. Tačiau kadangi projekto ekonominė grynoji dabartinė vertė yra neigiama, kritinių kintamųjų vertė nėra vertinama. Scenarijų analizė parodė, kad projektas yra rizikingas. </w:t>
      </w:r>
      <w:r w:rsidR="009A50DE" w:rsidRPr="00B778A6">
        <w:rPr>
          <w:lang w:eastAsia="en-US"/>
        </w:rPr>
        <w:t>Net</w:t>
      </w:r>
      <w:r w:rsidRPr="00B778A6">
        <w:rPr>
          <w:lang w:eastAsia="en-US"/>
        </w:rPr>
        <w:t xml:space="preserve"> optimistinio scenarijaus atveju (visiems kritiniams kintamiesiems esant 25 proc. palankesniems) projekto ekonominė grynoji dabartinė vertė yra </w:t>
      </w:r>
      <w:r w:rsidR="009A50DE" w:rsidRPr="00B778A6">
        <w:rPr>
          <w:lang w:eastAsia="en-US"/>
        </w:rPr>
        <w:t>n</w:t>
      </w:r>
      <w:r w:rsidRPr="00B778A6">
        <w:rPr>
          <w:lang w:eastAsia="en-US"/>
        </w:rPr>
        <w:t xml:space="preserve">eigiama. Didžiausios projekto rizikos yra susijusios su rangos darbų </w:t>
      </w:r>
      <w:r w:rsidR="00867822" w:rsidRPr="00B778A6">
        <w:rPr>
          <w:lang w:eastAsia="en-US"/>
        </w:rPr>
        <w:t xml:space="preserve">kaina, </w:t>
      </w:r>
      <w:r w:rsidRPr="00B778A6">
        <w:rPr>
          <w:lang w:eastAsia="en-US"/>
        </w:rPr>
        <w:t>kokybės užtikrinimu. Numatytos rizikų valdymo priemonės.</w:t>
      </w:r>
    </w:p>
    <w:p w:rsidR="00B3657A" w:rsidRPr="00B778A6" w:rsidRDefault="00B3657A" w:rsidP="00B3657A">
      <w:pPr>
        <w:autoSpaceDE w:val="0"/>
        <w:autoSpaceDN w:val="0"/>
        <w:adjustRightInd w:val="0"/>
        <w:jc w:val="both"/>
        <w:rPr>
          <w:b/>
          <w:bCs/>
          <w:color w:val="000000"/>
        </w:rPr>
      </w:pPr>
    </w:p>
    <w:p w:rsidR="00B3657A" w:rsidRPr="00B778A6" w:rsidRDefault="00B3657A" w:rsidP="00B3657A">
      <w:pPr>
        <w:autoSpaceDE w:val="0"/>
        <w:autoSpaceDN w:val="0"/>
        <w:adjustRightInd w:val="0"/>
        <w:ind w:firstLine="709"/>
        <w:jc w:val="both"/>
        <w:rPr>
          <w:color w:val="000000"/>
        </w:rPr>
      </w:pPr>
      <w:r w:rsidRPr="00B778A6">
        <w:rPr>
          <w:b/>
          <w:bCs/>
          <w:color w:val="000000"/>
        </w:rPr>
        <w:t>Vykdymo planas</w:t>
      </w:r>
    </w:p>
    <w:p w:rsidR="00B3657A" w:rsidRPr="00B778A6" w:rsidRDefault="00B3657A" w:rsidP="00B3657A">
      <w:pPr>
        <w:ind w:firstLine="709"/>
        <w:jc w:val="both"/>
        <w:rPr>
          <w:lang w:eastAsia="en-US"/>
        </w:rPr>
      </w:pPr>
      <w:r w:rsidRPr="00B778A6">
        <w:rPr>
          <w:lang w:eastAsia="en-US"/>
        </w:rPr>
        <w:t xml:space="preserve">Planuojama projekto įgyvendinimo trukmė – </w:t>
      </w:r>
      <w:r w:rsidR="007B2702" w:rsidRPr="00B778A6">
        <w:rPr>
          <w:lang w:eastAsia="en-US"/>
        </w:rPr>
        <w:t xml:space="preserve">21 </w:t>
      </w:r>
      <w:r w:rsidRPr="00B778A6">
        <w:rPr>
          <w:lang w:eastAsia="en-US"/>
        </w:rPr>
        <w:t xml:space="preserve">mėn., </w:t>
      </w:r>
      <w:r w:rsidR="00626C39" w:rsidRPr="00B778A6">
        <w:rPr>
          <w:lang w:eastAsia="en-US"/>
        </w:rPr>
        <w:t xml:space="preserve">projektavimo pradžia – </w:t>
      </w:r>
      <w:r w:rsidR="007B2702" w:rsidRPr="00B778A6">
        <w:rPr>
          <w:lang w:eastAsia="en-US"/>
        </w:rPr>
        <w:t xml:space="preserve">2022 </w:t>
      </w:r>
      <w:r w:rsidR="00626C39" w:rsidRPr="00B778A6">
        <w:rPr>
          <w:lang w:eastAsia="en-US"/>
        </w:rPr>
        <w:t xml:space="preserve">m. </w:t>
      </w:r>
      <w:r w:rsidR="007B2702" w:rsidRPr="00B778A6">
        <w:rPr>
          <w:lang w:eastAsia="en-US"/>
        </w:rPr>
        <w:t>balandis</w:t>
      </w:r>
      <w:r w:rsidR="00626C39" w:rsidRPr="00B778A6">
        <w:rPr>
          <w:lang w:eastAsia="en-US"/>
        </w:rPr>
        <w:t xml:space="preserve">, </w:t>
      </w:r>
      <w:r w:rsidR="00EC75DC" w:rsidRPr="00B778A6">
        <w:rPr>
          <w:lang w:eastAsia="en-US"/>
        </w:rPr>
        <w:t xml:space="preserve">darbų </w:t>
      </w:r>
      <w:r w:rsidRPr="00B778A6">
        <w:rPr>
          <w:lang w:eastAsia="en-US"/>
        </w:rPr>
        <w:t xml:space="preserve">pradžia – </w:t>
      </w:r>
      <w:r w:rsidR="007A41EE" w:rsidRPr="00B778A6">
        <w:rPr>
          <w:lang w:eastAsia="en-US"/>
        </w:rPr>
        <w:t>202</w:t>
      </w:r>
      <w:r w:rsidR="00695DE6">
        <w:rPr>
          <w:lang w:eastAsia="en-US"/>
        </w:rPr>
        <w:t>3</w:t>
      </w:r>
      <w:r w:rsidR="007A41EE" w:rsidRPr="00B778A6">
        <w:rPr>
          <w:lang w:eastAsia="en-US"/>
        </w:rPr>
        <w:t xml:space="preserve"> </w:t>
      </w:r>
      <w:r w:rsidRPr="00B778A6">
        <w:rPr>
          <w:lang w:eastAsia="en-US"/>
        </w:rPr>
        <w:t xml:space="preserve">m. </w:t>
      </w:r>
      <w:r w:rsidR="007A41EE">
        <w:rPr>
          <w:lang w:eastAsia="en-US"/>
        </w:rPr>
        <w:t>sausis</w:t>
      </w:r>
      <w:r w:rsidRPr="00B778A6">
        <w:rPr>
          <w:lang w:eastAsia="en-US"/>
        </w:rPr>
        <w:t xml:space="preserve">. Projekto tęstinumas bus užtikrintas veiklos vykdymo, organizaciniu, finansiniu, eksploataciniu požiūriu, nes už įstaigų veiklą yra atsakinga </w:t>
      </w:r>
      <w:r w:rsidR="0033067A" w:rsidRPr="00B778A6">
        <w:rPr>
          <w:lang w:eastAsia="en-US"/>
        </w:rPr>
        <w:t>Prienų</w:t>
      </w:r>
      <w:r w:rsidRPr="00B778A6">
        <w:rPr>
          <w:lang w:eastAsia="en-US"/>
        </w:rPr>
        <w:t xml:space="preserve"> rajono savivaldybė.</w:t>
      </w:r>
    </w:p>
    <w:p w:rsidR="00B3657A" w:rsidRPr="00B778A6" w:rsidRDefault="00B3657A" w:rsidP="00B3657A">
      <w:pPr>
        <w:autoSpaceDE w:val="0"/>
        <w:autoSpaceDN w:val="0"/>
        <w:adjustRightInd w:val="0"/>
        <w:rPr>
          <w:b/>
          <w:color w:val="000000"/>
          <w:sz w:val="22"/>
          <w:szCs w:val="22"/>
        </w:rPr>
      </w:pPr>
    </w:p>
    <w:p w:rsidR="00B3657A" w:rsidRPr="00B778A6" w:rsidRDefault="00B3657A" w:rsidP="00B3657A">
      <w:pPr>
        <w:autoSpaceDE w:val="0"/>
        <w:autoSpaceDN w:val="0"/>
        <w:adjustRightInd w:val="0"/>
        <w:rPr>
          <w:b/>
          <w:color w:val="000000"/>
        </w:rPr>
      </w:pPr>
      <w:r w:rsidRPr="00B778A6">
        <w:rPr>
          <w:b/>
          <w:color w:val="000000"/>
        </w:rPr>
        <w:t>Duomenų apie investicijų projektą suvestinė lentelė:</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127"/>
        <w:gridCol w:w="6945"/>
      </w:tblGrid>
      <w:tr w:rsidR="00B3657A" w:rsidRPr="00B778A6" w:rsidTr="00875E2F">
        <w:trPr>
          <w:trHeight w:val="110"/>
        </w:trPr>
        <w:tc>
          <w:tcPr>
            <w:tcW w:w="675" w:type="dxa"/>
            <w:shd w:val="clear" w:color="auto" w:fill="D9D9D9"/>
            <w:vAlign w:val="center"/>
          </w:tcPr>
          <w:p w:rsidR="00B3657A" w:rsidRPr="00B778A6" w:rsidRDefault="00B3657A" w:rsidP="00693BAB">
            <w:pPr>
              <w:autoSpaceDE w:val="0"/>
              <w:autoSpaceDN w:val="0"/>
              <w:adjustRightInd w:val="0"/>
              <w:jc w:val="center"/>
              <w:rPr>
                <w:color w:val="000000"/>
                <w:sz w:val="22"/>
                <w:szCs w:val="22"/>
              </w:rPr>
            </w:pPr>
            <w:r w:rsidRPr="00B778A6">
              <w:rPr>
                <w:b/>
                <w:bCs/>
                <w:color w:val="000000"/>
                <w:sz w:val="22"/>
                <w:szCs w:val="22"/>
              </w:rPr>
              <w:t>Eil. Nr.</w:t>
            </w:r>
          </w:p>
        </w:tc>
        <w:tc>
          <w:tcPr>
            <w:tcW w:w="2127" w:type="dxa"/>
            <w:shd w:val="clear" w:color="auto" w:fill="D9D9D9"/>
            <w:vAlign w:val="center"/>
          </w:tcPr>
          <w:p w:rsidR="00B3657A" w:rsidRPr="00B778A6" w:rsidRDefault="00B3657A" w:rsidP="00693BAB">
            <w:pPr>
              <w:autoSpaceDE w:val="0"/>
              <w:autoSpaceDN w:val="0"/>
              <w:adjustRightInd w:val="0"/>
              <w:jc w:val="center"/>
              <w:rPr>
                <w:color w:val="000000"/>
                <w:sz w:val="22"/>
                <w:szCs w:val="22"/>
              </w:rPr>
            </w:pPr>
            <w:r w:rsidRPr="00B778A6">
              <w:rPr>
                <w:b/>
                <w:bCs/>
                <w:color w:val="000000"/>
                <w:sz w:val="22"/>
                <w:szCs w:val="22"/>
              </w:rPr>
              <w:t>Investicijų projekto duomenys</w:t>
            </w:r>
          </w:p>
        </w:tc>
        <w:tc>
          <w:tcPr>
            <w:tcW w:w="6945" w:type="dxa"/>
            <w:shd w:val="clear" w:color="auto" w:fill="D9D9D9"/>
            <w:vAlign w:val="center"/>
          </w:tcPr>
          <w:p w:rsidR="00B3657A" w:rsidRPr="00B778A6" w:rsidRDefault="00B3657A" w:rsidP="00693BAB">
            <w:pPr>
              <w:autoSpaceDE w:val="0"/>
              <w:autoSpaceDN w:val="0"/>
              <w:adjustRightInd w:val="0"/>
              <w:jc w:val="center"/>
              <w:rPr>
                <w:color w:val="000000"/>
                <w:sz w:val="22"/>
                <w:szCs w:val="22"/>
              </w:rPr>
            </w:pPr>
            <w:r w:rsidRPr="00B778A6">
              <w:rPr>
                <w:b/>
                <w:bCs/>
                <w:color w:val="000000"/>
                <w:sz w:val="22"/>
                <w:szCs w:val="22"/>
              </w:rPr>
              <w:t>Investicijų projekto duomenų aprašymas</w:t>
            </w:r>
          </w:p>
        </w:tc>
      </w:tr>
      <w:tr w:rsidR="00B3657A" w:rsidRPr="00B778A6" w:rsidTr="00693BAB">
        <w:trPr>
          <w:trHeight w:val="377"/>
        </w:trPr>
        <w:tc>
          <w:tcPr>
            <w:tcW w:w="675" w:type="dxa"/>
          </w:tcPr>
          <w:p w:rsidR="00B3657A" w:rsidRPr="00B778A6" w:rsidRDefault="00B3657A" w:rsidP="00693BAB">
            <w:pPr>
              <w:autoSpaceDE w:val="0"/>
              <w:autoSpaceDN w:val="0"/>
              <w:adjustRightInd w:val="0"/>
              <w:jc w:val="center"/>
              <w:rPr>
                <w:color w:val="000000"/>
                <w:sz w:val="22"/>
                <w:szCs w:val="22"/>
              </w:rPr>
            </w:pPr>
            <w:r w:rsidRPr="00B778A6">
              <w:rPr>
                <w:color w:val="000000"/>
                <w:sz w:val="22"/>
                <w:szCs w:val="22"/>
              </w:rPr>
              <w:t>1.</w:t>
            </w:r>
          </w:p>
        </w:tc>
        <w:tc>
          <w:tcPr>
            <w:tcW w:w="2127" w:type="dxa"/>
          </w:tcPr>
          <w:p w:rsidR="00B3657A" w:rsidRPr="00B778A6" w:rsidRDefault="00B3657A" w:rsidP="00693BAB">
            <w:pPr>
              <w:autoSpaceDE w:val="0"/>
              <w:autoSpaceDN w:val="0"/>
              <w:adjustRightInd w:val="0"/>
              <w:rPr>
                <w:sz w:val="22"/>
                <w:szCs w:val="22"/>
              </w:rPr>
            </w:pPr>
            <w:r w:rsidRPr="00B778A6">
              <w:rPr>
                <w:sz w:val="22"/>
                <w:szCs w:val="22"/>
              </w:rPr>
              <w:t xml:space="preserve">Viešoji paslauga, kurios kokybei gerinti skirtas investicijų projektas </w:t>
            </w:r>
          </w:p>
        </w:tc>
        <w:tc>
          <w:tcPr>
            <w:tcW w:w="6945" w:type="dxa"/>
          </w:tcPr>
          <w:p w:rsidR="00574660" w:rsidRPr="00B778A6" w:rsidRDefault="00B3657A" w:rsidP="00574660">
            <w:pPr>
              <w:autoSpaceDE w:val="0"/>
              <w:autoSpaceDN w:val="0"/>
              <w:adjustRightInd w:val="0"/>
              <w:jc w:val="both"/>
              <w:rPr>
                <w:sz w:val="22"/>
                <w:szCs w:val="22"/>
              </w:rPr>
            </w:pPr>
            <w:r w:rsidRPr="00B778A6">
              <w:rPr>
                <w:sz w:val="22"/>
                <w:szCs w:val="22"/>
              </w:rPr>
              <w:t>Viešoji paslauga (pagal LR vietos savivaldos įstatym</w:t>
            </w:r>
            <w:r w:rsidR="00574660" w:rsidRPr="00B778A6">
              <w:rPr>
                <w:sz w:val="22"/>
                <w:szCs w:val="22"/>
              </w:rPr>
              <w:t xml:space="preserve">o </w:t>
            </w:r>
            <w:r w:rsidR="00E24A5B">
              <w:rPr>
                <w:sz w:val="22"/>
                <w:szCs w:val="22"/>
              </w:rPr>
              <w:t>6</w:t>
            </w:r>
            <w:r w:rsidR="00E24A5B" w:rsidRPr="00B778A6">
              <w:rPr>
                <w:sz w:val="22"/>
                <w:szCs w:val="22"/>
              </w:rPr>
              <w:t xml:space="preserve"> </w:t>
            </w:r>
            <w:r w:rsidR="00574660" w:rsidRPr="00B778A6">
              <w:rPr>
                <w:sz w:val="22"/>
                <w:szCs w:val="22"/>
              </w:rPr>
              <w:t>str.</w:t>
            </w:r>
            <w:r w:rsidR="00E24A5B">
              <w:rPr>
                <w:sz w:val="22"/>
                <w:szCs w:val="22"/>
              </w:rPr>
              <w:t xml:space="preserve"> 8 p.</w:t>
            </w:r>
            <w:r w:rsidR="004E5BA8" w:rsidRPr="00B778A6">
              <w:rPr>
                <w:sz w:val="22"/>
                <w:szCs w:val="22"/>
              </w:rPr>
              <w:t>)</w:t>
            </w:r>
            <w:r w:rsidR="00574660" w:rsidRPr="00B778A6">
              <w:rPr>
                <w:sz w:val="22"/>
                <w:szCs w:val="22"/>
              </w:rPr>
              <w:t xml:space="preserve">: </w:t>
            </w:r>
            <w:r w:rsidR="009D2ACD" w:rsidRPr="00B778A6">
              <w:rPr>
                <w:sz w:val="22"/>
                <w:szCs w:val="22"/>
              </w:rPr>
              <w:t>ikimokyklinio ugdymo, vaikų ir suaugusiųjų neformaliojo švietimo organizavimas, vaikų ir jaunimo užimtumo organizavimas</w:t>
            </w:r>
            <w:r w:rsidR="00100088">
              <w:rPr>
                <w:sz w:val="22"/>
                <w:szCs w:val="22"/>
              </w:rPr>
              <w:t>.</w:t>
            </w:r>
          </w:p>
          <w:p w:rsidR="00574660" w:rsidRPr="00B778A6" w:rsidRDefault="00574660" w:rsidP="0067083E">
            <w:pPr>
              <w:autoSpaceDE w:val="0"/>
              <w:autoSpaceDN w:val="0"/>
              <w:adjustRightInd w:val="0"/>
              <w:jc w:val="both"/>
              <w:rPr>
                <w:sz w:val="22"/>
                <w:szCs w:val="22"/>
              </w:rPr>
            </w:pPr>
            <w:r w:rsidRPr="00B778A6">
              <w:rPr>
                <w:sz w:val="22"/>
                <w:szCs w:val="22"/>
              </w:rPr>
              <w:t>Tikslinės projekto grupės:</w:t>
            </w:r>
          </w:p>
          <w:p w:rsidR="009D2ACD" w:rsidRPr="00B778A6" w:rsidRDefault="009D2ACD" w:rsidP="00B778A6">
            <w:pPr>
              <w:numPr>
                <w:ilvl w:val="0"/>
                <w:numId w:val="14"/>
              </w:numPr>
              <w:autoSpaceDE w:val="0"/>
              <w:autoSpaceDN w:val="0"/>
              <w:adjustRightInd w:val="0"/>
              <w:ind w:left="317" w:hanging="284"/>
              <w:jc w:val="both"/>
              <w:rPr>
                <w:sz w:val="22"/>
                <w:szCs w:val="22"/>
              </w:rPr>
            </w:pPr>
            <w:r w:rsidRPr="00B778A6">
              <w:rPr>
                <w:sz w:val="22"/>
                <w:szCs w:val="22"/>
              </w:rPr>
              <w:t>vaikai iki 7 metų amžiaus;</w:t>
            </w:r>
          </w:p>
          <w:p w:rsidR="00B3657A" w:rsidRPr="00B778A6" w:rsidRDefault="009D2ACD" w:rsidP="002646D3">
            <w:pPr>
              <w:numPr>
                <w:ilvl w:val="0"/>
                <w:numId w:val="14"/>
              </w:numPr>
              <w:autoSpaceDE w:val="0"/>
              <w:autoSpaceDN w:val="0"/>
              <w:adjustRightInd w:val="0"/>
              <w:ind w:left="317" w:hanging="284"/>
              <w:jc w:val="both"/>
              <w:rPr>
                <w:sz w:val="22"/>
                <w:szCs w:val="22"/>
              </w:rPr>
            </w:pPr>
            <w:r w:rsidRPr="00B778A6">
              <w:rPr>
                <w:sz w:val="22"/>
                <w:szCs w:val="22"/>
              </w:rPr>
              <w:t>suaugusieji (vaikų tėvai (globėjai) ir įstaigos darbuotojai).</w:t>
            </w:r>
          </w:p>
        </w:tc>
      </w:tr>
      <w:tr w:rsidR="00B3657A" w:rsidRPr="00B778A6" w:rsidTr="00693BAB">
        <w:trPr>
          <w:trHeight w:val="110"/>
        </w:trPr>
        <w:tc>
          <w:tcPr>
            <w:tcW w:w="675" w:type="dxa"/>
          </w:tcPr>
          <w:p w:rsidR="00B3657A" w:rsidRPr="00B778A6" w:rsidRDefault="00B3657A" w:rsidP="00693BAB">
            <w:pPr>
              <w:autoSpaceDE w:val="0"/>
              <w:autoSpaceDN w:val="0"/>
              <w:adjustRightInd w:val="0"/>
              <w:jc w:val="center"/>
              <w:rPr>
                <w:color w:val="000000"/>
                <w:sz w:val="22"/>
                <w:szCs w:val="22"/>
              </w:rPr>
            </w:pPr>
            <w:r w:rsidRPr="00B778A6">
              <w:rPr>
                <w:color w:val="000000"/>
                <w:sz w:val="22"/>
                <w:szCs w:val="22"/>
              </w:rPr>
              <w:t>2.</w:t>
            </w:r>
          </w:p>
        </w:tc>
        <w:tc>
          <w:tcPr>
            <w:tcW w:w="2127" w:type="dxa"/>
          </w:tcPr>
          <w:p w:rsidR="00B3657A" w:rsidRPr="00B778A6" w:rsidRDefault="00B3657A" w:rsidP="00693BAB">
            <w:pPr>
              <w:autoSpaceDE w:val="0"/>
              <w:autoSpaceDN w:val="0"/>
              <w:adjustRightInd w:val="0"/>
              <w:rPr>
                <w:color w:val="000000"/>
                <w:sz w:val="22"/>
                <w:szCs w:val="22"/>
              </w:rPr>
            </w:pPr>
            <w:r w:rsidRPr="00B778A6">
              <w:rPr>
                <w:color w:val="000000"/>
                <w:sz w:val="22"/>
                <w:szCs w:val="22"/>
              </w:rPr>
              <w:t xml:space="preserve">Projekto tikslas </w:t>
            </w:r>
          </w:p>
        </w:tc>
        <w:tc>
          <w:tcPr>
            <w:tcW w:w="6945" w:type="dxa"/>
          </w:tcPr>
          <w:p w:rsidR="00B3657A" w:rsidRPr="00B778A6" w:rsidRDefault="00574660" w:rsidP="00693BAB">
            <w:pPr>
              <w:jc w:val="both"/>
              <w:rPr>
                <w:color w:val="000000"/>
                <w:sz w:val="22"/>
                <w:szCs w:val="22"/>
              </w:rPr>
            </w:pPr>
            <w:r w:rsidRPr="00B778A6">
              <w:rPr>
                <w:color w:val="000000"/>
                <w:sz w:val="22"/>
                <w:szCs w:val="22"/>
              </w:rPr>
              <w:t xml:space="preserve">Optimizuoti </w:t>
            </w:r>
            <w:r w:rsidR="0033067A" w:rsidRPr="00B778A6">
              <w:rPr>
                <w:color w:val="000000"/>
                <w:sz w:val="22"/>
                <w:szCs w:val="22"/>
              </w:rPr>
              <w:t>Prienų</w:t>
            </w:r>
            <w:r w:rsidRPr="00B778A6">
              <w:rPr>
                <w:color w:val="000000"/>
                <w:sz w:val="22"/>
                <w:szCs w:val="22"/>
              </w:rPr>
              <w:t xml:space="preserve"> rajono savivaldybės administracijos teikiamų viešųjų paslaugų kaštus</w:t>
            </w:r>
          </w:p>
        </w:tc>
      </w:tr>
      <w:tr w:rsidR="00B3657A" w:rsidRPr="00B778A6" w:rsidTr="00693BAB">
        <w:trPr>
          <w:trHeight w:val="110"/>
        </w:trPr>
        <w:tc>
          <w:tcPr>
            <w:tcW w:w="675" w:type="dxa"/>
          </w:tcPr>
          <w:p w:rsidR="00B3657A" w:rsidRPr="00B778A6" w:rsidRDefault="00B3657A" w:rsidP="00693BAB">
            <w:pPr>
              <w:autoSpaceDE w:val="0"/>
              <w:autoSpaceDN w:val="0"/>
              <w:adjustRightInd w:val="0"/>
              <w:jc w:val="center"/>
              <w:rPr>
                <w:color w:val="000000"/>
                <w:sz w:val="22"/>
                <w:szCs w:val="22"/>
              </w:rPr>
            </w:pPr>
            <w:r w:rsidRPr="00B778A6">
              <w:rPr>
                <w:color w:val="000000"/>
                <w:sz w:val="22"/>
                <w:szCs w:val="22"/>
              </w:rPr>
              <w:t>3.</w:t>
            </w:r>
          </w:p>
        </w:tc>
        <w:tc>
          <w:tcPr>
            <w:tcW w:w="2127" w:type="dxa"/>
          </w:tcPr>
          <w:p w:rsidR="00B3657A" w:rsidRPr="00B778A6" w:rsidRDefault="00B3657A" w:rsidP="00693BAB">
            <w:pPr>
              <w:autoSpaceDE w:val="0"/>
              <w:autoSpaceDN w:val="0"/>
              <w:adjustRightInd w:val="0"/>
              <w:rPr>
                <w:color w:val="000000"/>
                <w:sz w:val="22"/>
                <w:szCs w:val="22"/>
              </w:rPr>
            </w:pPr>
            <w:r w:rsidRPr="00B778A6">
              <w:rPr>
                <w:color w:val="000000"/>
                <w:sz w:val="22"/>
                <w:szCs w:val="22"/>
              </w:rPr>
              <w:t xml:space="preserve">Projekto veiklos </w:t>
            </w:r>
          </w:p>
        </w:tc>
        <w:tc>
          <w:tcPr>
            <w:tcW w:w="6945" w:type="dxa"/>
          </w:tcPr>
          <w:p w:rsidR="00B3657A" w:rsidRPr="00B778A6" w:rsidRDefault="00411565" w:rsidP="00574660">
            <w:pPr>
              <w:jc w:val="both"/>
              <w:rPr>
                <w:color w:val="000000"/>
                <w:sz w:val="22"/>
                <w:szCs w:val="22"/>
              </w:rPr>
            </w:pPr>
            <w:r w:rsidRPr="00B778A6">
              <w:rPr>
                <w:color w:val="000000"/>
                <w:sz w:val="22"/>
                <w:szCs w:val="22"/>
              </w:rPr>
              <w:t>Lopšelio-</w:t>
            </w:r>
            <w:r w:rsidR="009D2ACD" w:rsidRPr="00B778A6">
              <w:rPr>
                <w:color w:val="000000"/>
                <w:sz w:val="22"/>
                <w:szCs w:val="22"/>
              </w:rPr>
              <w:t>darželio Gintarėlis pastato energetinio efektyvumo pagerinimas</w:t>
            </w:r>
          </w:p>
        </w:tc>
      </w:tr>
      <w:tr w:rsidR="00B3657A" w:rsidRPr="00B778A6" w:rsidTr="00693BAB">
        <w:trPr>
          <w:trHeight w:val="110"/>
        </w:trPr>
        <w:tc>
          <w:tcPr>
            <w:tcW w:w="675" w:type="dxa"/>
          </w:tcPr>
          <w:p w:rsidR="00B3657A" w:rsidRPr="00B778A6" w:rsidRDefault="00B3657A" w:rsidP="00693BAB">
            <w:pPr>
              <w:autoSpaceDE w:val="0"/>
              <w:autoSpaceDN w:val="0"/>
              <w:adjustRightInd w:val="0"/>
              <w:jc w:val="center"/>
              <w:rPr>
                <w:color w:val="000000"/>
                <w:sz w:val="22"/>
                <w:szCs w:val="22"/>
              </w:rPr>
            </w:pPr>
            <w:r w:rsidRPr="00B778A6">
              <w:rPr>
                <w:color w:val="000000"/>
                <w:sz w:val="22"/>
                <w:szCs w:val="22"/>
              </w:rPr>
              <w:t>4.</w:t>
            </w:r>
          </w:p>
        </w:tc>
        <w:tc>
          <w:tcPr>
            <w:tcW w:w="2127" w:type="dxa"/>
          </w:tcPr>
          <w:p w:rsidR="00B3657A" w:rsidRPr="00B778A6" w:rsidRDefault="00B3657A" w:rsidP="00693BAB">
            <w:pPr>
              <w:autoSpaceDE w:val="0"/>
              <w:autoSpaceDN w:val="0"/>
              <w:adjustRightInd w:val="0"/>
              <w:rPr>
                <w:color w:val="000000"/>
                <w:sz w:val="22"/>
                <w:szCs w:val="22"/>
              </w:rPr>
            </w:pPr>
            <w:r w:rsidRPr="00B778A6">
              <w:rPr>
                <w:color w:val="000000"/>
                <w:sz w:val="22"/>
                <w:szCs w:val="22"/>
              </w:rPr>
              <w:t xml:space="preserve">Projekto pareiškėjas </w:t>
            </w:r>
          </w:p>
        </w:tc>
        <w:tc>
          <w:tcPr>
            <w:tcW w:w="6945" w:type="dxa"/>
          </w:tcPr>
          <w:p w:rsidR="00B3657A" w:rsidRPr="00B778A6" w:rsidRDefault="0033067A" w:rsidP="00693BAB">
            <w:pPr>
              <w:autoSpaceDE w:val="0"/>
              <w:autoSpaceDN w:val="0"/>
              <w:adjustRightInd w:val="0"/>
              <w:jc w:val="both"/>
              <w:rPr>
                <w:color w:val="000000"/>
                <w:sz w:val="22"/>
                <w:szCs w:val="22"/>
              </w:rPr>
            </w:pPr>
            <w:r w:rsidRPr="00B778A6">
              <w:rPr>
                <w:color w:val="000000"/>
                <w:sz w:val="22"/>
                <w:szCs w:val="22"/>
              </w:rPr>
              <w:t>Prienų</w:t>
            </w:r>
            <w:r w:rsidR="00B3657A" w:rsidRPr="00B778A6">
              <w:rPr>
                <w:color w:val="000000"/>
                <w:sz w:val="22"/>
                <w:szCs w:val="22"/>
              </w:rPr>
              <w:t xml:space="preserve"> rajono savivaldybės administracija </w:t>
            </w:r>
          </w:p>
        </w:tc>
      </w:tr>
      <w:tr w:rsidR="00B3657A" w:rsidRPr="00B778A6" w:rsidTr="00693BAB">
        <w:trPr>
          <w:trHeight w:val="244"/>
        </w:trPr>
        <w:tc>
          <w:tcPr>
            <w:tcW w:w="675" w:type="dxa"/>
          </w:tcPr>
          <w:p w:rsidR="00B3657A" w:rsidRPr="00B778A6" w:rsidRDefault="00B3657A" w:rsidP="00693BAB">
            <w:pPr>
              <w:autoSpaceDE w:val="0"/>
              <w:autoSpaceDN w:val="0"/>
              <w:adjustRightInd w:val="0"/>
              <w:jc w:val="center"/>
              <w:rPr>
                <w:color w:val="000000"/>
                <w:sz w:val="22"/>
                <w:szCs w:val="22"/>
              </w:rPr>
            </w:pPr>
            <w:r w:rsidRPr="00B778A6">
              <w:rPr>
                <w:color w:val="000000"/>
                <w:sz w:val="22"/>
                <w:szCs w:val="22"/>
              </w:rPr>
              <w:t>5.</w:t>
            </w:r>
          </w:p>
        </w:tc>
        <w:tc>
          <w:tcPr>
            <w:tcW w:w="2127" w:type="dxa"/>
          </w:tcPr>
          <w:p w:rsidR="00B3657A" w:rsidRPr="00B778A6" w:rsidRDefault="00B3657A" w:rsidP="00693BAB">
            <w:pPr>
              <w:autoSpaceDE w:val="0"/>
              <w:autoSpaceDN w:val="0"/>
              <w:adjustRightInd w:val="0"/>
              <w:rPr>
                <w:color w:val="000000"/>
                <w:sz w:val="22"/>
                <w:szCs w:val="22"/>
              </w:rPr>
            </w:pPr>
            <w:r w:rsidRPr="00B778A6">
              <w:rPr>
                <w:color w:val="000000"/>
                <w:sz w:val="22"/>
                <w:szCs w:val="22"/>
              </w:rPr>
              <w:t xml:space="preserve">Projekto partneriai </w:t>
            </w:r>
          </w:p>
        </w:tc>
        <w:tc>
          <w:tcPr>
            <w:tcW w:w="6945" w:type="dxa"/>
          </w:tcPr>
          <w:p w:rsidR="00B3657A" w:rsidRPr="00B778A6" w:rsidRDefault="00B3657A" w:rsidP="00693BAB">
            <w:pPr>
              <w:autoSpaceDE w:val="0"/>
              <w:autoSpaceDN w:val="0"/>
              <w:adjustRightInd w:val="0"/>
              <w:jc w:val="both"/>
            </w:pPr>
            <w:r w:rsidRPr="00B778A6">
              <w:t>Nėra</w:t>
            </w:r>
          </w:p>
        </w:tc>
      </w:tr>
      <w:tr w:rsidR="00B3657A" w:rsidRPr="00B778A6" w:rsidTr="00693BAB">
        <w:trPr>
          <w:trHeight w:val="70"/>
        </w:trPr>
        <w:tc>
          <w:tcPr>
            <w:tcW w:w="675" w:type="dxa"/>
          </w:tcPr>
          <w:p w:rsidR="00B3657A" w:rsidRPr="00B778A6" w:rsidRDefault="00B3657A" w:rsidP="00693BAB">
            <w:pPr>
              <w:autoSpaceDE w:val="0"/>
              <w:autoSpaceDN w:val="0"/>
              <w:adjustRightInd w:val="0"/>
              <w:jc w:val="center"/>
              <w:rPr>
                <w:color w:val="000000"/>
                <w:sz w:val="22"/>
                <w:szCs w:val="22"/>
              </w:rPr>
            </w:pPr>
            <w:r w:rsidRPr="00B778A6">
              <w:rPr>
                <w:color w:val="000000"/>
                <w:sz w:val="22"/>
                <w:szCs w:val="22"/>
              </w:rPr>
              <w:t>6.</w:t>
            </w:r>
          </w:p>
        </w:tc>
        <w:tc>
          <w:tcPr>
            <w:tcW w:w="2127" w:type="dxa"/>
          </w:tcPr>
          <w:p w:rsidR="00B3657A" w:rsidRPr="00B778A6" w:rsidRDefault="00B3657A" w:rsidP="00693BAB">
            <w:pPr>
              <w:autoSpaceDE w:val="0"/>
              <w:autoSpaceDN w:val="0"/>
              <w:adjustRightInd w:val="0"/>
              <w:rPr>
                <w:color w:val="000000"/>
                <w:sz w:val="22"/>
                <w:szCs w:val="22"/>
              </w:rPr>
            </w:pPr>
            <w:r w:rsidRPr="00B778A6">
              <w:rPr>
                <w:color w:val="000000"/>
                <w:sz w:val="22"/>
                <w:szCs w:val="22"/>
              </w:rPr>
              <w:t>Projekto biudžetas</w:t>
            </w:r>
          </w:p>
        </w:tc>
        <w:tc>
          <w:tcPr>
            <w:tcW w:w="6945" w:type="dxa"/>
          </w:tcPr>
          <w:p w:rsidR="00B3657A" w:rsidRPr="00B778A6" w:rsidRDefault="00695DE6" w:rsidP="00693BAB">
            <w:pPr>
              <w:autoSpaceDE w:val="0"/>
              <w:autoSpaceDN w:val="0"/>
              <w:adjustRightInd w:val="0"/>
              <w:jc w:val="both"/>
              <w:rPr>
                <w:color w:val="000000"/>
                <w:sz w:val="22"/>
                <w:szCs w:val="22"/>
              </w:rPr>
            </w:pPr>
            <w:r w:rsidRPr="00695DE6">
              <w:rPr>
                <w:color w:val="000000"/>
                <w:sz w:val="22"/>
                <w:szCs w:val="22"/>
              </w:rPr>
              <w:t>1</w:t>
            </w:r>
            <w:r>
              <w:rPr>
                <w:color w:val="000000"/>
                <w:sz w:val="22"/>
                <w:szCs w:val="22"/>
              </w:rPr>
              <w:t> </w:t>
            </w:r>
            <w:r w:rsidRPr="00695DE6">
              <w:rPr>
                <w:color w:val="000000"/>
                <w:sz w:val="22"/>
                <w:szCs w:val="22"/>
              </w:rPr>
              <w:t>132</w:t>
            </w:r>
            <w:r>
              <w:rPr>
                <w:color w:val="000000"/>
                <w:sz w:val="22"/>
                <w:szCs w:val="22"/>
              </w:rPr>
              <w:t xml:space="preserve"> </w:t>
            </w:r>
            <w:r w:rsidRPr="00695DE6">
              <w:rPr>
                <w:color w:val="000000"/>
                <w:sz w:val="22"/>
                <w:szCs w:val="22"/>
              </w:rPr>
              <w:t>878,13</w:t>
            </w:r>
            <w:r>
              <w:rPr>
                <w:color w:val="000000"/>
                <w:sz w:val="22"/>
                <w:szCs w:val="22"/>
              </w:rPr>
              <w:t xml:space="preserve"> </w:t>
            </w:r>
            <w:r w:rsidR="00781366" w:rsidRPr="00B778A6">
              <w:rPr>
                <w:color w:val="000000"/>
                <w:sz w:val="22"/>
                <w:szCs w:val="22"/>
              </w:rPr>
              <w:t>EUR</w:t>
            </w:r>
          </w:p>
        </w:tc>
      </w:tr>
      <w:tr w:rsidR="00B3657A" w:rsidRPr="00B778A6" w:rsidTr="00693BAB">
        <w:trPr>
          <w:trHeight w:val="513"/>
        </w:trPr>
        <w:tc>
          <w:tcPr>
            <w:tcW w:w="675" w:type="dxa"/>
          </w:tcPr>
          <w:p w:rsidR="00B3657A" w:rsidRPr="00B778A6" w:rsidRDefault="00B3657A" w:rsidP="00693BAB">
            <w:pPr>
              <w:autoSpaceDE w:val="0"/>
              <w:autoSpaceDN w:val="0"/>
              <w:adjustRightInd w:val="0"/>
              <w:jc w:val="center"/>
              <w:rPr>
                <w:color w:val="000000"/>
                <w:sz w:val="22"/>
                <w:szCs w:val="22"/>
              </w:rPr>
            </w:pPr>
            <w:r w:rsidRPr="00B778A6">
              <w:rPr>
                <w:color w:val="000000"/>
                <w:sz w:val="22"/>
                <w:szCs w:val="22"/>
              </w:rPr>
              <w:t>7.</w:t>
            </w:r>
          </w:p>
        </w:tc>
        <w:tc>
          <w:tcPr>
            <w:tcW w:w="2127" w:type="dxa"/>
          </w:tcPr>
          <w:p w:rsidR="00B3657A" w:rsidRPr="00B778A6" w:rsidRDefault="00B3657A" w:rsidP="00693BAB">
            <w:pPr>
              <w:autoSpaceDE w:val="0"/>
              <w:autoSpaceDN w:val="0"/>
              <w:adjustRightInd w:val="0"/>
              <w:rPr>
                <w:color w:val="000000"/>
                <w:sz w:val="22"/>
                <w:szCs w:val="22"/>
              </w:rPr>
            </w:pPr>
            <w:r w:rsidRPr="00B778A6">
              <w:rPr>
                <w:color w:val="000000"/>
                <w:sz w:val="22"/>
                <w:szCs w:val="22"/>
              </w:rPr>
              <w:t>Prašomas finansavimas</w:t>
            </w:r>
          </w:p>
        </w:tc>
        <w:tc>
          <w:tcPr>
            <w:tcW w:w="6945" w:type="dxa"/>
          </w:tcPr>
          <w:p w:rsidR="00781366" w:rsidRPr="00B778A6" w:rsidRDefault="00574660" w:rsidP="00693BAB">
            <w:pPr>
              <w:autoSpaceDE w:val="0"/>
              <w:autoSpaceDN w:val="0"/>
              <w:adjustRightInd w:val="0"/>
              <w:jc w:val="both"/>
              <w:rPr>
                <w:color w:val="000000"/>
                <w:sz w:val="22"/>
                <w:szCs w:val="22"/>
              </w:rPr>
            </w:pPr>
            <w:r w:rsidRPr="00B778A6">
              <w:rPr>
                <w:color w:val="000000"/>
                <w:sz w:val="22"/>
                <w:szCs w:val="22"/>
              </w:rPr>
              <w:t xml:space="preserve">Paskola </w:t>
            </w:r>
            <w:r w:rsidR="00664B6F" w:rsidRPr="00B778A6">
              <w:rPr>
                <w:color w:val="000000"/>
                <w:sz w:val="22"/>
                <w:szCs w:val="22"/>
              </w:rPr>
              <w:t>–</w:t>
            </w:r>
            <w:r w:rsidRPr="00B778A6">
              <w:rPr>
                <w:color w:val="000000"/>
                <w:sz w:val="22"/>
                <w:szCs w:val="22"/>
              </w:rPr>
              <w:t xml:space="preserve"> </w:t>
            </w:r>
            <w:r w:rsidR="00695DE6" w:rsidRPr="00695DE6">
              <w:rPr>
                <w:color w:val="000000"/>
                <w:sz w:val="22"/>
                <w:szCs w:val="22"/>
              </w:rPr>
              <w:t>1 078 890,69</w:t>
            </w:r>
            <w:r w:rsidR="009D2ACD" w:rsidRPr="00B778A6">
              <w:rPr>
                <w:color w:val="000000"/>
                <w:sz w:val="22"/>
                <w:szCs w:val="22"/>
              </w:rPr>
              <w:t xml:space="preserve"> </w:t>
            </w:r>
            <w:r w:rsidRPr="00B778A6">
              <w:rPr>
                <w:color w:val="000000"/>
                <w:sz w:val="22"/>
                <w:szCs w:val="22"/>
              </w:rPr>
              <w:t>EUR</w:t>
            </w:r>
          </w:p>
          <w:p w:rsidR="00EC75DC" w:rsidRPr="00B778A6" w:rsidRDefault="00EC75DC" w:rsidP="00C668D4">
            <w:pPr>
              <w:autoSpaceDE w:val="0"/>
              <w:autoSpaceDN w:val="0"/>
              <w:adjustRightInd w:val="0"/>
              <w:jc w:val="both"/>
              <w:rPr>
                <w:color w:val="000000"/>
                <w:sz w:val="22"/>
                <w:szCs w:val="22"/>
              </w:rPr>
            </w:pPr>
            <w:r w:rsidRPr="00B778A6">
              <w:rPr>
                <w:color w:val="000000"/>
                <w:sz w:val="22"/>
                <w:szCs w:val="22"/>
              </w:rPr>
              <w:t xml:space="preserve">Savivaldybės biudžeto lėšos </w:t>
            </w:r>
            <w:r w:rsidR="00626C39" w:rsidRPr="00B778A6">
              <w:rPr>
                <w:color w:val="000000"/>
                <w:sz w:val="22"/>
                <w:szCs w:val="22"/>
              </w:rPr>
              <w:t>–</w:t>
            </w:r>
            <w:r w:rsidRPr="00B778A6">
              <w:rPr>
                <w:color w:val="000000"/>
                <w:sz w:val="22"/>
                <w:szCs w:val="22"/>
              </w:rPr>
              <w:t xml:space="preserve"> </w:t>
            </w:r>
            <w:r w:rsidR="00695DE6">
              <w:rPr>
                <w:color w:val="000000"/>
                <w:sz w:val="22"/>
                <w:szCs w:val="22"/>
              </w:rPr>
              <w:t>53 798,44</w:t>
            </w:r>
            <w:r w:rsidR="009D2ACD" w:rsidRPr="00B778A6">
              <w:rPr>
                <w:color w:val="000000"/>
                <w:sz w:val="22"/>
                <w:szCs w:val="22"/>
              </w:rPr>
              <w:t xml:space="preserve"> </w:t>
            </w:r>
            <w:r w:rsidR="00626C39" w:rsidRPr="00B778A6">
              <w:rPr>
                <w:color w:val="000000"/>
                <w:sz w:val="22"/>
                <w:szCs w:val="22"/>
              </w:rPr>
              <w:t>EUR</w:t>
            </w:r>
          </w:p>
        </w:tc>
      </w:tr>
      <w:tr w:rsidR="00B3657A" w:rsidRPr="00B778A6" w:rsidTr="00693BAB">
        <w:trPr>
          <w:trHeight w:val="110"/>
        </w:trPr>
        <w:tc>
          <w:tcPr>
            <w:tcW w:w="675" w:type="dxa"/>
          </w:tcPr>
          <w:p w:rsidR="00B3657A" w:rsidRPr="00B778A6" w:rsidRDefault="00B3657A" w:rsidP="00693BAB">
            <w:pPr>
              <w:autoSpaceDE w:val="0"/>
              <w:autoSpaceDN w:val="0"/>
              <w:adjustRightInd w:val="0"/>
              <w:jc w:val="center"/>
              <w:rPr>
                <w:color w:val="000000"/>
                <w:sz w:val="22"/>
                <w:szCs w:val="22"/>
              </w:rPr>
            </w:pPr>
            <w:r w:rsidRPr="00B778A6">
              <w:rPr>
                <w:color w:val="000000"/>
                <w:sz w:val="22"/>
                <w:szCs w:val="22"/>
              </w:rPr>
              <w:t>8.</w:t>
            </w:r>
          </w:p>
        </w:tc>
        <w:tc>
          <w:tcPr>
            <w:tcW w:w="2127" w:type="dxa"/>
          </w:tcPr>
          <w:p w:rsidR="00B3657A" w:rsidRPr="00B778A6" w:rsidRDefault="00B3657A" w:rsidP="00693BAB">
            <w:pPr>
              <w:autoSpaceDE w:val="0"/>
              <w:autoSpaceDN w:val="0"/>
              <w:adjustRightInd w:val="0"/>
              <w:rPr>
                <w:color w:val="000000"/>
                <w:sz w:val="22"/>
                <w:szCs w:val="22"/>
              </w:rPr>
            </w:pPr>
            <w:r w:rsidRPr="00B778A6">
              <w:rPr>
                <w:color w:val="000000"/>
                <w:sz w:val="22"/>
                <w:szCs w:val="22"/>
              </w:rPr>
              <w:t xml:space="preserve">Projekto įgyvendinimo vieta </w:t>
            </w:r>
          </w:p>
        </w:tc>
        <w:tc>
          <w:tcPr>
            <w:tcW w:w="6945" w:type="dxa"/>
          </w:tcPr>
          <w:p w:rsidR="00B3657A" w:rsidRPr="00B778A6" w:rsidRDefault="009D2ACD" w:rsidP="00693BAB">
            <w:pPr>
              <w:autoSpaceDE w:val="0"/>
              <w:autoSpaceDN w:val="0"/>
              <w:adjustRightInd w:val="0"/>
              <w:jc w:val="both"/>
              <w:rPr>
                <w:color w:val="000000"/>
                <w:sz w:val="22"/>
                <w:szCs w:val="22"/>
              </w:rPr>
            </w:pPr>
            <w:r w:rsidRPr="00B778A6">
              <w:t>Statybininkų g. 17, Prienai</w:t>
            </w:r>
          </w:p>
        </w:tc>
      </w:tr>
      <w:tr w:rsidR="00B3657A" w:rsidRPr="00B778A6" w:rsidTr="00693BAB">
        <w:trPr>
          <w:trHeight w:val="70"/>
        </w:trPr>
        <w:tc>
          <w:tcPr>
            <w:tcW w:w="675" w:type="dxa"/>
          </w:tcPr>
          <w:p w:rsidR="00B3657A" w:rsidRPr="00B778A6" w:rsidRDefault="00B3657A" w:rsidP="00693BAB">
            <w:pPr>
              <w:autoSpaceDE w:val="0"/>
              <w:autoSpaceDN w:val="0"/>
              <w:adjustRightInd w:val="0"/>
              <w:jc w:val="center"/>
              <w:rPr>
                <w:color w:val="000000"/>
                <w:sz w:val="22"/>
                <w:szCs w:val="22"/>
              </w:rPr>
            </w:pPr>
            <w:r w:rsidRPr="00B778A6">
              <w:rPr>
                <w:color w:val="000000"/>
                <w:sz w:val="22"/>
                <w:szCs w:val="22"/>
              </w:rPr>
              <w:t>9.</w:t>
            </w:r>
          </w:p>
        </w:tc>
        <w:tc>
          <w:tcPr>
            <w:tcW w:w="2127" w:type="dxa"/>
          </w:tcPr>
          <w:p w:rsidR="00B3657A" w:rsidRPr="00B778A6" w:rsidRDefault="00B3657A" w:rsidP="00693BAB">
            <w:pPr>
              <w:autoSpaceDE w:val="0"/>
              <w:autoSpaceDN w:val="0"/>
              <w:adjustRightInd w:val="0"/>
              <w:rPr>
                <w:color w:val="000000"/>
                <w:sz w:val="22"/>
                <w:szCs w:val="22"/>
              </w:rPr>
            </w:pPr>
            <w:r w:rsidRPr="00B778A6">
              <w:rPr>
                <w:color w:val="000000"/>
                <w:sz w:val="22"/>
                <w:szCs w:val="22"/>
              </w:rPr>
              <w:t xml:space="preserve">Projekto įgyvendinimo trukmė </w:t>
            </w:r>
          </w:p>
        </w:tc>
        <w:tc>
          <w:tcPr>
            <w:tcW w:w="6945" w:type="dxa"/>
          </w:tcPr>
          <w:p w:rsidR="00B3657A" w:rsidRPr="00B778A6" w:rsidRDefault="00100088" w:rsidP="0067083E">
            <w:pPr>
              <w:autoSpaceDE w:val="0"/>
              <w:autoSpaceDN w:val="0"/>
              <w:adjustRightInd w:val="0"/>
              <w:jc w:val="both"/>
              <w:rPr>
                <w:color w:val="000000"/>
                <w:sz w:val="22"/>
                <w:szCs w:val="22"/>
              </w:rPr>
            </w:pPr>
            <w:r w:rsidRPr="00B778A6">
              <w:rPr>
                <w:color w:val="000000"/>
                <w:sz w:val="22"/>
                <w:szCs w:val="22"/>
              </w:rPr>
              <w:t>2</w:t>
            </w:r>
            <w:r>
              <w:rPr>
                <w:color w:val="000000"/>
                <w:sz w:val="22"/>
                <w:szCs w:val="22"/>
              </w:rPr>
              <w:t>1</w:t>
            </w:r>
            <w:r w:rsidRPr="00B778A6">
              <w:rPr>
                <w:color w:val="000000"/>
                <w:sz w:val="22"/>
                <w:szCs w:val="22"/>
              </w:rPr>
              <w:t xml:space="preserve"> </w:t>
            </w:r>
            <w:r w:rsidR="00B3657A" w:rsidRPr="00B778A6">
              <w:rPr>
                <w:color w:val="000000"/>
                <w:sz w:val="22"/>
                <w:szCs w:val="22"/>
              </w:rPr>
              <w:t>mėn.</w:t>
            </w:r>
          </w:p>
        </w:tc>
      </w:tr>
    </w:tbl>
    <w:p w:rsidR="00FD1BF7" w:rsidRPr="00B778A6" w:rsidRDefault="005C402E" w:rsidP="00B54573">
      <w:pPr>
        <w:pStyle w:val="Heading1"/>
        <w:rPr>
          <w:rFonts w:ascii="Times New Roman" w:hAnsi="Times New Roman"/>
        </w:rPr>
      </w:pPr>
      <w:r w:rsidRPr="00B778A6">
        <w:rPr>
          <w:rFonts w:ascii="Times New Roman" w:hAnsi="Times New Roman"/>
          <w:lang w:val="lt-LT"/>
        </w:rPr>
        <w:br w:type="page"/>
      </w:r>
      <w:bookmarkStart w:id="1" w:name="_Toc447126304"/>
      <w:bookmarkStart w:id="2" w:name="_Toc34924463"/>
      <w:r w:rsidR="00FD1BF7" w:rsidRPr="00B778A6">
        <w:rPr>
          <w:rFonts w:ascii="Times New Roman" w:hAnsi="Times New Roman"/>
          <w:lang w:val="lt-LT"/>
        </w:rPr>
        <w:lastRenderedPageBreak/>
        <w:t>ĮVADAS</w:t>
      </w:r>
      <w:bookmarkEnd w:id="1"/>
      <w:bookmarkEnd w:id="2"/>
      <w:r w:rsidR="00FD1BF7" w:rsidRPr="00B778A6">
        <w:rPr>
          <w:rFonts w:ascii="Times New Roman" w:hAnsi="Times New Roman"/>
          <w:lang w:val="lt-LT"/>
        </w:rPr>
        <w:t xml:space="preserve"> </w:t>
      </w:r>
    </w:p>
    <w:p w:rsidR="008E2BF1" w:rsidRPr="00B778A6" w:rsidRDefault="008E2BF1" w:rsidP="008E2BF1"/>
    <w:p w:rsidR="00CD70A8" w:rsidRPr="00B778A6" w:rsidRDefault="00AF4670" w:rsidP="009D2ACD">
      <w:pPr>
        <w:numPr>
          <w:ilvl w:val="0"/>
          <w:numId w:val="10"/>
        </w:numPr>
        <w:jc w:val="both"/>
      </w:pPr>
      <w:r w:rsidRPr="00B778A6">
        <w:rPr>
          <w:b/>
        </w:rPr>
        <w:t>Investicijų</w:t>
      </w:r>
      <w:r w:rsidR="00CD70A8" w:rsidRPr="00B778A6">
        <w:rPr>
          <w:b/>
        </w:rPr>
        <w:t xml:space="preserve"> projekto pavadinimas:</w:t>
      </w:r>
      <w:r w:rsidR="00CD70A8" w:rsidRPr="00B778A6">
        <w:t xml:space="preserve"> </w:t>
      </w:r>
      <w:r w:rsidR="00411565" w:rsidRPr="00B778A6">
        <w:t>Lopšelio-</w:t>
      </w:r>
      <w:r w:rsidR="009D2ACD" w:rsidRPr="00B778A6">
        <w:t>darželio Gintarėlis modernizavimas</w:t>
      </w:r>
      <w:r w:rsidR="00CD70A8" w:rsidRPr="00B778A6">
        <w:t xml:space="preserve">. </w:t>
      </w:r>
    </w:p>
    <w:p w:rsidR="00CD70A8" w:rsidRPr="00B778A6" w:rsidRDefault="00AF4670" w:rsidP="009D2ACD">
      <w:pPr>
        <w:numPr>
          <w:ilvl w:val="0"/>
          <w:numId w:val="10"/>
        </w:numPr>
        <w:jc w:val="both"/>
      </w:pPr>
      <w:r w:rsidRPr="00B778A6">
        <w:rPr>
          <w:b/>
        </w:rPr>
        <w:t>Investicijų</w:t>
      </w:r>
      <w:r w:rsidR="00CD70A8" w:rsidRPr="00B778A6">
        <w:rPr>
          <w:b/>
        </w:rPr>
        <w:t xml:space="preserve"> projekto rengimo pagrindas:</w:t>
      </w:r>
      <w:r w:rsidR="00CD70A8" w:rsidRPr="00B778A6">
        <w:t xml:space="preserve"> </w:t>
      </w:r>
      <w:r w:rsidR="009D2ACD" w:rsidRPr="00B778A6">
        <w:t xml:space="preserve">2021-12-13 </w:t>
      </w:r>
      <w:r w:rsidR="00CD70A8" w:rsidRPr="00B778A6">
        <w:t xml:space="preserve">d. paslaugų teikimo sutartis tarp </w:t>
      </w:r>
      <w:r w:rsidR="0033067A" w:rsidRPr="00B778A6">
        <w:t>Prienų</w:t>
      </w:r>
      <w:r w:rsidR="00CD70A8" w:rsidRPr="00B778A6">
        <w:t xml:space="preserve"> rajono savivaldybės administracijos ir UAB „</w:t>
      </w:r>
      <w:r w:rsidR="00416D93" w:rsidRPr="00B778A6">
        <w:t>Geotaškas</w:t>
      </w:r>
      <w:r w:rsidR="00CD70A8" w:rsidRPr="00B778A6">
        <w:t>“.</w:t>
      </w:r>
    </w:p>
    <w:p w:rsidR="00CD70A8" w:rsidRPr="00B778A6" w:rsidRDefault="00CD70A8" w:rsidP="00C4165E">
      <w:pPr>
        <w:numPr>
          <w:ilvl w:val="0"/>
          <w:numId w:val="10"/>
        </w:numPr>
        <w:jc w:val="both"/>
        <w:rPr>
          <w:b/>
        </w:rPr>
      </w:pPr>
      <w:r w:rsidRPr="00B778A6">
        <w:rPr>
          <w:b/>
        </w:rPr>
        <w:t xml:space="preserve">Darbo tikslas: </w:t>
      </w:r>
      <w:r w:rsidR="00AF4670" w:rsidRPr="00B778A6">
        <w:t>parengti investicijų</w:t>
      </w:r>
      <w:r w:rsidRPr="00B778A6">
        <w:t xml:space="preserve"> projektą, dokumentą, finansiškai (ekonomiškai), techniškai ir socialiai pagrindžiantį investavimo tikslus, įvertinantį investicijų grąžą (jei projektas komercinis) ir kitus efektyvumo rodiklius, nurodantį projektui įgyvendinti reikalingas lėšas bei finansavimo šaltinius ir terminus.</w:t>
      </w:r>
    </w:p>
    <w:p w:rsidR="00CD70A8" w:rsidRPr="00B778A6" w:rsidRDefault="00CD70A8" w:rsidP="00274DA8">
      <w:pPr>
        <w:numPr>
          <w:ilvl w:val="0"/>
          <w:numId w:val="10"/>
        </w:numPr>
        <w:jc w:val="both"/>
      </w:pPr>
      <w:r w:rsidRPr="00B778A6">
        <w:rPr>
          <w:b/>
        </w:rPr>
        <w:t>Darbo eiga:</w:t>
      </w:r>
      <w:r w:rsidRPr="00B778A6">
        <w:t xml:space="preserve"> rengiant dokumentus vadovautasi </w:t>
      </w:r>
      <w:r w:rsidR="0033067A" w:rsidRPr="00B778A6">
        <w:t>Prienų</w:t>
      </w:r>
      <w:r w:rsidRPr="00B778A6">
        <w:t xml:space="preserve"> rajono savivaldybės administracijos pateikta medžiaga, energi</w:t>
      </w:r>
      <w:r w:rsidR="00274DA8" w:rsidRPr="00B778A6">
        <w:t>jos vartojimo audito ataskaita</w:t>
      </w:r>
      <w:r w:rsidRPr="00B778A6">
        <w:t>, kitais teisiniais ir strateginiais dokumentais, lankytasi projekto įgyvendinimo vietoje, bendrauta su atsakingais savivaldybės administracijos asmenimis, analizuota panašių projektų patirtis.</w:t>
      </w:r>
    </w:p>
    <w:p w:rsidR="00032D13" w:rsidRPr="00B778A6" w:rsidRDefault="00032D13" w:rsidP="00032D13">
      <w:pPr>
        <w:jc w:val="both"/>
      </w:pPr>
    </w:p>
    <w:p w:rsidR="00032D13" w:rsidRPr="00B778A6" w:rsidRDefault="00032D13" w:rsidP="00032D13">
      <w:pPr>
        <w:ind w:firstLine="709"/>
        <w:jc w:val="both"/>
      </w:pPr>
      <w:r w:rsidRPr="00B778A6">
        <w:t>Investicijų projektas „</w:t>
      </w:r>
      <w:r w:rsidR="00411565" w:rsidRPr="00B778A6">
        <w:t>Lopšelio-</w:t>
      </w:r>
      <w:r w:rsidR="00994CC1" w:rsidRPr="00B778A6">
        <w:t>darželio Gintarėlis modernizavimas</w:t>
      </w:r>
      <w:r w:rsidRPr="00B778A6">
        <w:t>“ rengiamas vadovaujantis šiais dokumentais:</w:t>
      </w:r>
    </w:p>
    <w:p w:rsidR="00032D13" w:rsidRPr="00B778A6" w:rsidRDefault="00032D13" w:rsidP="00032D13">
      <w:pPr>
        <w:numPr>
          <w:ilvl w:val="0"/>
          <w:numId w:val="10"/>
        </w:numPr>
        <w:jc w:val="both"/>
      </w:pPr>
      <w:r w:rsidRPr="00B778A6">
        <w:t>Investicijų projektų, kuriems siekiama gauti finansavimą iš Europos Sąjungos struktūrinės paramos ir/ar valstybės biudžeto lėšų, rengimo metodika, patvirtinta VšĮ Centrinės projektų valdymo agentūros direktoriaus 2014 m. gruodžio 31 d. įsakymu Nr. 2014/8-337</w:t>
      </w:r>
      <w:r w:rsidR="00664B6F" w:rsidRPr="00B778A6">
        <w:t>.</w:t>
      </w:r>
    </w:p>
    <w:p w:rsidR="00FD1BF7" w:rsidRPr="00B778A6" w:rsidRDefault="00B54573" w:rsidP="00B54573">
      <w:pPr>
        <w:pStyle w:val="Heading1"/>
        <w:rPr>
          <w:rFonts w:ascii="Times New Roman" w:hAnsi="Times New Roman"/>
        </w:rPr>
      </w:pPr>
      <w:r w:rsidRPr="00B778A6">
        <w:rPr>
          <w:rFonts w:ascii="Times New Roman" w:hAnsi="Times New Roman"/>
          <w:lang w:val="lt-LT"/>
        </w:rPr>
        <w:br w:type="page"/>
      </w:r>
      <w:bookmarkStart w:id="3" w:name="_Toc34924464"/>
      <w:r w:rsidRPr="00B778A6">
        <w:rPr>
          <w:rFonts w:ascii="Times New Roman" w:hAnsi="Times New Roman"/>
          <w:lang w:val="lt-LT"/>
        </w:rPr>
        <w:lastRenderedPageBreak/>
        <w:t xml:space="preserve">1. </w:t>
      </w:r>
      <w:r w:rsidR="00FD1BF7" w:rsidRPr="00B778A6">
        <w:rPr>
          <w:rFonts w:ascii="Times New Roman" w:hAnsi="Times New Roman"/>
          <w:lang w:val="lt-LT"/>
        </w:rPr>
        <w:t xml:space="preserve">PROJEKTO </w:t>
      </w:r>
      <w:r w:rsidR="00794B43" w:rsidRPr="00B778A6">
        <w:rPr>
          <w:rFonts w:ascii="Times New Roman" w:hAnsi="Times New Roman"/>
          <w:lang w:val="lt-LT"/>
        </w:rPr>
        <w:t>KONTEKSTAS</w:t>
      </w:r>
      <w:bookmarkEnd w:id="3"/>
    </w:p>
    <w:p w:rsidR="00250EBD" w:rsidRPr="00B778A6" w:rsidRDefault="00250EBD" w:rsidP="00FD1BF7">
      <w:pPr>
        <w:pStyle w:val="ColorfulList-Accent11"/>
        <w:ind w:left="0"/>
        <w:rPr>
          <w:szCs w:val="24"/>
        </w:rPr>
      </w:pPr>
    </w:p>
    <w:p w:rsidR="009670EC" w:rsidRPr="00B778A6" w:rsidRDefault="009670EC" w:rsidP="009670EC">
      <w:pPr>
        <w:pStyle w:val="ColorfulList-Accent11"/>
        <w:ind w:left="0" w:firstLine="720"/>
        <w:jc w:val="both"/>
        <w:rPr>
          <w:szCs w:val="24"/>
        </w:rPr>
      </w:pPr>
      <w:r w:rsidRPr="00B778A6">
        <w:rPr>
          <w:szCs w:val="24"/>
        </w:rPr>
        <w:t>Šioje dalyje analizuojamas projekto kontekstas,</w:t>
      </w:r>
      <w:r w:rsidR="00593A94" w:rsidRPr="00B778A6">
        <w:rPr>
          <w:szCs w:val="24"/>
        </w:rPr>
        <w:t xml:space="preserve"> teisinė aplinka, </w:t>
      </w:r>
      <w:r w:rsidRPr="00B778A6">
        <w:rPr>
          <w:szCs w:val="24"/>
        </w:rPr>
        <w:t>atliekama poreikių analizė, įvardijamos problemos</w:t>
      </w:r>
      <w:r w:rsidR="00593A94" w:rsidRPr="00B778A6">
        <w:rPr>
          <w:szCs w:val="24"/>
        </w:rPr>
        <w:t>,</w:t>
      </w:r>
      <w:r w:rsidRPr="00B778A6">
        <w:rPr>
          <w:szCs w:val="24"/>
        </w:rPr>
        <w:t xml:space="preserve"> kurioms spręsti ren</w:t>
      </w:r>
      <w:r w:rsidR="00593A94" w:rsidRPr="00B778A6">
        <w:rPr>
          <w:szCs w:val="24"/>
        </w:rPr>
        <w:t>giamas projektas</w:t>
      </w:r>
      <w:r w:rsidRPr="00B778A6">
        <w:rPr>
          <w:szCs w:val="24"/>
        </w:rPr>
        <w:t>.</w:t>
      </w:r>
    </w:p>
    <w:p w:rsidR="00FD1BF7" w:rsidRPr="00B778A6" w:rsidRDefault="00FD1BF7" w:rsidP="00FD1BF7">
      <w:pPr>
        <w:ind w:firstLine="60"/>
      </w:pPr>
    </w:p>
    <w:p w:rsidR="00FD1BF7" w:rsidRPr="00B778A6" w:rsidRDefault="00B54573" w:rsidP="00607618">
      <w:pPr>
        <w:pStyle w:val="Heading2"/>
        <w:rPr>
          <w:rFonts w:ascii="Times New Roman" w:hAnsi="Times New Roman"/>
        </w:rPr>
      </w:pPr>
      <w:bookmarkStart w:id="4" w:name="_Toc34924465"/>
      <w:r w:rsidRPr="00B778A6">
        <w:rPr>
          <w:rFonts w:ascii="Times New Roman" w:hAnsi="Times New Roman"/>
          <w:lang w:val="lt-LT"/>
        </w:rPr>
        <w:t xml:space="preserve">1.1. </w:t>
      </w:r>
      <w:r w:rsidR="00037097" w:rsidRPr="00B778A6">
        <w:rPr>
          <w:rFonts w:ascii="Times New Roman" w:hAnsi="Times New Roman"/>
          <w:lang w:val="lt-LT"/>
        </w:rPr>
        <w:t>Paslaugos pasiūla ir paklausa</w:t>
      </w:r>
      <w:bookmarkEnd w:id="4"/>
    </w:p>
    <w:p w:rsidR="00F60B40" w:rsidRPr="00B778A6" w:rsidRDefault="00F60B40" w:rsidP="00F60B40">
      <w:pPr>
        <w:pStyle w:val="ColorfulList-Accent11"/>
        <w:ind w:left="0" w:firstLine="709"/>
        <w:jc w:val="both"/>
        <w:rPr>
          <w:szCs w:val="24"/>
        </w:rPr>
      </w:pPr>
    </w:p>
    <w:p w:rsidR="00FC2F55" w:rsidRPr="00B778A6" w:rsidRDefault="00FC2F55" w:rsidP="00FC2F55">
      <w:pPr>
        <w:pStyle w:val="ListParagraph"/>
        <w:ind w:left="0"/>
        <w:jc w:val="both"/>
        <w:rPr>
          <w:b/>
          <w:szCs w:val="24"/>
        </w:rPr>
      </w:pPr>
      <w:r w:rsidRPr="00B778A6">
        <w:rPr>
          <w:b/>
          <w:szCs w:val="24"/>
        </w:rPr>
        <w:t>Viešoji paslauga – ikimokyklinis ir priešmokyklinis ugdymas</w:t>
      </w:r>
    </w:p>
    <w:p w:rsidR="00FC2F55" w:rsidRPr="00B778A6" w:rsidRDefault="00FC2F55" w:rsidP="00FC2F55">
      <w:pPr>
        <w:pStyle w:val="ListParagraph"/>
        <w:ind w:left="0"/>
        <w:jc w:val="both"/>
        <w:rPr>
          <w:b/>
          <w:szCs w:val="24"/>
        </w:rPr>
      </w:pPr>
    </w:p>
    <w:p w:rsidR="00FC2F55" w:rsidRPr="00B778A6" w:rsidRDefault="00FC2F55" w:rsidP="00FC2F55">
      <w:pPr>
        <w:pStyle w:val="ListParagraph"/>
        <w:ind w:left="0" w:firstLine="709"/>
        <w:jc w:val="both"/>
        <w:rPr>
          <w:szCs w:val="24"/>
        </w:rPr>
      </w:pPr>
      <w:r w:rsidRPr="00B778A6">
        <w:rPr>
          <w:szCs w:val="24"/>
        </w:rPr>
        <w:t>Lietuvos Respublikos švietimo įstatyme apibrėžta ikimokyklinio ugdymo paskirtis – padėti vaikui tenkinti prigimtinius, kultūros, taip pat ir etninės, socialinius, pažintinius poreikius, o priešmokyklinio ugdymo paskirtis – padėti vaikui pasirengti sėkmingai mokytis pagal pradinio ugdymo programą (priešmokyklinis ugdymas Lietuvoje privalomas nuo 2016 m. rugsėjo 1 d.). Tyrimais įrodyta, kad tikslingas profesionalus ikimokyklinis ugdymas palengvina vėlesnį mokymąsi, daro teigiamą poveikį mokymosi pasiekimams, tolesnei asmens socialinei ir emocinei raidai. Europos, JAV patirtis rodo, kad ankstyvosios intervencijos programos (ypač tos, kurios yra skirtos socialiai nuskriaustiems vaikams) gali užtikrinti didelę socialinę ir ekonominę grąžą. Tęstinių tyrimų duomenys rodo, kad kokybiškas ikimokyklinis ugdymas padeda vėliau spręsti daugelį socialinių problemų – skurdą, nedarbą, mažina priklausomybes, gerina akademinius pasiekimus, daro teigiamą įtaką gyvenimo gerovei.</w:t>
      </w:r>
    </w:p>
    <w:p w:rsidR="00FC2F55" w:rsidRPr="00B778A6" w:rsidRDefault="00FC2F55" w:rsidP="00FC2F55">
      <w:pPr>
        <w:pStyle w:val="ListParagraph"/>
        <w:ind w:left="0" w:firstLine="709"/>
        <w:jc w:val="both"/>
        <w:rPr>
          <w:szCs w:val="24"/>
        </w:rPr>
      </w:pPr>
      <w:r w:rsidRPr="00B778A6">
        <w:rPr>
          <w:szCs w:val="24"/>
        </w:rPr>
        <w:t>Ikimokyklinio ir priešmokyklinio ugdymo svarba miesto raidai ir socialinei-ekonominei plėtrai yra neginčytina, o jo kokybę lemia daug dedamųjų. Ikimokyklinio ir priešmokyklinio ugdymo kokybę galima vertinti keliais požiūriais: tėvų, ikimokyklinio ugdymo paslaugų teikėjo, paties vaiko, vaiko raidos, kurie būdami šiek tiek skirtingi neneigia vienas kito, daro įtaką ikimokyklinio ugdymo kokybės sampratai. Paprastai pripažįstamos dvi kokybės rūšys (tipai): struktūros kokybė ir proceso kokybė. Struktūros kokybė – tai ypatumai, kurie apibūdina ikimokyklinio ugdymo sistemą ar įstaigą: ikimokyklinio ugdymo sistemos finansavimas, prieinamumas, pedagoginio personalo kvalifikacija ir jos tobulinimas, personalo darbo sąlygos, vaikų grupės dydis, vaikų, tenkančių vienam pedagogui, skaičius, fizinė aplinka, mokymo / ugdymo planas, programa. Struktūros kokybės veiksnius papildo proceso kokybė, nusakanti, kaip ikimokyklinio ugdymo įstaiga funkcionuoja kiekvieną dieną: kaip sąveikauja vaikai, personalas ir vaikų tėvai. Apie struktūros ir proceso kokybę sprendžiama pagal tai, kokį patyrimą įgauna vaikas.</w:t>
      </w:r>
    </w:p>
    <w:p w:rsidR="00FC2F55" w:rsidRPr="00B778A6" w:rsidRDefault="00FC2F55" w:rsidP="00FC2F55">
      <w:pPr>
        <w:pStyle w:val="ListParagraph"/>
        <w:ind w:left="0" w:firstLine="709"/>
        <w:jc w:val="both"/>
        <w:rPr>
          <w:szCs w:val="24"/>
        </w:rPr>
      </w:pPr>
      <w:r w:rsidRPr="00B778A6">
        <w:t xml:space="preserve">Dėl miestų plėtros bei nustojusio mažėti gimstamumo dalyje savivaldybių ikimokyklinio </w:t>
      </w:r>
      <w:r w:rsidRPr="00B778A6">
        <w:rPr>
          <w:szCs w:val="24"/>
        </w:rPr>
        <w:t xml:space="preserve">ir priešmokyklinio </w:t>
      </w:r>
      <w:r w:rsidRPr="00B778A6">
        <w:t xml:space="preserve">ugdymo įstaigos negali priimti visų norinčių vaikų, dauguma valstybinių ikimokyklinio </w:t>
      </w:r>
      <w:r w:rsidRPr="00B778A6">
        <w:rPr>
          <w:szCs w:val="24"/>
        </w:rPr>
        <w:t xml:space="preserve">ir priešmokyklinio </w:t>
      </w:r>
      <w:r w:rsidRPr="00B778A6">
        <w:t>ugdymo įstaigų yra prastos būklės, naudoja pasenusias ugdymo priemones ir dėl to negali užtikrinti kokybiško ir prieinamo vaikų ikimokyklinio ir priešmokyklinio ugdymo.</w:t>
      </w:r>
    </w:p>
    <w:p w:rsidR="00FC2F55" w:rsidRPr="00B778A6" w:rsidRDefault="00FC2F55" w:rsidP="00E87962">
      <w:pPr>
        <w:pStyle w:val="ColorfulList-Accent11"/>
        <w:ind w:left="0"/>
        <w:jc w:val="both"/>
        <w:rPr>
          <w:szCs w:val="24"/>
        </w:rPr>
      </w:pPr>
    </w:p>
    <w:p w:rsidR="00FC2F55" w:rsidRPr="00B778A6" w:rsidRDefault="00FC2F55" w:rsidP="00FC2F55">
      <w:pPr>
        <w:pStyle w:val="Default"/>
        <w:tabs>
          <w:tab w:val="left" w:pos="709"/>
          <w:tab w:val="left" w:pos="1134"/>
          <w:tab w:val="left" w:pos="1276"/>
          <w:tab w:val="left" w:pos="1560"/>
        </w:tabs>
        <w:jc w:val="both"/>
        <w:rPr>
          <w:b/>
          <w:color w:val="auto"/>
          <w:lang w:eastAsia="en-US"/>
        </w:rPr>
      </w:pPr>
      <w:r w:rsidRPr="00B778A6">
        <w:rPr>
          <w:b/>
          <w:color w:val="auto"/>
          <w:lang w:eastAsia="en-US"/>
        </w:rPr>
        <w:t xml:space="preserve">Paslaugos pasiūla Prienų rajone </w:t>
      </w:r>
    </w:p>
    <w:p w:rsidR="00FC2F55" w:rsidRPr="00B778A6" w:rsidRDefault="00FC2F55" w:rsidP="00FC2F55">
      <w:pPr>
        <w:pStyle w:val="Default"/>
        <w:tabs>
          <w:tab w:val="left" w:pos="709"/>
          <w:tab w:val="left" w:pos="1134"/>
          <w:tab w:val="left" w:pos="1276"/>
          <w:tab w:val="left" w:pos="1560"/>
        </w:tabs>
        <w:jc w:val="both"/>
        <w:rPr>
          <w:b/>
          <w:color w:val="auto"/>
          <w:lang w:eastAsia="en-US"/>
        </w:rPr>
      </w:pPr>
    </w:p>
    <w:p w:rsidR="00FC2F55" w:rsidRPr="00B778A6" w:rsidRDefault="00FC2F55" w:rsidP="00FC2F55">
      <w:pPr>
        <w:ind w:firstLine="720"/>
        <w:jc w:val="both"/>
      </w:pPr>
      <w:r w:rsidRPr="00B778A6">
        <w:t>Ikimokyklinio ugdymo paslaugų pasiūlos analizė Prienų rajone pateikta 1.1.</w:t>
      </w:r>
      <w:r w:rsidR="000A1DCC" w:rsidRPr="00B778A6">
        <w:t>1</w:t>
      </w:r>
      <w:r w:rsidRPr="00B778A6">
        <w:t>. lentelėje.</w:t>
      </w:r>
    </w:p>
    <w:p w:rsidR="00FC2F55" w:rsidRPr="00B778A6" w:rsidRDefault="00FC2F55" w:rsidP="00FC2F55">
      <w:pPr>
        <w:ind w:firstLine="720"/>
        <w:jc w:val="both"/>
      </w:pPr>
    </w:p>
    <w:p w:rsidR="00FC2F55" w:rsidRPr="00B778A6" w:rsidRDefault="00FC2F55" w:rsidP="00FC2F55">
      <w:pPr>
        <w:jc w:val="center"/>
      </w:pPr>
      <w:r w:rsidRPr="00B778A6">
        <w:rPr>
          <w:b/>
        </w:rPr>
        <w:t>1.1.</w:t>
      </w:r>
      <w:r w:rsidR="000A1DCC" w:rsidRPr="00B778A6">
        <w:rPr>
          <w:b/>
        </w:rPr>
        <w:t>1</w:t>
      </w:r>
      <w:r w:rsidRPr="00B778A6">
        <w:rPr>
          <w:b/>
        </w:rPr>
        <w:t xml:space="preserve">. lentelė. Ikimokyklinio ugdymo poreikis rajone </w:t>
      </w:r>
      <w:r w:rsidR="000A1DCC" w:rsidRPr="00B778A6">
        <w:rPr>
          <w:b/>
        </w:rPr>
        <w:t>2016-2020</w:t>
      </w:r>
      <w:r w:rsidRPr="00B778A6">
        <w:rPr>
          <w:b/>
        </w:rPr>
        <w:t xml:space="preserve"> metais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2"/>
        <w:gridCol w:w="891"/>
        <w:gridCol w:w="891"/>
        <w:gridCol w:w="891"/>
        <w:gridCol w:w="893"/>
        <w:gridCol w:w="893"/>
        <w:gridCol w:w="891"/>
      </w:tblGrid>
      <w:tr w:rsidR="000A1DCC" w:rsidRPr="00B778A6" w:rsidTr="00B778A6">
        <w:trPr>
          <w:trHeight w:val="57"/>
        </w:trPr>
        <w:tc>
          <w:tcPr>
            <w:tcW w:w="2285" w:type="pct"/>
            <w:shd w:val="clear" w:color="auto" w:fill="D9D9D9"/>
            <w:noWrap/>
            <w:vAlign w:val="center"/>
            <w:hideMark/>
          </w:tcPr>
          <w:p w:rsidR="000A1DCC" w:rsidRPr="00B778A6" w:rsidRDefault="000A1DCC" w:rsidP="006E62B8">
            <w:pPr>
              <w:jc w:val="center"/>
              <w:rPr>
                <w:rFonts w:eastAsia="Times New Roman"/>
                <w:b/>
                <w:bCs/>
                <w:sz w:val="22"/>
                <w:szCs w:val="22"/>
              </w:rPr>
            </w:pPr>
            <w:r w:rsidRPr="00B778A6">
              <w:rPr>
                <w:rFonts w:eastAsia="Times New Roman"/>
                <w:b/>
                <w:bCs/>
                <w:sz w:val="22"/>
                <w:szCs w:val="22"/>
              </w:rPr>
              <w:t>Rodiklis</w:t>
            </w:r>
          </w:p>
        </w:tc>
        <w:tc>
          <w:tcPr>
            <w:tcW w:w="452" w:type="pct"/>
            <w:shd w:val="clear" w:color="auto" w:fill="D9D9D9"/>
            <w:vAlign w:val="center"/>
          </w:tcPr>
          <w:p w:rsidR="000A1DCC" w:rsidRPr="00B778A6" w:rsidRDefault="000A1DCC" w:rsidP="006E62B8">
            <w:pPr>
              <w:jc w:val="center"/>
              <w:rPr>
                <w:rFonts w:eastAsia="Times New Roman"/>
                <w:b/>
                <w:bCs/>
                <w:sz w:val="22"/>
                <w:szCs w:val="22"/>
              </w:rPr>
            </w:pPr>
            <w:r w:rsidRPr="00B778A6">
              <w:rPr>
                <w:rFonts w:eastAsia="Times New Roman"/>
                <w:b/>
                <w:bCs/>
                <w:sz w:val="22"/>
                <w:szCs w:val="22"/>
              </w:rPr>
              <w:t>2016</w:t>
            </w:r>
          </w:p>
        </w:tc>
        <w:tc>
          <w:tcPr>
            <w:tcW w:w="452" w:type="pct"/>
            <w:shd w:val="clear" w:color="auto" w:fill="D9D9D9"/>
            <w:vAlign w:val="center"/>
          </w:tcPr>
          <w:p w:rsidR="000A1DCC" w:rsidRPr="00B778A6" w:rsidRDefault="000A1DCC" w:rsidP="006E62B8">
            <w:pPr>
              <w:jc w:val="center"/>
              <w:rPr>
                <w:rFonts w:eastAsia="Times New Roman"/>
                <w:b/>
                <w:bCs/>
                <w:sz w:val="22"/>
                <w:szCs w:val="22"/>
              </w:rPr>
            </w:pPr>
            <w:r w:rsidRPr="00B778A6">
              <w:rPr>
                <w:rFonts w:eastAsia="Times New Roman"/>
                <w:b/>
                <w:bCs/>
                <w:sz w:val="22"/>
                <w:szCs w:val="22"/>
              </w:rPr>
              <w:t>2017</w:t>
            </w:r>
          </w:p>
        </w:tc>
        <w:tc>
          <w:tcPr>
            <w:tcW w:w="452" w:type="pct"/>
            <w:shd w:val="clear" w:color="auto" w:fill="D9D9D9"/>
            <w:vAlign w:val="center"/>
          </w:tcPr>
          <w:p w:rsidR="000A1DCC" w:rsidRPr="00B778A6" w:rsidRDefault="000A1DCC" w:rsidP="006E62B8">
            <w:pPr>
              <w:jc w:val="center"/>
              <w:rPr>
                <w:rFonts w:eastAsia="Times New Roman"/>
                <w:b/>
                <w:bCs/>
                <w:sz w:val="22"/>
                <w:szCs w:val="22"/>
              </w:rPr>
            </w:pPr>
            <w:r w:rsidRPr="00B778A6">
              <w:rPr>
                <w:rFonts w:eastAsia="Times New Roman"/>
                <w:b/>
                <w:bCs/>
                <w:sz w:val="22"/>
                <w:szCs w:val="22"/>
              </w:rPr>
              <w:t>2018</w:t>
            </w:r>
          </w:p>
        </w:tc>
        <w:tc>
          <w:tcPr>
            <w:tcW w:w="453" w:type="pct"/>
            <w:shd w:val="clear" w:color="auto" w:fill="D9D9D9"/>
            <w:vAlign w:val="center"/>
          </w:tcPr>
          <w:p w:rsidR="000A1DCC" w:rsidRPr="00B778A6" w:rsidRDefault="000A1DCC" w:rsidP="006E62B8">
            <w:pPr>
              <w:jc w:val="center"/>
              <w:rPr>
                <w:rFonts w:eastAsia="Times New Roman"/>
                <w:b/>
                <w:bCs/>
                <w:sz w:val="22"/>
                <w:szCs w:val="22"/>
              </w:rPr>
            </w:pPr>
            <w:r w:rsidRPr="00B778A6">
              <w:rPr>
                <w:rFonts w:eastAsia="Times New Roman"/>
                <w:b/>
                <w:bCs/>
                <w:sz w:val="22"/>
                <w:szCs w:val="22"/>
              </w:rPr>
              <w:t>2019</w:t>
            </w:r>
          </w:p>
        </w:tc>
        <w:tc>
          <w:tcPr>
            <w:tcW w:w="453" w:type="pct"/>
            <w:shd w:val="clear" w:color="auto" w:fill="D9D9D9"/>
            <w:vAlign w:val="center"/>
          </w:tcPr>
          <w:p w:rsidR="000A1DCC" w:rsidRPr="00B778A6" w:rsidRDefault="000A1DCC" w:rsidP="006E62B8">
            <w:pPr>
              <w:jc w:val="center"/>
              <w:rPr>
                <w:rFonts w:eastAsia="Times New Roman"/>
                <w:b/>
                <w:bCs/>
                <w:sz w:val="22"/>
                <w:szCs w:val="22"/>
              </w:rPr>
            </w:pPr>
            <w:r w:rsidRPr="00B778A6">
              <w:rPr>
                <w:rFonts w:eastAsia="Times New Roman"/>
                <w:b/>
                <w:bCs/>
                <w:sz w:val="22"/>
                <w:szCs w:val="22"/>
              </w:rPr>
              <w:t>2020</w:t>
            </w:r>
          </w:p>
        </w:tc>
        <w:tc>
          <w:tcPr>
            <w:tcW w:w="452" w:type="pct"/>
            <w:shd w:val="clear" w:color="auto" w:fill="D9D9D9"/>
            <w:vAlign w:val="center"/>
            <w:hideMark/>
          </w:tcPr>
          <w:p w:rsidR="000A1DCC" w:rsidRPr="00B778A6" w:rsidRDefault="000A1DCC" w:rsidP="006E62B8">
            <w:pPr>
              <w:ind w:left="-145" w:right="-143"/>
              <w:jc w:val="center"/>
              <w:rPr>
                <w:rFonts w:eastAsia="Times New Roman"/>
                <w:b/>
                <w:bCs/>
                <w:sz w:val="22"/>
                <w:szCs w:val="22"/>
              </w:rPr>
            </w:pPr>
            <w:r w:rsidRPr="00B778A6">
              <w:rPr>
                <w:rFonts w:eastAsia="Times New Roman"/>
                <w:b/>
                <w:bCs/>
                <w:sz w:val="22"/>
                <w:szCs w:val="22"/>
              </w:rPr>
              <w:t>Pokytis, proc.</w:t>
            </w:r>
          </w:p>
        </w:tc>
      </w:tr>
      <w:tr w:rsidR="003B74E6" w:rsidRPr="00B778A6" w:rsidTr="00B778A6">
        <w:trPr>
          <w:trHeight w:val="57"/>
        </w:trPr>
        <w:tc>
          <w:tcPr>
            <w:tcW w:w="2285" w:type="pct"/>
            <w:shd w:val="clear" w:color="auto" w:fill="auto"/>
            <w:noWrap/>
            <w:vAlign w:val="center"/>
            <w:hideMark/>
          </w:tcPr>
          <w:p w:rsidR="003B74E6" w:rsidRPr="00B778A6" w:rsidRDefault="003B74E6" w:rsidP="006E62B8">
            <w:pPr>
              <w:rPr>
                <w:rFonts w:eastAsia="Times New Roman"/>
                <w:sz w:val="22"/>
                <w:szCs w:val="22"/>
              </w:rPr>
            </w:pPr>
            <w:r w:rsidRPr="00B778A6">
              <w:rPr>
                <w:rFonts w:eastAsia="Times New Roman"/>
                <w:sz w:val="22"/>
                <w:szCs w:val="22"/>
              </w:rPr>
              <w:t>Vaikų, kurių amžius nuo 1 iki 6 metų, skaičius</w:t>
            </w:r>
          </w:p>
        </w:tc>
        <w:tc>
          <w:tcPr>
            <w:tcW w:w="452" w:type="pct"/>
          </w:tcPr>
          <w:p w:rsidR="003B74E6" w:rsidRPr="00B778A6" w:rsidRDefault="003B74E6" w:rsidP="00B778A6">
            <w:pPr>
              <w:jc w:val="center"/>
              <w:rPr>
                <w:rFonts w:eastAsia="Times New Roman"/>
                <w:sz w:val="22"/>
                <w:szCs w:val="22"/>
              </w:rPr>
            </w:pPr>
            <w:r w:rsidRPr="00B778A6">
              <w:rPr>
                <w:rFonts w:eastAsia="Times New Roman"/>
                <w:sz w:val="22"/>
                <w:szCs w:val="22"/>
              </w:rPr>
              <w:t>1422</w:t>
            </w:r>
          </w:p>
        </w:tc>
        <w:tc>
          <w:tcPr>
            <w:tcW w:w="452" w:type="pct"/>
          </w:tcPr>
          <w:p w:rsidR="003B74E6" w:rsidRPr="00B778A6" w:rsidRDefault="003B74E6" w:rsidP="00B778A6">
            <w:pPr>
              <w:jc w:val="center"/>
              <w:rPr>
                <w:rFonts w:eastAsia="Times New Roman"/>
                <w:sz w:val="22"/>
                <w:szCs w:val="22"/>
              </w:rPr>
            </w:pPr>
            <w:r w:rsidRPr="00B778A6">
              <w:rPr>
                <w:rFonts w:eastAsia="Times New Roman"/>
                <w:sz w:val="22"/>
                <w:szCs w:val="22"/>
              </w:rPr>
              <w:t>1447</w:t>
            </w:r>
          </w:p>
        </w:tc>
        <w:tc>
          <w:tcPr>
            <w:tcW w:w="452" w:type="pct"/>
            <w:shd w:val="clear" w:color="auto" w:fill="auto"/>
            <w:noWrap/>
          </w:tcPr>
          <w:p w:rsidR="003B74E6" w:rsidRPr="00B778A6" w:rsidRDefault="003B74E6" w:rsidP="00B778A6">
            <w:pPr>
              <w:jc w:val="center"/>
              <w:rPr>
                <w:rFonts w:eastAsia="Times New Roman"/>
                <w:sz w:val="22"/>
                <w:szCs w:val="22"/>
              </w:rPr>
            </w:pPr>
            <w:r w:rsidRPr="00B778A6">
              <w:rPr>
                <w:rFonts w:eastAsia="Times New Roman"/>
                <w:sz w:val="22"/>
                <w:szCs w:val="22"/>
              </w:rPr>
              <w:t>1482</w:t>
            </w:r>
          </w:p>
        </w:tc>
        <w:tc>
          <w:tcPr>
            <w:tcW w:w="453" w:type="pct"/>
            <w:shd w:val="clear" w:color="auto" w:fill="auto"/>
            <w:noWrap/>
          </w:tcPr>
          <w:p w:rsidR="003B74E6" w:rsidRPr="00B778A6" w:rsidRDefault="003B74E6" w:rsidP="00B778A6">
            <w:pPr>
              <w:jc w:val="center"/>
              <w:rPr>
                <w:rFonts w:eastAsia="Times New Roman"/>
                <w:sz w:val="22"/>
                <w:szCs w:val="22"/>
              </w:rPr>
            </w:pPr>
            <w:r w:rsidRPr="00B778A6">
              <w:rPr>
                <w:rFonts w:eastAsia="Times New Roman"/>
                <w:sz w:val="22"/>
                <w:szCs w:val="22"/>
              </w:rPr>
              <w:t>1474</w:t>
            </w:r>
          </w:p>
        </w:tc>
        <w:tc>
          <w:tcPr>
            <w:tcW w:w="453" w:type="pct"/>
            <w:shd w:val="clear" w:color="auto" w:fill="auto"/>
            <w:noWrap/>
          </w:tcPr>
          <w:p w:rsidR="003B74E6" w:rsidRPr="00B778A6" w:rsidRDefault="003B74E6" w:rsidP="00B778A6">
            <w:pPr>
              <w:jc w:val="center"/>
              <w:rPr>
                <w:rFonts w:eastAsia="Times New Roman"/>
                <w:sz w:val="22"/>
                <w:szCs w:val="22"/>
              </w:rPr>
            </w:pPr>
            <w:r w:rsidRPr="00B778A6">
              <w:rPr>
                <w:rFonts w:eastAsia="Times New Roman"/>
                <w:sz w:val="22"/>
                <w:szCs w:val="22"/>
              </w:rPr>
              <w:t>1443</w:t>
            </w:r>
          </w:p>
        </w:tc>
        <w:tc>
          <w:tcPr>
            <w:tcW w:w="452" w:type="pct"/>
            <w:shd w:val="clear" w:color="auto" w:fill="auto"/>
            <w:noWrap/>
          </w:tcPr>
          <w:p w:rsidR="003B74E6" w:rsidRPr="00B778A6" w:rsidRDefault="003B74E6" w:rsidP="00B778A6">
            <w:pPr>
              <w:jc w:val="center"/>
              <w:rPr>
                <w:rFonts w:eastAsia="Times New Roman"/>
                <w:sz w:val="22"/>
                <w:szCs w:val="22"/>
              </w:rPr>
            </w:pPr>
            <w:r w:rsidRPr="00B778A6">
              <w:rPr>
                <w:rFonts w:eastAsia="Times New Roman"/>
                <w:sz w:val="22"/>
                <w:szCs w:val="22"/>
              </w:rPr>
              <w:t>1,5</w:t>
            </w:r>
          </w:p>
        </w:tc>
      </w:tr>
      <w:tr w:rsidR="009E5A91" w:rsidRPr="00B778A6" w:rsidTr="00B778A6">
        <w:trPr>
          <w:trHeight w:val="57"/>
        </w:trPr>
        <w:tc>
          <w:tcPr>
            <w:tcW w:w="2285" w:type="pct"/>
            <w:shd w:val="clear" w:color="auto" w:fill="auto"/>
            <w:noWrap/>
            <w:vAlign w:val="center"/>
          </w:tcPr>
          <w:p w:rsidR="009E5A91" w:rsidRPr="00B778A6" w:rsidRDefault="009E5A91" w:rsidP="006E62B8">
            <w:pPr>
              <w:rPr>
                <w:rFonts w:eastAsia="Times New Roman"/>
                <w:sz w:val="22"/>
                <w:szCs w:val="22"/>
              </w:rPr>
            </w:pPr>
            <w:r w:rsidRPr="00B778A6">
              <w:rPr>
                <w:rFonts w:eastAsia="Times New Roman"/>
                <w:sz w:val="22"/>
                <w:szCs w:val="22"/>
              </w:rPr>
              <w:t>Metų pokytis, proc.</w:t>
            </w:r>
          </w:p>
        </w:tc>
        <w:tc>
          <w:tcPr>
            <w:tcW w:w="452" w:type="pct"/>
          </w:tcPr>
          <w:p w:rsidR="009E5A91" w:rsidRPr="00B778A6" w:rsidRDefault="009E5A91" w:rsidP="00B778A6">
            <w:pPr>
              <w:jc w:val="center"/>
              <w:rPr>
                <w:rFonts w:eastAsia="Times New Roman"/>
                <w:sz w:val="22"/>
                <w:szCs w:val="22"/>
              </w:rPr>
            </w:pPr>
            <w:r>
              <w:rPr>
                <w:rFonts w:eastAsia="Times New Roman"/>
                <w:sz w:val="22"/>
                <w:szCs w:val="22"/>
              </w:rPr>
              <w:t>-</w:t>
            </w:r>
          </w:p>
        </w:tc>
        <w:tc>
          <w:tcPr>
            <w:tcW w:w="452" w:type="pct"/>
          </w:tcPr>
          <w:p w:rsidR="009E5A91" w:rsidRPr="00B778A6" w:rsidRDefault="009E5A91" w:rsidP="00B778A6">
            <w:pPr>
              <w:jc w:val="center"/>
              <w:rPr>
                <w:rFonts w:eastAsia="Times New Roman"/>
                <w:sz w:val="22"/>
                <w:szCs w:val="22"/>
              </w:rPr>
            </w:pPr>
            <w:r w:rsidRPr="00B778A6">
              <w:rPr>
                <w:rFonts w:eastAsia="Times New Roman"/>
                <w:sz w:val="22"/>
                <w:szCs w:val="22"/>
              </w:rPr>
              <w:t>1,8</w:t>
            </w:r>
          </w:p>
        </w:tc>
        <w:tc>
          <w:tcPr>
            <w:tcW w:w="452" w:type="pct"/>
            <w:shd w:val="clear" w:color="auto" w:fill="auto"/>
          </w:tcPr>
          <w:p w:rsidR="009E5A91" w:rsidRPr="00B778A6" w:rsidRDefault="009E5A91" w:rsidP="00B778A6">
            <w:pPr>
              <w:jc w:val="center"/>
              <w:rPr>
                <w:rFonts w:eastAsia="Times New Roman"/>
                <w:sz w:val="22"/>
                <w:szCs w:val="22"/>
              </w:rPr>
            </w:pPr>
            <w:r w:rsidRPr="00B778A6">
              <w:rPr>
                <w:rFonts w:eastAsia="Times New Roman"/>
                <w:sz w:val="22"/>
                <w:szCs w:val="22"/>
              </w:rPr>
              <w:t>2,4</w:t>
            </w:r>
          </w:p>
        </w:tc>
        <w:tc>
          <w:tcPr>
            <w:tcW w:w="453" w:type="pct"/>
            <w:shd w:val="clear" w:color="auto" w:fill="auto"/>
          </w:tcPr>
          <w:p w:rsidR="009E5A91" w:rsidRPr="00B778A6" w:rsidRDefault="009E5A91" w:rsidP="00B778A6">
            <w:pPr>
              <w:jc w:val="center"/>
              <w:rPr>
                <w:rFonts w:eastAsia="Times New Roman"/>
                <w:sz w:val="22"/>
                <w:szCs w:val="22"/>
              </w:rPr>
            </w:pPr>
            <w:r w:rsidRPr="00B778A6">
              <w:rPr>
                <w:rFonts w:eastAsia="Times New Roman"/>
                <w:sz w:val="22"/>
                <w:szCs w:val="22"/>
              </w:rPr>
              <w:t>-0,5</w:t>
            </w:r>
          </w:p>
        </w:tc>
        <w:tc>
          <w:tcPr>
            <w:tcW w:w="453" w:type="pct"/>
            <w:shd w:val="clear" w:color="auto" w:fill="auto"/>
          </w:tcPr>
          <w:p w:rsidR="009E5A91" w:rsidRPr="00B778A6" w:rsidRDefault="009E5A91" w:rsidP="00B778A6">
            <w:pPr>
              <w:jc w:val="center"/>
              <w:rPr>
                <w:rFonts w:eastAsia="Times New Roman"/>
                <w:sz w:val="22"/>
                <w:szCs w:val="22"/>
              </w:rPr>
            </w:pPr>
            <w:r w:rsidRPr="00B778A6">
              <w:rPr>
                <w:rFonts w:eastAsia="Times New Roman"/>
                <w:sz w:val="22"/>
                <w:szCs w:val="22"/>
              </w:rPr>
              <w:t>-2,1</w:t>
            </w:r>
          </w:p>
        </w:tc>
        <w:tc>
          <w:tcPr>
            <w:tcW w:w="452" w:type="pct"/>
            <w:shd w:val="clear" w:color="auto" w:fill="auto"/>
            <w:noWrap/>
          </w:tcPr>
          <w:p w:rsidR="009E5A91" w:rsidRPr="00B778A6" w:rsidRDefault="009E5A91" w:rsidP="00B778A6">
            <w:pPr>
              <w:jc w:val="center"/>
              <w:rPr>
                <w:rFonts w:eastAsia="Times New Roman"/>
                <w:sz w:val="22"/>
                <w:szCs w:val="22"/>
              </w:rPr>
            </w:pPr>
            <w:r w:rsidRPr="00B778A6">
              <w:rPr>
                <w:rFonts w:eastAsia="Times New Roman"/>
                <w:sz w:val="22"/>
                <w:szCs w:val="22"/>
              </w:rPr>
              <w:t>-</w:t>
            </w:r>
          </w:p>
        </w:tc>
      </w:tr>
      <w:tr w:rsidR="002646D3" w:rsidRPr="00B778A6" w:rsidTr="00B778A6">
        <w:trPr>
          <w:trHeight w:val="57"/>
        </w:trPr>
        <w:tc>
          <w:tcPr>
            <w:tcW w:w="2285" w:type="pct"/>
            <w:shd w:val="clear" w:color="auto" w:fill="auto"/>
            <w:noWrap/>
            <w:vAlign w:val="center"/>
            <w:hideMark/>
          </w:tcPr>
          <w:p w:rsidR="002646D3" w:rsidRPr="00B778A6" w:rsidRDefault="002646D3" w:rsidP="00B778A6">
            <w:pPr>
              <w:rPr>
                <w:rFonts w:eastAsia="Times New Roman"/>
                <w:sz w:val="22"/>
                <w:szCs w:val="22"/>
              </w:rPr>
            </w:pPr>
            <w:r w:rsidRPr="00B778A6">
              <w:rPr>
                <w:rFonts w:eastAsia="Times New Roman"/>
                <w:sz w:val="22"/>
                <w:szCs w:val="22"/>
              </w:rPr>
              <w:t>Ikimokyklinio ugdymo auklėtinių skaičius</w:t>
            </w:r>
          </w:p>
        </w:tc>
        <w:tc>
          <w:tcPr>
            <w:tcW w:w="452" w:type="pct"/>
          </w:tcPr>
          <w:p w:rsidR="002646D3" w:rsidRPr="00B778A6" w:rsidRDefault="002646D3" w:rsidP="00B778A6">
            <w:pPr>
              <w:jc w:val="center"/>
              <w:rPr>
                <w:rFonts w:eastAsia="Times New Roman"/>
                <w:sz w:val="22"/>
                <w:szCs w:val="22"/>
              </w:rPr>
            </w:pPr>
            <w:r w:rsidRPr="00B778A6">
              <w:rPr>
                <w:rFonts w:eastAsia="Times New Roman"/>
                <w:sz w:val="22"/>
                <w:szCs w:val="22"/>
              </w:rPr>
              <w:t>668</w:t>
            </w:r>
          </w:p>
        </w:tc>
        <w:tc>
          <w:tcPr>
            <w:tcW w:w="452" w:type="pct"/>
          </w:tcPr>
          <w:p w:rsidR="002646D3" w:rsidRPr="00B778A6" w:rsidRDefault="002646D3" w:rsidP="00B778A6">
            <w:pPr>
              <w:jc w:val="center"/>
              <w:rPr>
                <w:rFonts w:eastAsia="Times New Roman"/>
                <w:sz w:val="22"/>
                <w:szCs w:val="22"/>
              </w:rPr>
            </w:pPr>
            <w:r w:rsidRPr="00B778A6">
              <w:rPr>
                <w:rFonts w:eastAsia="Times New Roman"/>
                <w:sz w:val="22"/>
                <w:szCs w:val="22"/>
              </w:rPr>
              <w:t>676</w:t>
            </w:r>
          </w:p>
        </w:tc>
        <w:tc>
          <w:tcPr>
            <w:tcW w:w="452" w:type="pct"/>
            <w:shd w:val="clear" w:color="auto" w:fill="auto"/>
          </w:tcPr>
          <w:p w:rsidR="002646D3" w:rsidRPr="00B778A6" w:rsidRDefault="002646D3" w:rsidP="00B778A6">
            <w:pPr>
              <w:jc w:val="center"/>
              <w:rPr>
                <w:rFonts w:eastAsia="Times New Roman"/>
                <w:sz w:val="22"/>
                <w:szCs w:val="22"/>
              </w:rPr>
            </w:pPr>
            <w:r w:rsidRPr="00B778A6">
              <w:rPr>
                <w:rFonts w:eastAsia="Times New Roman"/>
                <w:sz w:val="22"/>
                <w:szCs w:val="22"/>
              </w:rPr>
              <w:t>721</w:t>
            </w:r>
          </w:p>
        </w:tc>
        <w:tc>
          <w:tcPr>
            <w:tcW w:w="453" w:type="pct"/>
            <w:shd w:val="clear" w:color="auto" w:fill="auto"/>
          </w:tcPr>
          <w:p w:rsidR="002646D3" w:rsidRPr="00B778A6" w:rsidRDefault="002646D3" w:rsidP="00B778A6">
            <w:pPr>
              <w:jc w:val="center"/>
              <w:rPr>
                <w:rFonts w:eastAsia="Times New Roman"/>
                <w:sz w:val="22"/>
                <w:szCs w:val="22"/>
              </w:rPr>
            </w:pPr>
            <w:r w:rsidRPr="00B778A6">
              <w:rPr>
                <w:rFonts w:eastAsia="Times New Roman"/>
                <w:sz w:val="22"/>
                <w:szCs w:val="22"/>
              </w:rPr>
              <w:t>737</w:t>
            </w:r>
          </w:p>
        </w:tc>
        <w:tc>
          <w:tcPr>
            <w:tcW w:w="453" w:type="pct"/>
            <w:shd w:val="clear" w:color="auto" w:fill="auto"/>
          </w:tcPr>
          <w:p w:rsidR="002646D3" w:rsidRPr="00B778A6" w:rsidRDefault="002646D3" w:rsidP="00B778A6">
            <w:pPr>
              <w:jc w:val="center"/>
              <w:rPr>
                <w:rFonts w:eastAsia="Times New Roman"/>
                <w:sz w:val="22"/>
                <w:szCs w:val="22"/>
              </w:rPr>
            </w:pPr>
            <w:r w:rsidRPr="00B778A6">
              <w:rPr>
                <w:rFonts w:eastAsia="Times New Roman"/>
                <w:sz w:val="22"/>
                <w:szCs w:val="22"/>
              </w:rPr>
              <w:t>766</w:t>
            </w:r>
          </w:p>
        </w:tc>
        <w:tc>
          <w:tcPr>
            <w:tcW w:w="452" w:type="pct"/>
            <w:shd w:val="clear" w:color="auto" w:fill="auto"/>
            <w:noWrap/>
          </w:tcPr>
          <w:p w:rsidR="002646D3" w:rsidRPr="00B778A6" w:rsidRDefault="002646D3" w:rsidP="00B778A6">
            <w:pPr>
              <w:jc w:val="center"/>
              <w:rPr>
                <w:rFonts w:eastAsia="Times New Roman"/>
                <w:sz w:val="22"/>
                <w:szCs w:val="22"/>
              </w:rPr>
            </w:pPr>
            <w:r w:rsidRPr="00B778A6">
              <w:rPr>
                <w:rFonts w:eastAsia="Times New Roman"/>
                <w:sz w:val="22"/>
                <w:szCs w:val="22"/>
              </w:rPr>
              <w:t>14,7</w:t>
            </w:r>
          </w:p>
        </w:tc>
      </w:tr>
      <w:tr w:rsidR="002646D3" w:rsidRPr="00B778A6" w:rsidTr="00B778A6">
        <w:trPr>
          <w:trHeight w:val="57"/>
        </w:trPr>
        <w:tc>
          <w:tcPr>
            <w:tcW w:w="2285" w:type="pct"/>
            <w:shd w:val="clear" w:color="auto" w:fill="auto"/>
            <w:vAlign w:val="center"/>
            <w:hideMark/>
          </w:tcPr>
          <w:p w:rsidR="002646D3" w:rsidRPr="00B778A6" w:rsidRDefault="002646D3" w:rsidP="00B778A6">
            <w:pPr>
              <w:rPr>
                <w:rFonts w:eastAsia="Times New Roman"/>
                <w:sz w:val="22"/>
                <w:szCs w:val="22"/>
              </w:rPr>
            </w:pPr>
            <w:r w:rsidRPr="00B778A6">
              <w:rPr>
                <w:rFonts w:eastAsia="Times New Roman"/>
                <w:sz w:val="22"/>
                <w:szCs w:val="22"/>
              </w:rPr>
              <w:lastRenderedPageBreak/>
              <w:t>Vietų skaičius ikimokyklinio ugdymo įstaigose</w:t>
            </w:r>
          </w:p>
        </w:tc>
        <w:tc>
          <w:tcPr>
            <w:tcW w:w="452" w:type="pct"/>
          </w:tcPr>
          <w:p w:rsidR="002646D3" w:rsidRPr="00B778A6" w:rsidRDefault="002646D3" w:rsidP="00B778A6">
            <w:pPr>
              <w:jc w:val="center"/>
              <w:rPr>
                <w:rFonts w:eastAsia="Times New Roman"/>
                <w:sz w:val="22"/>
                <w:szCs w:val="22"/>
              </w:rPr>
            </w:pPr>
            <w:r w:rsidRPr="00B778A6">
              <w:rPr>
                <w:rFonts w:eastAsia="Times New Roman"/>
                <w:sz w:val="22"/>
                <w:szCs w:val="22"/>
              </w:rPr>
              <w:t>741</w:t>
            </w:r>
          </w:p>
        </w:tc>
        <w:tc>
          <w:tcPr>
            <w:tcW w:w="452" w:type="pct"/>
          </w:tcPr>
          <w:p w:rsidR="002646D3" w:rsidRPr="00B778A6" w:rsidRDefault="002646D3" w:rsidP="00B778A6">
            <w:pPr>
              <w:jc w:val="center"/>
              <w:rPr>
                <w:rFonts w:eastAsia="Times New Roman"/>
                <w:sz w:val="22"/>
                <w:szCs w:val="22"/>
              </w:rPr>
            </w:pPr>
            <w:r w:rsidRPr="00B778A6">
              <w:rPr>
                <w:rFonts w:eastAsia="Times New Roman"/>
                <w:sz w:val="22"/>
                <w:szCs w:val="22"/>
              </w:rPr>
              <w:t>769</w:t>
            </w:r>
          </w:p>
        </w:tc>
        <w:tc>
          <w:tcPr>
            <w:tcW w:w="452" w:type="pct"/>
            <w:shd w:val="clear" w:color="auto" w:fill="auto"/>
          </w:tcPr>
          <w:p w:rsidR="002646D3" w:rsidRPr="00B778A6" w:rsidRDefault="002646D3" w:rsidP="00B778A6">
            <w:pPr>
              <w:jc w:val="center"/>
              <w:rPr>
                <w:rFonts w:eastAsia="Times New Roman"/>
                <w:sz w:val="22"/>
                <w:szCs w:val="22"/>
              </w:rPr>
            </w:pPr>
            <w:r w:rsidRPr="00B778A6">
              <w:rPr>
                <w:rFonts w:eastAsia="Times New Roman"/>
                <w:sz w:val="22"/>
                <w:szCs w:val="22"/>
              </w:rPr>
              <w:t>788</w:t>
            </w:r>
          </w:p>
        </w:tc>
        <w:tc>
          <w:tcPr>
            <w:tcW w:w="453" w:type="pct"/>
            <w:shd w:val="clear" w:color="auto" w:fill="auto"/>
          </w:tcPr>
          <w:p w:rsidR="002646D3" w:rsidRPr="00B778A6" w:rsidRDefault="002646D3" w:rsidP="00B778A6">
            <w:pPr>
              <w:jc w:val="center"/>
              <w:rPr>
                <w:rFonts w:eastAsia="Times New Roman"/>
                <w:sz w:val="22"/>
                <w:szCs w:val="22"/>
              </w:rPr>
            </w:pPr>
            <w:r w:rsidRPr="00B778A6">
              <w:rPr>
                <w:rFonts w:eastAsia="Times New Roman"/>
                <w:sz w:val="22"/>
                <w:szCs w:val="22"/>
              </w:rPr>
              <w:t>799</w:t>
            </w:r>
          </w:p>
        </w:tc>
        <w:tc>
          <w:tcPr>
            <w:tcW w:w="453" w:type="pct"/>
            <w:shd w:val="clear" w:color="auto" w:fill="auto"/>
          </w:tcPr>
          <w:p w:rsidR="002646D3" w:rsidRPr="00B778A6" w:rsidRDefault="002646D3" w:rsidP="00B778A6">
            <w:pPr>
              <w:jc w:val="center"/>
              <w:rPr>
                <w:rFonts w:eastAsia="Times New Roman"/>
                <w:sz w:val="22"/>
                <w:szCs w:val="22"/>
              </w:rPr>
            </w:pPr>
            <w:r w:rsidRPr="00B778A6">
              <w:rPr>
                <w:rFonts w:eastAsia="Times New Roman"/>
                <w:sz w:val="22"/>
                <w:szCs w:val="22"/>
              </w:rPr>
              <w:t>856</w:t>
            </w:r>
          </w:p>
        </w:tc>
        <w:tc>
          <w:tcPr>
            <w:tcW w:w="452" w:type="pct"/>
            <w:shd w:val="clear" w:color="auto" w:fill="auto"/>
            <w:noWrap/>
          </w:tcPr>
          <w:p w:rsidR="002646D3" w:rsidRPr="00B778A6" w:rsidRDefault="002646D3" w:rsidP="00B778A6">
            <w:pPr>
              <w:jc w:val="center"/>
              <w:rPr>
                <w:rFonts w:eastAsia="Times New Roman"/>
                <w:sz w:val="22"/>
                <w:szCs w:val="22"/>
              </w:rPr>
            </w:pPr>
            <w:r w:rsidRPr="00B778A6">
              <w:rPr>
                <w:rFonts w:eastAsia="Times New Roman"/>
                <w:sz w:val="22"/>
                <w:szCs w:val="22"/>
              </w:rPr>
              <w:t>15,5</w:t>
            </w:r>
          </w:p>
        </w:tc>
      </w:tr>
      <w:tr w:rsidR="003B74E6" w:rsidRPr="00B778A6" w:rsidTr="00B778A6">
        <w:trPr>
          <w:trHeight w:val="57"/>
        </w:trPr>
        <w:tc>
          <w:tcPr>
            <w:tcW w:w="2285" w:type="pct"/>
            <w:shd w:val="clear" w:color="auto" w:fill="auto"/>
            <w:vAlign w:val="center"/>
            <w:hideMark/>
          </w:tcPr>
          <w:p w:rsidR="003B74E6" w:rsidRPr="00B778A6" w:rsidRDefault="003B74E6" w:rsidP="00B778A6">
            <w:pPr>
              <w:rPr>
                <w:rFonts w:eastAsia="Times New Roman"/>
                <w:sz w:val="22"/>
                <w:szCs w:val="22"/>
              </w:rPr>
            </w:pPr>
            <w:r w:rsidRPr="00B778A6">
              <w:rPr>
                <w:rFonts w:eastAsia="Times New Roman"/>
                <w:sz w:val="22"/>
                <w:szCs w:val="22"/>
              </w:rPr>
              <w:t xml:space="preserve">Vaikų ikimokykliniame ugdyme dalis, palyginti su 1–6 metų amžiaus vaikais </w:t>
            </w:r>
          </w:p>
        </w:tc>
        <w:tc>
          <w:tcPr>
            <w:tcW w:w="452" w:type="pct"/>
          </w:tcPr>
          <w:p w:rsidR="003B74E6" w:rsidRPr="00B778A6" w:rsidRDefault="003B74E6" w:rsidP="00B778A6">
            <w:pPr>
              <w:jc w:val="center"/>
              <w:rPr>
                <w:rFonts w:eastAsia="Times New Roman"/>
                <w:sz w:val="22"/>
                <w:szCs w:val="22"/>
              </w:rPr>
            </w:pPr>
            <w:r w:rsidRPr="00B778A6">
              <w:rPr>
                <w:rFonts w:eastAsia="Times New Roman"/>
                <w:sz w:val="22"/>
                <w:szCs w:val="22"/>
              </w:rPr>
              <w:t>47,0</w:t>
            </w:r>
          </w:p>
        </w:tc>
        <w:tc>
          <w:tcPr>
            <w:tcW w:w="452" w:type="pct"/>
          </w:tcPr>
          <w:p w:rsidR="003B74E6" w:rsidRPr="00B778A6" w:rsidRDefault="003B74E6" w:rsidP="00B778A6">
            <w:pPr>
              <w:jc w:val="center"/>
              <w:rPr>
                <w:rFonts w:eastAsia="Times New Roman"/>
                <w:sz w:val="22"/>
                <w:szCs w:val="22"/>
              </w:rPr>
            </w:pPr>
            <w:r w:rsidRPr="00B778A6">
              <w:rPr>
                <w:rFonts w:eastAsia="Times New Roman"/>
                <w:sz w:val="22"/>
                <w:szCs w:val="22"/>
              </w:rPr>
              <w:t>46,7</w:t>
            </w:r>
          </w:p>
        </w:tc>
        <w:tc>
          <w:tcPr>
            <w:tcW w:w="452" w:type="pct"/>
            <w:shd w:val="clear" w:color="auto" w:fill="auto"/>
            <w:noWrap/>
          </w:tcPr>
          <w:p w:rsidR="003B74E6" w:rsidRPr="00B778A6" w:rsidRDefault="003B74E6" w:rsidP="00B778A6">
            <w:pPr>
              <w:jc w:val="center"/>
              <w:rPr>
                <w:rFonts w:eastAsia="Times New Roman"/>
                <w:sz w:val="22"/>
                <w:szCs w:val="22"/>
              </w:rPr>
            </w:pPr>
            <w:r w:rsidRPr="00B778A6">
              <w:rPr>
                <w:rFonts w:eastAsia="Times New Roman"/>
                <w:sz w:val="22"/>
                <w:szCs w:val="22"/>
              </w:rPr>
              <w:t>48,7</w:t>
            </w:r>
          </w:p>
        </w:tc>
        <w:tc>
          <w:tcPr>
            <w:tcW w:w="453" w:type="pct"/>
            <w:shd w:val="clear" w:color="auto" w:fill="auto"/>
            <w:noWrap/>
          </w:tcPr>
          <w:p w:rsidR="003B74E6" w:rsidRPr="00B778A6" w:rsidRDefault="003B74E6" w:rsidP="00B778A6">
            <w:pPr>
              <w:jc w:val="center"/>
              <w:rPr>
                <w:rFonts w:eastAsia="Times New Roman"/>
                <w:sz w:val="22"/>
                <w:szCs w:val="22"/>
              </w:rPr>
            </w:pPr>
            <w:r w:rsidRPr="00B778A6">
              <w:rPr>
                <w:rFonts w:eastAsia="Times New Roman"/>
                <w:sz w:val="22"/>
                <w:szCs w:val="22"/>
              </w:rPr>
              <w:t>50,0</w:t>
            </w:r>
          </w:p>
        </w:tc>
        <w:tc>
          <w:tcPr>
            <w:tcW w:w="453" w:type="pct"/>
            <w:shd w:val="clear" w:color="auto" w:fill="auto"/>
            <w:noWrap/>
          </w:tcPr>
          <w:p w:rsidR="003B74E6" w:rsidRPr="00B778A6" w:rsidRDefault="003B74E6" w:rsidP="00B778A6">
            <w:pPr>
              <w:jc w:val="center"/>
              <w:rPr>
                <w:rFonts w:eastAsia="Times New Roman"/>
                <w:sz w:val="22"/>
                <w:szCs w:val="22"/>
              </w:rPr>
            </w:pPr>
            <w:r w:rsidRPr="00B778A6">
              <w:rPr>
                <w:rFonts w:eastAsia="Times New Roman"/>
                <w:sz w:val="22"/>
                <w:szCs w:val="22"/>
              </w:rPr>
              <w:t>53,1</w:t>
            </w:r>
          </w:p>
        </w:tc>
        <w:tc>
          <w:tcPr>
            <w:tcW w:w="452" w:type="pct"/>
            <w:shd w:val="clear" w:color="auto" w:fill="auto"/>
            <w:noWrap/>
          </w:tcPr>
          <w:p w:rsidR="003B74E6" w:rsidRPr="00B778A6" w:rsidRDefault="003B74E6" w:rsidP="00B778A6">
            <w:pPr>
              <w:jc w:val="center"/>
              <w:rPr>
                <w:rFonts w:eastAsia="Times New Roman"/>
                <w:sz w:val="22"/>
                <w:szCs w:val="22"/>
              </w:rPr>
            </w:pPr>
            <w:r w:rsidRPr="00B778A6">
              <w:rPr>
                <w:rFonts w:eastAsia="Times New Roman"/>
                <w:sz w:val="22"/>
                <w:szCs w:val="22"/>
              </w:rPr>
              <w:t>13,0</w:t>
            </w:r>
          </w:p>
        </w:tc>
      </w:tr>
      <w:tr w:rsidR="003B74E6" w:rsidRPr="00B778A6" w:rsidTr="00B778A6">
        <w:trPr>
          <w:trHeight w:val="57"/>
        </w:trPr>
        <w:tc>
          <w:tcPr>
            <w:tcW w:w="2285" w:type="pct"/>
            <w:shd w:val="clear" w:color="auto" w:fill="auto"/>
            <w:vAlign w:val="center"/>
          </w:tcPr>
          <w:p w:rsidR="003B74E6" w:rsidRPr="00B778A6" w:rsidRDefault="003B74E6" w:rsidP="00B778A6">
            <w:pPr>
              <w:rPr>
                <w:sz w:val="22"/>
                <w:szCs w:val="22"/>
              </w:rPr>
            </w:pPr>
            <w:r w:rsidRPr="00B778A6">
              <w:rPr>
                <w:sz w:val="22"/>
                <w:szCs w:val="22"/>
              </w:rPr>
              <w:t>Vietų skaičius, tenkantis 100-ui vaikų, lankančių ikimokyklinio ugdymo įstaigas</w:t>
            </w:r>
          </w:p>
        </w:tc>
        <w:tc>
          <w:tcPr>
            <w:tcW w:w="452" w:type="pct"/>
          </w:tcPr>
          <w:p w:rsidR="003B74E6" w:rsidRPr="00B778A6" w:rsidRDefault="003B74E6" w:rsidP="00B778A6">
            <w:pPr>
              <w:jc w:val="center"/>
              <w:rPr>
                <w:rFonts w:eastAsia="Times New Roman"/>
                <w:sz w:val="22"/>
                <w:szCs w:val="22"/>
              </w:rPr>
            </w:pPr>
            <w:r w:rsidRPr="00B778A6">
              <w:rPr>
                <w:rFonts w:eastAsia="Times New Roman"/>
                <w:sz w:val="22"/>
                <w:szCs w:val="22"/>
              </w:rPr>
              <w:t>111</w:t>
            </w:r>
          </w:p>
        </w:tc>
        <w:tc>
          <w:tcPr>
            <w:tcW w:w="452" w:type="pct"/>
          </w:tcPr>
          <w:p w:rsidR="003B74E6" w:rsidRPr="00B778A6" w:rsidRDefault="003B74E6" w:rsidP="00B778A6">
            <w:pPr>
              <w:jc w:val="center"/>
              <w:rPr>
                <w:rFonts w:eastAsia="Times New Roman"/>
                <w:sz w:val="22"/>
                <w:szCs w:val="22"/>
              </w:rPr>
            </w:pPr>
            <w:r w:rsidRPr="00B778A6">
              <w:rPr>
                <w:rFonts w:eastAsia="Times New Roman"/>
                <w:sz w:val="22"/>
                <w:szCs w:val="22"/>
              </w:rPr>
              <w:t>114</w:t>
            </w:r>
          </w:p>
        </w:tc>
        <w:tc>
          <w:tcPr>
            <w:tcW w:w="452" w:type="pct"/>
            <w:shd w:val="clear" w:color="auto" w:fill="auto"/>
            <w:noWrap/>
          </w:tcPr>
          <w:p w:rsidR="003B74E6" w:rsidRPr="00B778A6" w:rsidRDefault="003B74E6" w:rsidP="00B778A6">
            <w:pPr>
              <w:jc w:val="center"/>
              <w:rPr>
                <w:rFonts w:eastAsia="Times New Roman"/>
                <w:sz w:val="22"/>
                <w:szCs w:val="22"/>
              </w:rPr>
            </w:pPr>
            <w:r w:rsidRPr="00B778A6">
              <w:rPr>
                <w:rFonts w:eastAsia="Times New Roman"/>
                <w:sz w:val="22"/>
                <w:szCs w:val="22"/>
              </w:rPr>
              <w:t>109</w:t>
            </w:r>
          </w:p>
        </w:tc>
        <w:tc>
          <w:tcPr>
            <w:tcW w:w="453" w:type="pct"/>
            <w:shd w:val="clear" w:color="auto" w:fill="auto"/>
            <w:noWrap/>
          </w:tcPr>
          <w:p w:rsidR="003B74E6" w:rsidRPr="00B778A6" w:rsidRDefault="003B74E6" w:rsidP="00B778A6">
            <w:pPr>
              <w:jc w:val="center"/>
              <w:rPr>
                <w:rFonts w:eastAsia="Times New Roman"/>
                <w:sz w:val="22"/>
                <w:szCs w:val="22"/>
              </w:rPr>
            </w:pPr>
            <w:r w:rsidRPr="00B778A6">
              <w:rPr>
                <w:rFonts w:eastAsia="Times New Roman"/>
                <w:sz w:val="22"/>
                <w:szCs w:val="22"/>
              </w:rPr>
              <w:t>108</w:t>
            </w:r>
          </w:p>
        </w:tc>
        <w:tc>
          <w:tcPr>
            <w:tcW w:w="453" w:type="pct"/>
            <w:shd w:val="clear" w:color="auto" w:fill="auto"/>
            <w:noWrap/>
          </w:tcPr>
          <w:p w:rsidR="003B74E6" w:rsidRPr="00B778A6" w:rsidRDefault="003B74E6" w:rsidP="00B778A6">
            <w:pPr>
              <w:jc w:val="center"/>
              <w:rPr>
                <w:rFonts w:eastAsia="Times New Roman"/>
                <w:sz w:val="22"/>
                <w:szCs w:val="22"/>
              </w:rPr>
            </w:pPr>
            <w:r w:rsidRPr="00B778A6">
              <w:rPr>
                <w:rFonts w:eastAsia="Times New Roman"/>
                <w:sz w:val="22"/>
                <w:szCs w:val="22"/>
              </w:rPr>
              <w:t>112</w:t>
            </w:r>
          </w:p>
        </w:tc>
        <w:tc>
          <w:tcPr>
            <w:tcW w:w="452" w:type="pct"/>
            <w:shd w:val="clear" w:color="auto" w:fill="auto"/>
            <w:noWrap/>
          </w:tcPr>
          <w:p w:rsidR="003B74E6" w:rsidRPr="00B778A6" w:rsidRDefault="003B74E6" w:rsidP="00B778A6">
            <w:pPr>
              <w:jc w:val="center"/>
              <w:rPr>
                <w:rFonts w:eastAsia="Times New Roman"/>
                <w:sz w:val="22"/>
                <w:szCs w:val="22"/>
              </w:rPr>
            </w:pPr>
            <w:r w:rsidRPr="00B778A6">
              <w:rPr>
                <w:rFonts w:eastAsia="Times New Roman"/>
                <w:sz w:val="22"/>
                <w:szCs w:val="22"/>
              </w:rPr>
              <w:t>0,7</w:t>
            </w:r>
          </w:p>
        </w:tc>
      </w:tr>
    </w:tbl>
    <w:p w:rsidR="00FC2F55" w:rsidRPr="00B778A6" w:rsidRDefault="00FC2F55" w:rsidP="00FC2F55">
      <w:pPr>
        <w:ind w:firstLine="720"/>
        <w:jc w:val="center"/>
      </w:pPr>
      <w:r w:rsidRPr="00B778A6">
        <w:rPr>
          <w:i/>
          <w:sz w:val="20"/>
          <w:szCs w:val="20"/>
        </w:rPr>
        <w:t>Šaltinis:</w:t>
      </w:r>
      <w:r w:rsidRPr="00B778A6">
        <w:t xml:space="preserve"> </w:t>
      </w:r>
      <w:r w:rsidRPr="00B778A6">
        <w:rPr>
          <w:i/>
          <w:sz w:val="20"/>
          <w:szCs w:val="20"/>
          <w:lang w:eastAsia="en-US"/>
        </w:rPr>
        <w:t>Liet</w:t>
      </w:r>
      <w:r w:rsidR="00C3088C" w:rsidRPr="00B778A6">
        <w:rPr>
          <w:i/>
          <w:sz w:val="20"/>
          <w:szCs w:val="20"/>
          <w:lang w:eastAsia="en-US"/>
        </w:rPr>
        <w:t>uvos statistikos departamentas</w:t>
      </w:r>
    </w:p>
    <w:p w:rsidR="00FC2F55" w:rsidRPr="00B778A6" w:rsidRDefault="00FC2F55" w:rsidP="00FC2F55">
      <w:pPr>
        <w:ind w:firstLine="720"/>
        <w:jc w:val="both"/>
      </w:pPr>
    </w:p>
    <w:p w:rsidR="00FC2F55" w:rsidRPr="00B778A6" w:rsidRDefault="00FC2F55" w:rsidP="00FC2F55">
      <w:pPr>
        <w:ind w:firstLine="720"/>
        <w:jc w:val="both"/>
      </w:pPr>
      <w:r w:rsidRPr="00B778A6">
        <w:t xml:space="preserve">Lentelėje matyti, kad vaikų, kurių amžius nuo 1 iki 6 metų, skaičius </w:t>
      </w:r>
      <w:r w:rsidR="00C00384" w:rsidRPr="00B778A6">
        <w:t>2016-2020</w:t>
      </w:r>
      <w:r w:rsidRPr="00B778A6">
        <w:t xml:space="preserve"> metų laikotarpiu paaugo </w:t>
      </w:r>
      <w:r w:rsidR="00C00384" w:rsidRPr="00B778A6">
        <w:t>1,5</w:t>
      </w:r>
      <w:r w:rsidRPr="00B778A6">
        <w:t xml:space="preserve"> proc., o lankančių ikimokyklinio ugdymo įstaigas – </w:t>
      </w:r>
      <w:r w:rsidR="00C00384" w:rsidRPr="00B778A6">
        <w:t>14,7</w:t>
      </w:r>
      <w:r w:rsidRPr="00B778A6">
        <w:t xml:space="preserve"> proc. Tai, kad vis daugiau Prienų rajono vaikų lanko ikimokyklinio ugdymo įstaigas, rodo ir išvestinio rodiklio „Vaikų ikimokykliniame ugdyme dalis, palyginti su </w:t>
      </w:r>
      <w:r w:rsidR="009E5A91">
        <w:t>1-</w:t>
      </w:r>
      <w:r w:rsidRPr="00B778A6">
        <w:t xml:space="preserve">6 metų amžiaus vaikais“ augimas nuo </w:t>
      </w:r>
      <w:r w:rsidR="00C00384" w:rsidRPr="00B778A6">
        <w:t>47,0</w:t>
      </w:r>
      <w:r w:rsidRPr="00B778A6">
        <w:t xml:space="preserve"> iki </w:t>
      </w:r>
      <w:r w:rsidR="00C00384" w:rsidRPr="00B778A6">
        <w:t>53,1</w:t>
      </w:r>
      <w:r w:rsidRPr="00B778A6">
        <w:t xml:space="preserve"> proc. Lentelėje matyti, kad per analizuojamą laikotarpį vietų skaičius ikimokyklinio ugdymo įstaigose išaugo </w:t>
      </w:r>
      <w:r w:rsidR="00C00384" w:rsidRPr="00B778A6">
        <w:t>15,5</w:t>
      </w:r>
      <w:r w:rsidRPr="00B778A6">
        <w:t xml:space="preserve"> proc. ir kasmet viršijo ugdymo auklėtinių skaičių. Šį ikimokyklinio ugdymo įstaigų nepilną užimtumą galėjo nulemti kelios priežastys:</w:t>
      </w:r>
    </w:p>
    <w:p w:rsidR="00FC2F55" w:rsidRPr="00B778A6" w:rsidRDefault="00FC2F55" w:rsidP="00FC2F55">
      <w:pPr>
        <w:numPr>
          <w:ilvl w:val="0"/>
          <w:numId w:val="4"/>
        </w:numPr>
        <w:autoSpaceDE w:val="0"/>
        <w:autoSpaceDN w:val="0"/>
        <w:adjustRightInd w:val="0"/>
        <w:jc w:val="both"/>
      </w:pPr>
      <w:r w:rsidRPr="00B778A6">
        <w:t>Geografinis nesuderinamumas. Laisvos vietos ikimokyklinio ir priešmokyklinio ugdymo įstaigose yra tuose Prienų rajono miesteliuose ar kaimuose, kuriuose ikimokyklinio ugdymo poreikis yra mažesnis nei vietų skaičius ikimokyklinio ir priešmokyklinio ugdymo įstaigose. Šį nesuderinamumą valdyti pakankamai sudėtinga dėl vidinės ir išorinės gyventojų migracijos bei lėto ikimokyklinio ir priešmokyklinio ugdymo įstaigų prisitaikymo prie kintančių demografinių pokyčių;</w:t>
      </w:r>
    </w:p>
    <w:p w:rsidR="00FC2F55" w:rsidRPr="00B778A6" w:rsidRDefault="00FC2F55" w:rsidP="00FC2F55">
      <w:pPr>
        <w:numPr>
          <w:ilvl w:val="0"/>
          <w:numId w:val="4"/>
        </w:numPr>
        <w:autoSpaceDE w:val="0"/>
        <w:autoSpaceDN w:val="0"/>
        <w:adjustRightInd w:val="0"/>
        <w:jc w:val="both"/>
      </w:pPr>
      <w:r w:rsidRPr="00B778A6">
        <w:t>Ekonominė situacija. Aukštas nedarbo lygis ir mažas darbo užmokestis Prienų rajone nulemia tėvų (dažniausiai moterų), susilaukusių vaikų, vėlesnį grįžimą į darbo rinką ir vaikų auginimą namuose iki mokyklinio amžiaus. Pagerėjus ekonominei situacijai rajone, tėvai būtų suinteresuoti anksčiau sugrįžti į darbo rinką;</w:t>
      </w:r>
    </w:p>
    <w:p w:rsidR="00FC2F55" w:rsidRPr="00B778A6" w:rsidRDefault="00FC2F55" w:rsidP="00FC2F55">
      <w:pPr>
        <w:numPr>
          <w:ilvl w:val="0"/>
          <w:numId w:val="4"/>
        </w:numPr>
        <w:autoSpaceDE w:val="0"/>
        <w:autoSpaceDN w:val="0"/>
        <w:adjustRightInd w:val="0"/>
        <w:jc w:val="both"/>
      </w:pPr>
      <w:r w:rsidRPr="00B778A6">
        <w:t>Prasta infrastruktūros būklė. Tėvai, auginantys ikimokyklinio ir priešmokyklinio amžiaus vaikus, neveda savo atžalų į ikimokyklinio ir priešmokyklinio ugdymo įstaigas dėl prastų, higienos normų neatitinkančių sąlygų. Šią priežastį galima eliminuoti iš esmės pagerinus ikimokyklinio ir priešmokyklinio ugdymo įstaigų infrastruktūrą ir taip pagerinti ikimokyklinio ir priešmokyklinio ugdymo įstaigų tinklo efektyvumą.</w:t>
      </w:r>
    </w:p>
    <w:p w:rsidR="00FC2F55" w:rsidRPr="00B778A6" w:rsidRDefault="00FC2F55" w:rsidP="00FC2F55">
      <w:pPr>
        <w:ind w:firstLine="720"/>
        <w:jc w:val="both"/>
      </w:pPr>
    </w:p>
    <w:p w:rsidR="000A1DCC" w:rsidRPr="00B778A6" w:rsidRDefault="000A1DCC" w:rsidP="000A1DCC">
      <w:pPr>
        <w:ind w:firstLine="720"/>
        <w:jc w:val="both"/>
      </w:pPr>
      <w:r w:rsidRPr="00B778A6">
        <w:t>Dėl palyginti mažo gyventojų tankumo rajone, ikimokyklinis ir priešmokyklinis ugdymas Prienų rajone vykdomas ne tik lopšeliuose-darželiuose. Prienų rajone ikimokyklinio ir priešmokyklinio amžiaus vaikai ugdomi 1</w:t>
      </w:r>
      <w:r w:rsidR="00244099" w:rsidRPr="00B778A6">
        <w:t>0</w:t>
      </w:r>
      <w:r w:rsidRPr="00B778A6">
        <w:t xml:space="preserve"> bendrojo ugdymo mokyklų ir 3 lopšelių-darželių priešmokyklinio ir ikimokyklinio ugdymo grupėse. Prienų mieste šias paslaugos teikia 5 įstaigos: Prienų lopšelis-darželis „Gintarėlis“, Prienų lopšelis-darželis „Pasaka“, Prienų lopšelis-darželis „Saulutė“, Prienų „Ąžuolo“ progimnazija, Prienų „Revuonos“ pagrindinė mokykla. </w:t>
      </w:r>
    </w:p>
    <w:p w:rsidR="000A1DCC" w:rsidRPr="00B778A6" w:rsidRDefault="000A1DCC" w:rsidP="000A1DCC">
      <w:pPr>
        <w:ind w:firstLine="720"/>
        <w:jc w:val="both"/>
      </w:pPr>
      <w:r w:rsidRPr="00B778A6">
        <w:t>Prienų rajono savivaldybė nedisponuoja kito tokio nekilnojamojo turto, kurį būtų galima papildomai panaudoti ikimokyklinio ir priešmokyklinio ugdymo viešosioms paslaugoms teikti. Rinkoje nėra privačių subjektų, kurie teikia tokio tipo paslaugas. R</w:t>
      </w:r>
      <w:r w:rsidRPr="00B778A6">
        <w:rPr>
          <w:lang w:eastAsia="en-US"/>
        </w:rPr>
        <w:t xml:space="preserve">inkoje taip pat nėra parduodamų reikalingas technines ir funkcines charakteristikas turinčių pastatų, kurie galėtų būti naudojami ikimokyklinio ir priešmokyklinio ugdymo veiklai vykdyti. </w:t>
      </w:r>
      <w:r w:rsidRPr="00B778A6">
        <w:t>Norint padidinti ikimokyklinio ir priešmokyklinio ugdymo aprėptį rajone, būtina maksimaliai išnaudoti esamą infrastruktūrą, padidinant jos efektyvumą.</w:t>
      </w:r>
    </w:p>
    <w:p w:rsidR="000A1DCC" w:rsidRPr="00B778A6" w:rsidRDefault="000A1DCC" w:rsidP="000A1DCC">
      <w:pPr>
        <w:ind w:firstLine="720"/>
        <w:jc w:val="both"/>
        <w:rPr>
          <w:b/>
        </w:rPr>
      </w:pPr>
      <w:r w:rsidRPr="00B778A6">
        <w:t xml:space="preserve">Tik ketvirtadalis ikimokyklines ir priešmokyklines ugdymo grupes lankančių vaikų lanko ikimokyklinio ir priešmokyklinio ugdymo įstaigas, likęs – bendrojo ugdymo mokyklas. Atkreiptinas dėmesys, kad bendrojo ugdymo mokyklose yra po 1-2 vaikų grupes, kuriose vidutiniškai ugdoma kur kas mažiau vaikų grupėje, t.y. grupės nėra pilnai užpildytos. Ikimokyklinio ir priešmokyklinio ugdymo įstaigose grupės dažniausiai yra pilnai užpildytos, o kai kur ir perpildytos. Prienų mieste ir miesto prieigose ikimokyklinio ir priešmokyklinio ugdymo poreikis yra didžiausias rajone ir viešosios paslaugos paklausa nėra patenkinama. </w:t>
      </w:r>
      <w:r w:rsidRPr="00B778A6">
        <w:rPr>
          <w:b/>
        </w:rPr>
        <w:t xml:space="preserve">Norint pagerinti </w:t>
      </w:r>
      <w:r w:rsidRPr="00B778A6">
        <w:rPr>
          <w:b/>
        </w:rPr>
        <w:lastRenderedPageBreak/>
        <w:t>ikimokyklinio ir priešmokyklinio ugdymo įstaigų tinklo efektyvumą Prienų rajone, tikslinga investicijas orientuoti į tų ikimokyklinio ir priešmokyklinio ugdymo įstaigų infrastruktūros gerinimą, kuriose naudą pajus daugiausiai rajono vaikų, t.y. rajone veikiančius lopšelius-darželius, nes tik investuojant į šias įstaigas galima tikėtis ikimokyklinio ir priešmokyklinio ugdymo aprėpties padidėjimo.</w:t>
      </w:r>
    </w:p>
    <w:p w:rsidR="000322F4" w:rsidRPr="00B778A6" w:rsidRDefault="000322F4" w:rsidP="000A1DCC">
      <w:pPr>
        <w:ind w:firstLine="720"/>
        <w:jc w:val="both"/>
        <w:rPr>
          <w:b/>
        </w:rPr>
      </w:pPr>
    </w:p>
    <w:p w:rsidR="000322F4" w:rsidRPr="00B778A6" w:rsidRDefault="000322F4" w:rsidP="000A1DCC">
      <w:pPr>
        <w:ind w:firstLine="720"/>
        <w:jc w:val="both"/>
        <w:rPr>
          <w:b/>
        </w:rPr>
      </w:pPr>
      <w:r w:rsidRPr="00B778A6">
        <w:t>Šio investicijų projekto objektas, Prienų lopšelis-darželis „Gintarėlis“, yra antra pagal vaikų skaičių tokio tipo įstaiga mieste ir rajone.</w:t>
      </w:r>
      <w:r w:rsidR="00D3494A">
        <w:t xml:space="preserve"> Įstaigos veiklos apimtys:</w:t>
      </w:r>
    </w:p>
    <w:p w:rsidR="000322F4" w:rsidRPr="00B778A6" w:rsidRDefault="000322F4" w:rsidP="00B778A6">
      <w:pPr>
        <w:jc w:val="both"/>
        <w:rPr>
          <w:b/>
        </w:rPr>
      </w:pPr>
    </w:p>
    <w:p w:rsidR="000322F4" w:rsidRPr="00B778A6" w:rsidRDefault="000322F4" w:rsidP="000322F4">
      <w:pPr>
        <w:jc w:val="center"/>
      </w:pPr>
      <w:r w:rsidRPr="00B778A6">
        <w:rPr>
          <w:b/>
        </w:rPr>
        <w:t>1.1.2. lentelė. Prienų lopšelio-darželio „Gintarėlis“ veiklos apimtys</w:t>
      </w:r>
    </w:p>
    <w:tbl>
      <w:tblPr>
        <w:tblW w:w="488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53"/>
        <w:gridCol w:w="823"/>
        <w:gridCol w:w="714"/>
        <w:gridCol w:w="708"/>
        <w:gridCol w:w="712"/>
        <w:gridCol w:w="708"/>
      </w:tblGrid>
      <w:tr w:rsidR="000322F4" w:rsidRPr="0067083E" w:rsidTr="00507F2E">
        <w:trPr>
          <w:trHeight w:val="92"/>
        </w:trPr>
        <w:tc>
          <w:tcPr>
            <w:tcW w:w="3095" w:type="pct"/>
            <w:shd w:val="clear" w:color="auto" w:fill="D9D9D9"/>
          </w:tcPr>
          <w:p w:rsidR="000322F4" w:rsidRPr="0067083E" w:rsidRDefault="00C3088C" w:rsidP="000322F4">
            <w:pPr>
              <w:rPr>
                <w:b/>
                <w:sz w:val="22"/>
                <w:szCs w:val="22"/>
                <w:lang w:eastAsia="en-US"/>
              </w:rPr>
            </w:pPr>
            <w:r w:rsidRPr="0067083E">
              <w:rPr>
                <w:b/>
                <w:sz w:val="22"/>
                <w:szCs w:val="22"/>
                <w:lang w:eastAsia="en-US"/>
              </w:rPr>
              <w:t>Metai</w:t>
            </w:r>
          </w:p>
        </w:tc>
        <w:tc>
          <w:tcPr>
            <w:tcW w:w="428" w:type="pct"/>
            <w:shd w:val="clear" w:color="auto" w:fill="D9D9D9"/>
          </w:tcPr>
          <w:p w:rsidR="000322F4" w:rsidRPr="0067083E" w:rsidRDefault="000322F4" w:rsidP="000322F4">
            <w:pPr>
              <w:rPr>
                <w:b/>
                <w:sz w:val="22"/>
                <w:szCs w:val="22"/>
                <w:lang w:eastAsia="en-US"/>
              </w:rPr>
            </w:pPr>
            <w:r w:rsidRPr="0067083E">
              <w:rPr>
                <w:b/>
                <w:sz w:val="22"/>
                <w:szCs w:val="22"/>
                <w:lang w:eastAsia="en-US"/>
              </w:rPr>
              <w:t>2017</w:t>
            </w:r>
          </w:p>
        </w:tc>
        <w:tc>
          <w:tcPr>
            <w:tcW w:w="371" w:type="pct"/>
            <w:shd w:val="clear" w:color="auto" w:fill="D9D9D9"/>
          </w:tcPr>
          <w:p w:rsidR="000322F4" w:rsidRPr="0067083E" w:rsidRDefault="000322F4" w:rsidP="000322F4">
            <w:pPr>
              <w:rPr>
                <w:b/>
                <w:sz w:val="22"/>
                <w:szCs w:val="22"/>
                <w:lang w:eastAsia="en-US"/>
              </w:rPr>
            </w:pPr>
            <w:r w:rsidRPr="0067083E">
              <w:rPr>
                <w:b/>
                <w:sz w:val="22"/>
                <w:szCs w:val="22"/>
                <w:lang w:eastAsia="en-US"/>
              </w:rPr>
              <w:t>2018</w:t>
            </w:r>
          </w:p>
        </w:tc>
        <w:tc>
          <w:tcPr>
            <w:tcW w:w="368" w:type="pct"/>
            <w:shd w:val="clear" w:color="auto" w:fill="D9D9D9"/>
          </w:tcPr>
          <w:p w:rsidR="000322F4" w:rsidRPr="0067083E" w:rsidRDefault="000322F4" w:rsidP="000322F4">
            <w:pPr>
              <w:rPr>
                <w:b/>
                <w:sz w:val="22"/>
                <w:szCs w:val="22"/>
                <w:lang w:eastAsia="en-US"/>
              </w:rPr>
            </w:pPr>
            <w:r w:rsidRPr="0067083E">
              <w:rPr>
                <w:b/>
                <w:sz w:val="22"/>
                <w:szCs w:val="22"/>
                <w:lang w:eastAsia="en-US"/>
              </w:rPr>
              <w:t>2019</w:t>
            </w:r>
          </w:p>
        </w:tc>
        <w:tc>
          <w:tcPr>
            <w:tcW w:w="370" w:type="pct"/>
            <w:shd w:val="clear" w:color="auto" w:fill="D9D9D9"/>
          </w:tcPr>
          <w:p w:rsidR="000322F4" w:rsidRPr="0067083E" w:rsidRDefault="000322F4" w:rsidP="000322F4">
            <w:pPr>
              <w:rPr>
                <w:b/>
                <w:sz w:val="22"/>
                <w:szCs w:val="22"/>
                <w:lang w:eastAsia="en-US"/>
              </w:rPr>
            </w:pPr>
            <w:r w:rsidRPr="0067083E">
              <w:rPr>
                <w:b/>
                <w:sz w:val="22"/>
                <w:szCs w:val="22"/>
                <w:lang w:eastAsia="en-US"/>
              </w:rPr>
              <w:t>2020</w:t>
            </w:r>
          </w:p>
        </w:tc>
        <w:tc>
          <w:tcPr>
            <w:tcW w:w="368" w:type="pct"/>
            <w:shd w:val="clear" w:color="auto" w:fill="D9D9D9"/>
          </w:tcPr>
          <w:p w:rsidR="000322F4" w:rsidRPr="0067083E" w:rsidRDefault="000322F4" w:rsidP="00B778A6">
            <w:pPr>
              <w:rPr>
                <w:b/>
                <w:sz w:val="22"/>
                <w:szCs w:val="22"/>
                <w:lang w:eastAsia="en-US"/>
              </w:rPr>
            </w:pPr>
            <w:r w:rsidRPr="0067083E">
              <w:rPr>
                <w:b/>
                <w:sz w:val="22"/>
                <w:szCs w:val="22"/>
                <w:lang w:eastAsia="en-US"/>
              </w:rPr>
              <w:t xml:space="preserve">2021 </w:t>
            </w:r>
          </w:p>
        </w:tc>
      </w:tr>
      <w:tr w:rsidR="000322F4" w:rsidRPr="0067083E" w:rsidTr="00507F2E">
        <w:tc>
          <w:tcPr>
            <w:tcW w:w="3095" w:type="pct"/>
            <w:shd w:val="clear" w:color="auto" w:fill="auto"/>
          </w:tcPr>
          <w:p w:rsidR="000322F4" w:rsidRPr="0067083E" w:rsidRDefault="000322F4" w:rsidP="000322F4">
            <w:pPr>
              <w:rPr>
                <w:sz w:val="22"/>
                <w:szCs w:val="22"/>
                <w:lang w:eastAsia="en-US"/>
              </w:rPr>
            </w:pPr>
            <w:r w:rsidRPr="0067083E">
              <w:rPr>
                <w:sz w:val="22"/>
                <w:szCs w:val="22"/>
                <w:lang w:eastAsia="en-US"/>
              </w:rPr>
              <w:t>Bendras grupių skaičius</w:t>
            </w:r>
          </w:p>
        </w:tc>
        <w:tc>
          <w:tcPr>
            <w:tcW w:w="428" w:type="pct"/>
            <w:shd w:val="clear" w:color="auto" w:fill="auto"/>
          </w:tcPr>
          <w:p w:rsidR="000322F4" w:rsidRPr="0067083E" w:rsidRDefault="000322F4" w:rsidP="00507F2E">
            <w:pPr>
              <w:jc w:val="center"/>
              <w:rPr>
                <w:sz w:val="22"/>
                <w:szCs w:val="22"/>
                <w:lang w:eastAsia="en-US"/>
              </w:rPr>
            </w:pPr>
            <w:r w:rsidRPr="0067083E">
              <w:rPr>
                <w:sz w:val="22"/>
                <w:szCs w:val="22"/>
                <w:lang w:eastAsia="en-US"/>
              </w:rPr>
              <w:t>7</w:t>
            </w:r>
          </w:p>
        </w:tc>
        <w:tc>
          <w:tcPr>
            <w:tcW w:w="371" w:type="pct"/>
            <w:shd w:val="clear" w:color="auto" w:fill="auto"/>
          </w:tcPr>
          <w:p w:rsidR="000322F4" w:rsidRPr="0067083E" w:rsidRDefault="000322F4" w:rsidP="00507F2E">
            <w:pPr>
              <w:jc w:val="center"/>
              <w:rPr>
                <w:sz w:val="22"/>
                <w:szCs w:val="22"/>
                <w:lang w:eastAsia="en-US"/>
              </w:rPr>
            </w:pPr>
            <w:r w:rsidRPr="0067083E">
              <w:rPr>
                <w:sz w:val="22"/>
                <w:szCs w:val="22"/>
                <w:lang w:eastAsia="en-US"/>
              </w:rPr>
              <w:t>7</w:t>
            </w:r>
          </w:p>
        </w:tc>
        <w:tc>
          <w:tcPr>
            <w:tcW w:w="368" w:type="pct"/>
            <w:shd w:val="clear" w:color="auto" w:fill="auto"/>
          </w:tcPr>
          <w:p w:rsidR="000322F4" w:rsidRPr="0067083E" w:rsidRDefault="000322F4" w:rsidP="00507F2E">
            <w:pPr>
              <w:jc w:val="center"/>
              <w:rPr>
                <w:sz w:val="22"/>
                <w:szCs w:val="22"/>
                <w:lang w:eastAsia="en-US"/>
              </w:rPr>
            </w:pPr>
            <w:r w:rsidRPr="0067083E">
              <w:rPr>
                <w:sz w:val="22"/>
                <w:szCs w:val="22"/>
                <w:lang w:eastAsia="en-US"/>
              </w:rPr>
              <w:t>7</w:t>
            </w:r>
          </w:p>
        </w:tc>
        <w:tc>
          <w:tcPr>
            <w:tcW w:w="370" w:type="pct"/>
            <w:shd w:val="clear" w:color="auto" w:fill="auto"/>
          </w:tcPr>
          <w:p w:rsidR="000322F4" w:rsidRPr="0067083E" w:rsidRDefault="000322F4" w:rsidP="00507F2E">
            <w:pPr>
              <w:jc w:val="center"/>
              <w:rPr>
                <w:sz w:val="22"/>
                <w:szCs w:val="22"/>
                <w:lang w:eastAsia="en-US"/>
              </w:rPr>
            </w:pPr>
            <w:r w:rsidRPr="0067083E">
              <w:rPr>
                <w:sz w:val="22"/>
                <w:szCs w:val="22"/>
                <w:lang w:eastAsia="en-US"/>
              </w:rPr>
              <w:t>7</w:t>
            </w:r>
          </w:p>
        </w:tc>
        <w:tc>
          <w:tcPr>
            <w:tcW w:w="368" w:type="pct"/>
            <w:shd w:val="clear" w:color="auto" w:fill="auto"/>
          </w:tcPr>
          <w:p w:rsidR="000322F4" w:rsidRPr="0067083E" w:rsidRDefault="000322F4" w:rsidP="00507F2E">
            <w:pPr>
              <w:jc w:val="center"/>
              <w:rPr>
                <w:sz w:val="22"/>
                <w:szCs w:val="22"/>
                <w:lang w:eastAsia="en-US"/>
              </w:rPr>
            </w:pPr>
            <w:r w:rsidRPr="0067083E">
              <w:rPr>
                <w:sz w:val="22"/>
                <w:szCs w:val="22"/>
                <w:lang w:eastAsia="en-US"/>
              </w:rPr>
              <w:t>7</w:t>
            </w:r>
          </w:p>
        </w:tc>
      </w:tr>
      <w:tr w:rsidR="000322F4" w:rsidRPr="0067083E" w:rsidTr="00507F2E">
        <w:tc>
          <w:tcPr>
            <w:tcW w:w="3095" w:type="pct"/>
            <w:shd w:val="clear" w:color="auto" w:fill="auto"/>
          </w:tcPr>
          <w:p w:rsidR="000322F4" w:rsidRPr="0067083E" w:rsidRDefault="000322F4" w:rsidP="00507F2E">
            <w:pPr>
              <w:ind w:firstLine="426"/>
              <w:rPr>
                <w:sz w:val="22"/>
                <w:szCs w:val="22"/>
                <w:lang w:eastAsia="en-US"/>
              </w:rPr>
            </w:pPr>
            <w:r w:rsidRPr="0067083E">
              <w:rPr>
                <w:sz w:val="22"/>
                <w:szCs w:val="22"/>
                <w:lang w:eastAsia="en-US"/>
              </w:rPr>
              <w:t>Iš jų: Ankstyvojo amžiaus</w:t>
            </w:r>
          </w:p>
        </w:tc>
        <w:tc>
          <w:tcPr>
            <w:tcW w:w="428" w:type="pct"/>
            <w:shd w:val="clear" w:color="auto" w:fill="auto"/>
          </w:tcPr>
          <w:p w:rsidR="000322F4" w:rsidRPr="0067083E" w:rsidRDefault="000322F4" w:rsidP="00507F2E">
            <w:pPr>
              <w:jc w:val="center"/>
              <w:rPr>
                <w:sz w:val="22"/>
                <w:szCs w:val="22"/>
                <w:lang w:eastAsia="en-US"/>
              </w:rPr>
            </w:pPr>
            <w:r w:rsidRPr="0067083E">
              <w:rPr>
                <w:sz w:val="22"/>
                <w:szCs w:val="22"/>
                <w:lang w:eastAsia="en-US"/>
              </w:rPr>
              <w:t>2</w:t>
            </w:r>
          </w:p>
        </w:tc>
        <w:tc>
          <w:tcPr>
            <w:tcW w:w="371" w:type="pct"/>
            <w:shd w:val="clear" w:color="auto" w:fill="auto"/>
          </w:tcPr>
          <w:p w:rsidR="000322F4" w:rsidRPr="0067083E" w:rsidRDefault="000322F4" w:rsidP="00507F2E">
            <w:pPr>
              <w:jc w:val="center"/>
              <w:rPr>
                <w:sz w:val="22"/>
                <w:szCs w:val="22"/>
                <w:lang w:eastAsia="en-US"/>
              </w:rPr>
            </w:pPr>
            <w:r w:rsidRPr="0067083E">
              <w:rPr>
                <w:sz w:val="22"/>
                <w:szCs w:val="22"/>
                <w:lang w:eastAsia="en-US"/>
              </w:rPr>
              <w:t>2</w:t>
            </w:r>
          </w:p>
        </w:tc>
        <w:tc>
          <w:tcPr>
            <w:tcW w:w="368" w:type="pct"/>
            <w:shd w:val="clear" w:color="auto" w:fill="auto"/>
          </w:tcPr>
          <w:p w:rsidR="000322F4" w:rsidRPr="0067083E" w:rsidRDefault="000322F4" w:rsidP="00507F2E">
            <w:pPr>
              <w:jc w:val="center"/>
              <w:rPr>
                <w:sz w:val="22"/>
                <w:szCs w:val="22"/>
                <w:lang w:eastAsia="en-US"/>
              </w:rPr>
            </w:pPr>
            <w:r w:rsidRPr="0067083E">
              <w:rPr>
                <w:sz w:val="22"/>
                <w:szCs w:val="22"/>
                <w:lang w:eastAsia="en-US"/>
              </w:rPr>
              <w:t>2</w:t>
            </w:r>
          </w:p>
        </w:tc>
        <w:tc>
          <w:tcPr>
            <w:tcW w:w="370" w:type="pct"/>
            <w:shd w:val="clear" w:color="auto" w:fill="auto"/>
          </w:tcPr>
          <w:p w:rsidR="000322F4" w:rsidRPr="0067083E" w:rsidRDefault="000322F4" w:rsidP="00507F2E">
            <w:pPr>
              <w:jc w:val="center"/>
              <w:rPr>
                <w:sz w:val="22"/>
                <w:szCs w:val="22"/>
                <w:lang w:eastAsia="en-US"/>
              </w:rPr>
            </w:pPr>
            <w:r w:rsidRPr="0067083E">
              <w:rPr>
                <w:sz w:val="22"/>
                <w:szCs w:val="22"/>
                <w:lang w:eastAsia="en-US"/>
              </w:rPr>
              <w:t>2</w:t>
            </w:r>
          </w:p>
        </w:tc>
        <w:tc>
          <w:tcPr>
            <w:tcW w:w="368" w:type="pct"/>
            <w:shd w:val="clear" w:color="auto" w:fill="auto"/>
          </w:tcPr>
          <w:p w:rsidR="000322F4" w:rsidRPr="0067083E" w:rsidRDefault="000322F4" w:rsidP="00507F2E">
            <w:pPr>
              <w:jc w:val="center"/>
              <w:rPr>
                <w:sz w:val="22"/>
                <w:szCs w:val="22"/>
                <w:lang w:eastAsia="en-US"/>
              </w:rPr>
            </w:pPr>
            <w:r w:rsidRPr="0067083E">
              <w:rPr>
                <w:sz w:val="22"/>
                <w:szCs w:val="22"/>
                <w:lang w:eastAsia="en-US"/>
              </w:rPr>
              <w:t>2</w:t>
            </w:r>
          </w:p>
        </w:tc>
      </w:tr>
      <w:tr w:rsidR="000322F4" w:rsidRPr="0067083E" w:rsidTr="00507F2E">
        <w:trPr>
          <w:trHeight w:val="70"/>
        </w:trPr>
        <w:tc>
          <w:tcPr>
            <w:tcW w:w="3095" w:type="pct"/>
            <w:shd w:val="clear" w:color="auto" w:fill="auto"/>
          </w:tcPr>
          <w:p w:rsidR="000322F4" w:rsidRPr="0067083E" w:rsidRDefault="000322F4" w:rsidP="00507F2E">
            <w:pPr>
              <w:ind w:firstLine="426"/>
              <w:rPr>
                <w:sz w:val="22"/>
                <w:szCs w:val="22"/>
                <w:lang w:eastAsia="en-US"/>
              </w:rPr>
            </w:pPr>
            <w:r w:rsidRPr="0067083E">
              <w:rPr>
                <w:sz w:val="22"/>
                <w:szCs w:val="22"/>
                <w:lang w:eastAsia="en-US"/>
              </w:rPr>
              <w:t>Iš jų: Ikimokyklinio ugdymo</w:t>
            </w:r>
          </w:p>
        </w:tc>
        <w:tc>
          <w:tcPr>
            <w:tcW w:w="428" w:type="pct"/>
            <w:shd w:val="clear" w:color="auto" w:fill="auto"/>
          </w:tcPr>
          <w:p w:rsidR="000322F4" w:rsidRPr="0067083E" w:rsidRDefault="000322F4" w:rsidP="00507F2E">
            <w:pPr>
              <w:jc w:val="center"/>
              <w:rPr>
                <w:sz w:val="22"/>
                <w:szCs w:val="22"/>
                <w:lang w:eastAsia="en-US"/>
              </w:rPr>
            </w:pPr>
            <w:r w:rsidRPr="0067083E">
              <w:rPr>
                <w:sz w:val="22"/>
                <w:szCs w:val="22"/>
                <w:lang w:eastAsia="en-US"/>
              </w:rPr>
              <w:t>4</w:t>
            </w:r>
          </w:p>
        </w:tc>
        <w:tc>
          <w:tcPr>
            <w:tcW w:w="371" w:type="pct"/>
            <w:shd w:val="clear" w:color="auto" w:fill="auto"/>
          </w:tcPr>
          <w:p w:rsidR="000322F4" w:rsidRPr="0067083E" w:rsidRDefault="000322F4" w:rsidP="00507F2E">
            <w:pPr>
              <w:jc w:val="center"/>
              <w:rPr>
                <w:sz w:val="22"/>
                <w:szCs w:val="22"/>
                <w:lang w:eastAsia="en-US"/>
              </w:rPr>
            </w:pPr>
            <w:r w:rsidRPr="0067083E">
              <w:rPr>
                <w:sz w:val="22"/>
                <w:szCs w:val="22"/>
                <w:lang w:eastAsia="en-US"/>
              </w:rPr>
              <w:t>4</w:t>
            </w:r>
          </w:p>
        </w:tc>
        <w:tc>
          <w:tcPr>
            <w:tcW w:w="368" w:type="pct"/>
            <w:shd w:val="clear" w:color="auto" w:fill="auto"/>
          </w:tcPr>
          <w:p w:rsidR="000322F4" w:rsidRPr="0067083E" w:rsidRDefault="000322F4" w:rsidP="00507F2E">
            <w:pPr>
              <w:jc w:val="center"/>
              <w:rPr>
                <w:sz w:val="22"/>
                <w:szCs w:val="22"/>
                <w:lang w:eastAsia="en-US"/>
              </w:rPr>
            </w:pPr>
            <w:r w:rsidRPr="0067083E">
              <w:rPr>
                <w:sz w:val="22"/>
                <w:szCs w:val="22"/>
                <w:lang w:eastAsia="en-US"/>
              </w:rPr>
              <w:t>4</w:t>
            </w:r>
          </w:p>
        </w:tc>
        <w:tc>
          <w:tcPr>
            <w:tcW w:w="370" w:type="pct"/>
            <w:shd w:val="clear" w:color="auto" w:fill="auto"/>
          </w:tcPr>
          <w:p w:rsidR="000322F4" w:rsidRPr="0067083E" w:rsidRDefault="000322F4" w:rsidP="00507F2E">
            <w:pPr>
              <w:jc w:val="center"/>
              <w:rPr>
                <w:sz w:val="22"/>
                <w:szCs w:val="22"/>
                <w:lang w:eastAsia="en-US"/>
              </w:rPr>
            </w:pPr>
            <w:r w:rsidRPr="0067083E">
              <w:rPr>
                <w:sz w:val="22"/>
                <w:szCs w:val="22"/>
                <w:lang w:eastAsia="en-US"/>
              </w:rPr>
              <w:t>4</w:t>
            </w:r>
          </w:p>
        </w:tc>
        <w:tc>
          <w:tcPr>
            <w:tcW w:w="368" w:type="pct"/>
            <w:shd w:val="clear" w:color="auto" w:fill="auto"/>
          </w:tcPr>
          <w:p w:rsidR="000322F4" w:rsidRPr="0067083E" w:rsidRDefault="000322F4" w:rsidP="00507F2E">
            <w:pPr>
              <w:jc w:val="center"/>
              <w:rPr>
                <w:sz w:val="22"/>
                <w:szCs w:val="22"/>
                <w:lang w:eastAsia="en-US"/>
              </w:rPr>
            </w:pPr>
            <w:r w:rsidRPr="0067083E">
              <w:rPr>
                <w:sz w:val="22"/>
                <w:szCs w:val="22"/>
                <w:lang w:eastAsia="en-US"/>
              </w:rPr>
              <w:t>4</w:t>
            </w:r>
          </w:p>
        </w:tc>
      </w:tr>
      <w:tr w:rsidR="000322F4" w:rsidRPr="0067083E" w:rsidTr="00507F2E">
        <w:tc>
          <w:tcPr>
            <w:tcW w:w="3095" w:type="pct"/>
            <w:shd w:val="clear" w:color="auto" w:fill="auto"/>
          </w:tcPr>
          <w:p w:rsidR="000322F4" w:rsidRPr="0067083E" w:rsidRDefault="000322F4" w:rsidP="00507F2E">
            <w:pPr>
              <w:ind w:firstLine="426"/>
              <w:rPr>
                <w:sz w:val="22"/>
                <w:szCs w:val="22"/>
                <w:lang w:eastAsia="en-US"/>
              </w:rPr>
            </w:pPr>
            <w:r w:rsidRPr="0067083E">
              <w:rPr>
                <w:sz w:val="22"/>
                <w:szCs w:val="22"/>
                <w:lang w:eastAsia="en-US"/>
              </w:rPr>
              <w:t>Iš jų: Priešmokyklinio ugdymo</w:t>
            </w:r>
          </w:p>
        </w:tc>
        <w:tc>
          <w:tcPr>
            <w:tcW w:w="428" w:type="pct"/>
            <w:shd w:val="clear" w:color="auto" w:fill="auto"/>
          </w:tcPr>
          <w:p w:rsidR="000322F4" w:rsidRPr="0067083E" w:rsidRDefault="000322F4" w:rsidP="00507F2E">
            <w:pPr>
              <w:jc w:val="center"/>
              <w:rPr>
                <w:sz w:val="22"/>
                <w:szCs w:val="22"/>
                <w:lang w:eastAsia="en-US"/>
              </w:rPr>
            </w:pPr>
            <w:r w:rsidRPr="0067083E">
              <w:rPr>
                <w:sz w:val="22"/>
                <w:szCs w:val="22"/>
                <w:lang w:eastAsia="en-US"/>
              </w:rPr>
              <w:t>1</w:t>
            </w:r>
          </w:p>
        </w:tc>
        <w:tc>
          <w:tcPr>
            <w:tcW w:w="371" w:type="pct"/>
            <w:shd w:val="clear" w:color="auto" w:fill="auto"/>
          </w:tcPr>
          <w:p w:rsidR="000322F4" w:rsidRPr="0067083E" w:rsidRDefault="000322F4" w:rsidP="00507F2E">
            <w:pPr>
              <w:jc w:val="center"/>
              <w:rPr>
                <w:sz w:val="22"/>
                <w:szCs w:val="22"/>
                <w:lang w:eastAsia="en-US"/>
              </w:rPr>
            </w:pPr>
            <w:r w:rsidRPr="0067083E">
              <w:rPr>
                <w:sz w:val="22"/>
                <w:szCs w:val="22"/>
                <w:lang w:eastAsia="en-US"/>
              </w:rPr>
              <w:t>1</w:t>
            </w:r>
          </w:p>
        </w:tc>
        <w:tc>
          <w:tcPr>
            <w:tcW w:w="368" w:type="pct"/>
            <w:shd w:val="clear" w:color="auto" w:fill="auto"/>
          </w:tcPr>
          <w:p w:rsidR="000322F4" w:rsidRPr="0067083E" w:rsidRDefault="000322F4" w:rsidP="00507F2E">
            <w:pPr>
              <w:jc w:val="center"/>
              <w:rPr>
                <w:sz w:val="22"/>
                <w:szCs w:val="22"/>
                <w:lang w:eastAsia="en-US"/>
              </w:rPr>
            </w:pPr>
            <w:r w:rsidRPr="0067083E">
              <w:rPr>
                <w:sz w:val="22"/>
                <w:szCs w:val="22"/>
                <w:lang w:eastAsia="en-US"/>
              </w:rPr>
              <w:t>1</w:t>
            </w:r>
          </w:p>
        </w:tc>
        <w:tc>
          <w:tcPr>
            <w:tcW w:w="370" w:type="pct"/>
            <w:shd w:val="clear" w:color="auto" w:fill="auto"/>
          </w:tcPr>
          <w:p w:rsidR="000322F4" w:rsidRPr="0067083E" w:rsidRDefault="000322F4" w:rsidP="00507F2E">
            <w:pPr>
              <w:jc w:val="center"/>
              <w:rPr>
                <w:sz w:val="22"/>
                <w:szCs w:val="22"/>
                <w:lang w:eastAsia="en-US"/>
              </w:rPr>
            </w:pPr>
            <w:r w:rsidRPr="0067083E">
              <w:rPr>
                <w:sz w:val="22"/>
                <w:szCs w:val="22"/>
                <w:lang w:eastAsia="en-US"/>
              </w:rPr>
              <w:t>1</w:t>
            </w:r>
          </w:p>
        </w:tc>
        <w:tc>
          <w:tcPr>
            <w:tcW w:w="368" w:type="pct"/>
            <w:shd w:val="clear" w:color="auto" w:fill="auto"/>
          </w:tcPr>
          <w:p w:rsidR="000322F4" w:rsidRPr="0067083E" w:rsidRDefault="000322F4" w:rsidP="00507F2E">
            <w:pPr>
              <w:jc w:val="center"/>
              <w:rPr>
                <w:sz w:val="22"/>
                <w:szCs w:val="22"/>
                <w:lang w:eastAsia="en-US"/>
              </w:rPr>
            </w:pPr>
            <w:r w:rsidRPr="0067083E">
              <w:rPr>
                <w:sz w:val="22"/>
                <w:szCs w:val="22"/>
                <w:lang w:eastAsia="en-US"/>
              </w:rPr>
              <w:t>1</w:t>
            </w:r>
          </w:p>
        </w:tc>
      </w:tr>
      <w:tr w:rsidR="000322F4" w:rsidRPr="0067083E" w:rsidTr="00507F2E">
        <w:tc>
          <w:tcPr>
            <w:tcW w:w="3095" w:type="pct"/>
            <w:shd w:val="clear" w:color="auto" w:fill="auto"/>
          </w:tcPr>
          <w:p w:rsidR="000322F4" w:rsidRPr="0067083E" w:rsidRDefault="000322F4" w:rsidP="000322F4">
            <w:pPr>
              <w:rPr>
                <w:sz w:val="22"/>
                <w:szCs w:val="22"/>
                <w:lang w:eastAsia="en-US"/>
              </w:rPr>
            </w:pPr>
            <w:r w:rsidRPr="0067083E">
              <w:rPr>
                <w:sz w:val="22"/>
                <w:szCs w:val="22"/>
                <w:lang w:eastAsia="en-US"/>
              </w:rPr>
              <w:t>Bendras vaikų skaičius</w:t>
            </w:r>
          </w:p>
        </w:tc>
        <w:tc>
          <w:tcPr>
            <w:tcW w:w="428" w:type="pct"/>
            <w:shd w:val="clear" w:color="auto" w:fill="auto"/>
          </w:tcPr>
          <w:p w:rsidR="000322F4" w:rsidRPr="0067083E" w:rsidRDefault="000322F4" w:rsidP="00507F2E">
            <w:pPr>
              <w:jc w:val="center"/>
              <w:rPr>
                <w:sz w:val="22"/>
                <w:szCs w:val="22"/>
                <w:lang w:eastAsia="en-US"/>
              </w:rPr>
            </w:pPr>
            <w:r w:rsidRPr="0067083E">
              <w:rPr>
                <w:sz w:val="22"/>
                <w:szCs w:val="22"/>
                <w:lang w:eastAsia="en-US"/>
              </w:rPr>
              <w:t>110</w:t>
            </w:r>
          </w:p>
        </w:tc>
        <w:tc>
          <w:tcPr>
            <w:tcW w:w="371" w:type="pct"/>
            <w:shd w:val="clear" w:color="auto" w:fill="auto"/>
          </w:tcPr>
          <w:p w:rsidR="000322F4" w:rsidRPr="0067083E" w:rsidRDefault="000322F4" w:rsidP="00507F2E">
            <w:pPr>
              <w:jc w:val="center"/>
              <w:rPr>
                <w:sz w:val="22"/>
                <w:szCs w:val="22"/>
                <w:lang w:eastAsia="en-US"/>
              </w:rPr>
            </w:pPr>
            <w:r w:rsidRPr="0067083E">
              <w:rPr>
                <w:sz w:val="22"/>
                <w:szCs w:val="22"/>
                <w:lang w:eastAsia="en-US"/>
              </w:rPr>
              <w:t>126</w:t>
            </w:r>
          </w:p>
        </w:tc>
        <w:tc>
          <w:tcPr>
            <w:tcW w:w="368" w:type="pct"/>
            <w:shd w:val="clear" w:color="auto" w:fill="auto"/>
          </w:tcPr>
          <w:p w:rsidR="000322F4" w:rsidRPr="0067083E" w:rsidRDefault="000322F4" w:rsidP="00507F2E">
            <w:pPr>
              <w:jc w:val="center"/>
              <w:rPr>
                <w:sz w:val="22"/>
                <w:szCs w:val="22"/>
                <w:lang w:eastAsia="en-US"/>
              </w:rPr>
            </w:pPr>
            <w:r w:rsidRPr="0067083E">
              <w:rPr>
                <w:sz w:val="22"/>
                <w:szCs w:val="22"/>
                <w:lang w:eastAsia="en-US"/>
              </w:rPr>
              <w:t>115</w:t>
            </w:r>
          </w:p>
        </w:tc>
        <w:tc>
          <w:tcPr>
            <w:tcW w:w="370" w:type="pct"/>
            <w:shd w:val="clear" w:color="auto" w:fill="auto"/>
          </w:tcPr>
          <w:p w:rsidR="000322F4" w:rsidRPr="0067083E" w:rsidRDefault="000322F4" w:rsidP="00507F2E">
            <w:pPr>
              <w:jc w:val="center"/>
              <w:rPr>
                <w:sz w:val="22"/>
                <w:szCs w:val="22"/>
                <w:lang w:eastAsia="en-US"/>
              </w:rPr>
            </w:pPr>
            <w:r w:rsidRPr="0067083E">
              <w:rPr>
                <w:sz w:val="22"/>
                <w:szCs w:val="22"/>
                <w:lang w:eastAsia="en-US"/>
              </w:rPr>
              <w:t>113</w:t>
            </w:r>
          </w:p>
        </w:tc>
        <w:tc>
          <w:tcPr>
            <w:tcW w:w="368" w:type="pct"/>
            <w:shd w:val="clear" w:color="auto" w:fill="auto"/>
          </w:tcPr>
          <w:p w:rsidR="000322F4" w:rsidRPr="0067083E" w:rsidRDefault="000322F4" w:rsidP="00507F2E">
            <w:pPr>
              <w:jc w:val="center"/>
              <w:rPr>
                <w:sz w:val="22"/>
                <w:szCs w:val="22"/>
                <w:lang w:eastAsia="en-US"/>
              </w:rPr>
            </w:pPr>
            <w:r w:rsidRPr="0067083E">
              <w:rPr>
                <w:sz w:val="22"/>
                <w:szCs w:val="22"/>
                <w:lang w:eastAsia="en-US"/>
              </w:rPr>
              <w:t>100</w:t>
            </w:r>
          </w:p>
        </w:tc>
      </w:tr>
      <w:tr w:rsidR="000322F4" w:rsidRPr="0067083E" w:rsidTr="00507F2E">
        <w:tc>
          <w:tcPr>
            <w:tcW w:w="3095" w:type="pct"/>
            <w:shd w:val="clear" w:color="auto" w:fill="auto"/>
          </w:tcPr>
          <w:p w:rsidR="000322F4" w:rsidRPr="0067083E" w:rsidRDefault="000322F4" w:rsidP="00507F2E">
            <w:pPr>
              <w:ind w:firstLine="426"/>
              <w:rPr>
                <w:sz w:val="22"/>
                <w:szCs w:val="22"/>
                <w:lang w:eastAsia="en-US"/>
              </w:rPr>
            </w:pPr>
            <w:r w:rsidRPr="0067083E">
              <w:rPr>
                <w:sz w:val="22"/>
                <w:szCs w:val="22"/>
                <w:lang w:eastAsia="en-US"/>
              </w:rPr>
              <w:t>Iš jų: Ankstyvojo amžiaus</w:t>
            </w:r>
          </w:p>
        </w:tc>
        <w:tc>
          <w:tcPr>
            <w:tcW w:w="428" w:type="pct"/>
            <w:shd w:val="clear" w:color="auto" w:fill="auto"/>
          </w:tcPr>
          <w:p w:rsidR="000322F4" w:rsidRPr="0067083E" w:rsidRDefault="000322F4" w:rsidP="00507F2E">
            <w:pPr>
              <w:jc w:val="center"/>
              <w:rPr>
                <w:sz w:val="22"/>
                <w:szCs w:val="22"/>
                <w:lang w:eastAsia="en-US"/>
              </w:rPr>
            </w:pPr>
            <w:r w:rsidRPr="0067083E">
              <w:rPr>
                <w:sz w:val="22"/>
                <w:szCs w:val="22"/>
                <w:lang w:eastAsia="en-US"/>
              </w:rPr>
              <w:t>26</w:t>
            </w:r>
          </w:p>
        </w:tc>
        <w:tc>
          <w:tcPr>
            <w:tcW w:w="371" w:type="pct"/>
            <w:shd w:val="clear" w:color="auto" w:fill="auto"/>
          </w:tcPr>
          <w:p w:rsidR="000322F4" w:rsidRPr="0067083E" w:rsidRDefault="000322F4" w:rsidP="00507F2E">
            <w:pPr>
              <w:jc w:val="center"/>
              <w:rPr>
                <w:sz w:val="22"/>
                <w:szCs w:val="22"/>
                <w:lang w:eastAsia="en-US"/>
              </w:rPr>
            </w:pPr>
            <w:r w:rsidRPr="0067083E">
              <w:rPr>
                <w:sz w:val="22"/>
                <w:szCs w:val="22"/>
                <w:lang w:eastAsia="en-US"/>
              </w:rPr>
              <w:t>27</w:t>
            </w:r>
          </w:p>
        </w:tc>
        <w:tc>
          <w:tcPr>
            <w:tcW w:w="368" w:type="pct"/>
            <w:shd w:val="clear" w:color="auto" w:fill="auto"/>
          </w:tcPr>
          <w:p w:rsidR="000322F4" w:rsidRPr="0067083E" w:rsidRDefault="000322F4" w:rsidP="00507F2E">
            <w:pPr>
              <w:jc w:val="center"/>
              <w:rPr>
                <w:sz w:val="22"/>
                <w:szCs w:val="22"/>
                <w:lang w:eastAsia="en-US"/>
              </w:rPr>
            </w:pPr>
            <w:r w:rsidRPr="0067083E">
              <w:rPr>
                <w:sz w:val="22"/>
                <w:szCs w:val="22"/>
                <w:lang w:eastAsia="en-US"/>
              </w:rPr>
              <w:t>25</w:t>
            </w:r>
          </w:p>
        </w:tc>
        <w:tc>
          <w:tcPr>
            <w:tcW w:w="370" w:type="pct"/>
            <w:shd w:val="clear" w:color="auto" w:fill="auto"/>
          </w:tcPr>
          <w:p w:rsidR="000322F4" w:rsidRPr="0067083E" w:rsidRDefault="000322F4" w:rsidP="00507F2E">
            <w:pPr>
              <w:jc w:val="center"/>
              <w:rPr>
                <w:sz w:val="22"/>
                <w:szCs w:val="22"/>
                <w:lang w:eastAsia="en-US"/>
              </w:rPr>
            </w:pPr>
            <w:r w:rsidRPr="0067083E">
              <w:rPr>
                <w:sz w:val="22"/>
                <w:szCs w:val="22"/>
                <w:lang w:eastAsia="en-US"/>
              </w:rPr>
              <w:t>24</w:t>
            </w:r>
          </w:p>
        </w:tc>
        <w:tc>
          <w:tcPr>
            <w:tcW w:w="368" w:type="pct"/>
            <w:shd w:val="clear" w:color="auto" w:fill="auto"/>
          </w:tcPr>
          <w:p w:rsidR="000322F4" w:rsidRPr="0067083E" w:rsidRDefault="000322F4" w:rsidP="00507F2E">
            <w:pPr>
              <w:jc w:val="center"/>
              <w:rPr>
                <w:sz w:val="22"/>
                <w:szCs w:val="22"/>
                <w:lang w:eastAsia="en-US"/>
              </w:rPr>
            </w:pPr>
            <w:r w:rsidRPr="0067083E">
              <w:rPr>
                <w:sz w:val="22"/>
                <w:szCs w:val="22"/>
                <w:lang w:eastAsia="en-US"/>
              </w:rPr>
              <w:t>22</w:t>
            </w:r>
          </w:p>
        </w:tc>
      </w:tr>
      <w:tr w:rsidR="000322F4" w:rsidRPr="0067083E" w:rsidTr="00507F2E">
        <w:tc>
          <w:tcPr>
            <w:tcW w:w="3095" w:type="pct"/>
            <w:shd w:val="clear" w:color="auto" w:fill="auto"/>
          </w:tcPr>
          <w:p w:rsidR="000322F4" w:rsidRPr="0067083E" w:rsidRDefault="000322F4" w:rsidP="00507F2E">
            <w:pPr>
              <w:ind w:firstLine="426"/>
              <w:rPr>
                <w:sz w:val="22"/>
                <w:szCs w:val="22"/>
                <w:lang w:eastAsia="en-US"/>
              </w:rPr>
            </w:pPr>
            <w:r w:rsidRPr="0067083E">
              <w:rPr>
                <w:sz w:val="22"/>
                <w:szCs w:val="22"/>
                <w:lang w:eastAsia="en-US"/>
              </w:rPr>
              <w:t>Iš jų: Ikimokyklinio ugdymo</w:t>
            </w:r>
          </w:p>
        </w:tc>
        <w:tc>
          <w:tcPr>
            <w:tcW w:w="428" w:type="pct"/>
            <w:shd w:val="clear" w:color="auto" w:fill="auto"/>
          </w:tcPr>
          <w:p w:rsidR="000322F4" w:rsidRPr="0067083E" w:rsidRDefault="000322F4" w:rsidP="00507F2E">
            <w:pPr>
              <w:jc w:val="center"/>
              <w:rPr>
                <w:sz w:val="22"/>
                <w:szCs w:val="22"/>
                <w:lang w:eastAsia="en-US"/>
              </w:rPr>
            </w:pPr>
            <w:r w:rsidRPr="0067083E">
              <w:rPr>
                <w:sz w:val="22"/>
                <w:szCs w:val="22"/>
                <w:lang w:eastAsia="en-US"/>
              </w:rPr>
              <w:t>66</w:t>
            </w:r>
          </w:p>
        </w:tc>
        <w:tc>
          <w:tcPr>
            <w:tcW w:w="371" w:type="pct"/>
            <w:shd w:val="clear" w:color="auto" w:fill="auto"/>
          </w:tcPr>
          <w:p w:rsidR="000322F4" w:rsidRPr="0067083E" w:rsidRDefault="000322F4" w:rsidP="00507F2E">
            <w:pPr>
              <w:jc w:val="center"/>
              <w:rPr>
                <w:sz w:val="22"/>
                <w:szCs w:val="22"/>
                <w:lang w:eastAsia="en-US"/>
              </w:rPr>
            </w:pPr>
            <w:r w:rsidRPr="0067083E">
              <w:rPr>
                <w:sz w:val="22"/>
                <w:szCs w:val="22"/>
                <w:lang w:eastAsia="en-US"/>
              </w:rPr>
              <w:t>80</w:t>
            </w:r>
          </w:p>
        </w:tc>
        <w:tc>
          <w:tcPr>
            <w:tcW w:w="368" w:type="pct"/>
            <w:shd w:val="clear" w:color="auto" w:fill="auto"/>
          </w:tcPr>
          <w:p w:rsidR="000322F4" w:rsidRPr="0067083E" w:rsidRDefault="000322F4" w:rsidP="00507F2E">
            <w:pPr>
              <w:jc w:val="center"/>
              <w:rPr>
                <w:sz w:val="22"/>
                <w:szCs w:val="22"/>
                <w:lang w:eastAsia="en-US"/>
              </w:rPr>
            </w:pPr>
            <w:r w:rsidRPr="0067083E">
              <w:rPr>
                <w:sz w:val="22"/>
                <w:szCs w:val="22"/>
                <w:lang w:eastAsia="en-US"/>
              </w:rPr>
              <w:t>82</w:t>
            </w:r>
          </w:p>
        </w:tc>
        <w:tc>
          <w:tcPr>
            <w:tcW w:w="370" w:type="pct"/>
            <w:shd w:val="clear" w:color="auto" w:fill="auto"/>
          </w:tcPr>
          <w:p w:rsidR="000322F4" w:rsidRPr="0067083E" w:rsidRDefault="000322F4" w:rsidP="00507F2E">
            <w:pPr>
              <w:jc w:val="center"/>
              <w:rPr>
                <w:sz w:val="22"/>
                <w:szCs w:val="22"/>
                <w:lang w:eastAsia="en-US"/>
              </w:rPr>
            </w:pPr>
            <w:r w:rsidRPr="0067083E">
              <w:rPr>
                <w:sz w:val="22"/>
                <w:szCs w:val="22"/>
                <w:lang w:eastAsia="en-US"/>
              </w:rPr>
              <w:t>72</w:t>
            </w:r>
          </w:p>
        </w:tc>
        <w:tc>
          <w:tcPr>
            <w:tcW w:w="368" w:type="pct"/>
            <w:shd w:val="clear" w:color="auto" w:fill="auto"/>
          </w:tcPr>
          <w:p w:rsidR="000322F4" w:rsidRPr="0067083E" w:rsidRDefault="000322F4" w:rsidP="00507F2E">
            <w:pPr>
              <w:jc w:val="center"/>
              <w:rPr>
                <w:sz w:val="22"/>
                <w:szCs w:val="22"/>
                <w:lang w:eastAsia="en-US"/>
              </w:rPr>
            </w:pPr>
            <w:r w:rsidRPr="0067083E">
              <w:rPr>
                <w:sz w:val="22"/>
                <w:szCs w:val="22"/>
                <w:lang w:eastAsia="en-US"/>
              </w:rPr>
              <w:t>60</w:t>
            </w:r>
          </w:p>
        </w:tc>
      </w:tr>
      <w:tr w:rsidR="000322F4" w:rsidRPr="0067083E" w:rsidTr="00507F2E">
        <w:tc>
          <w:tcPr>
            <w:tcW w:w="3095" w:type="pct"/>
            <w:shd w:val="clear" w:color="auto" w:fill="auto"/>
          </w:tcPr>
          <w:p w:rsidR="000322F4" w:rsidRPr="0067083E" w:rsidRDefault="000322F4" w:rsidP="00507F2E">
            <w:pPr>
              <w:ind w:firstLine="426"/>
              <w:rPr>
                <w:sz w:val="22"/>
                <w:szCs w:val="22"/>
                <w:lang w:eastAsia="en-US"/>
              </w:rPr>
            </w:pPr>
            <w:r w:rsidRPr="0067083E">
              <w:rPr>
                <w:sz w:val="22"/>
                <w:szCs w:val="22"/>
                <w:lang w:eastAsia="en-US"/>
              </w:rPr>
              <w:t>Iš jų: Priešmokyklinio ugdymo</w:t>
            </w:r>
          </w:p>
        </w:tc>
        <w:tc>
          <w:tcPr>
            <w:tcW w:w="428" w:type="pct"/>
            <w:shd w:val="clear" w:color="auto" w:fill="auto"/>
          </w:tcPr>
          <w:p w:rsidR="000322F4" w:rsidRPr="0067083E" w:rsidRDefault="000322F4" w:rsidP="00507F2E">
            <w:pPr>
              <w:jc w:val="center"/>
              <w:rPr>
                <w:sz w:val="22"/>
                <w:szCs w:val="22"/>
                <w:lang w:eastAsia="en-US"/>
              </w:rPr>
            </w:pPr>
            <w:r w:rsidRPr="0067083E">
              <w:rPr>
                <w:sz w:val="22"/>
                <w:szCs w:val="22"/>
                <w:lang w:eastAsia="en-US"/>
              </w:rPr>
              <w:t>18</w:t>
            </w:r>
          </w:p>
        </w:tc>
        <w:tc>
          <w:tcPr>
            <w:tcW w:w="371" w:type="pct"/>
            <w:shd w:val="clear" w:color="auto" w:fill="auto"/>
          </w:tcPr>
          <w:p w:rsidR="000322F4" w:rsidRPr="0067083E" w:rsidRDefault="000322F4" w:rsidP="00507F2E">
            <w:pPr>
              <w:jc w:val="center"/>
              <w:rPr>
                <w:sz w:val="22"/>
                <w:szCs w:val="22"/>
                <w:lang w:eastAsia="en-US"/>
              </w:rPr>
            </w:pPr>
            <w:r w:rsidRPr="0067083E">
              <w:rPr>
                <w:sz w:val="22"/>
                <w:szCs w:val="22"/>
                <w:lang w:eastAsia="en-US"/>
              </w:rPr>
              <w:t>19</w:t>
            </w:r>
          </w:p>
        </w:tc>
        <w:tc>
          <w:tcPr>
            <w:tcW w:w="368" w:type="pct"/>
            <w:shd w:val="clear" w:color="auto" w:fill="auto"/>
          </w:tcPr>
          <w:p w:rsidR="000322F4" w:rsidRPr="0067083E" w:rsidRDefault="000322F4" w:rsidP="00507F2E">
            <w:pPr>
              <w:jc w:val="center"/>
              <w:rPr>
                <w:sz w:val="22"/>
                <w:szCs w:val="22"/>
                <w:lang w:eastAsia="en-US"/>
              </w:rPr>
            </w:pPr>
            <w:r w:rsidRPr="0067083E">
              <w:rPr>
                <w:sz w:val="22"/>
                <w:szCs w:val="22"/>
                <w:lang w:eastAsia="en-US"/>
              </w:rPr>
              <w:t>8</w:t>
            </w:r>
          </w:p>
        </w:tc>
        <w:tc>
          <w:tcPr>
            <w:tcW w:w="370" w:type="pct"/>
            <w:shd w:val="clear" w:color="auto" w:fill="auto"/>
          </w:tcPr>
          <w:p w:rsidR="000322F4" w:rsidRPr="0067083E" w:rsidRDefault="000322F4" w:rsidP="00507F2E">
            <w:pPr>
              <w:jc w:val="center"/>
              <w:rPr>
                <w:sz w:val="22"/>
                <w:szCs w:val="22"/>
                <w:lang w:eastAsia="en-US"/>
              </w:rPr>
            </w:pPr>
            <w:r w:rsidRPr="0067083E">
              <w:rPr>
                <w:sz w:val="22"/>
                <w:szCs w:val="22"/>
                <w:lang w:eastAsia="en-US"/>
              </w:rPr>
              <w:t>17</w:t>
            </w:r>
          </w:p>
        </w:tc>
        <w:tc>
          <w:tcPr>
            <w:tcW w:w="368" w:type="pct"/>
            <w:shd w:val="clear" w:color="auto" w:fill="auto"/>
          </w:tcPr>
          <w:p w:rsidR="000322F4" w:rsidRPr="0067083E" w:rsidRDefault="000322F4" w:rsidP="00507F2E">
            <w:pPr>
              <w:jc w:val="center"/>
              <w:rPr>
                <w:sz w:val="22"/>
                <w:szCs w:val="22"/>
                <w:lang w:eastAsia="en-US"/>
              </w:rPr>
            </w:pPr>
            <w:r w:rsidRPr="0067083E">
              <w:rPr>
                <w:sz w:val="22"/>
                <w:szCs w:val="22"/>
                <w:lang w:eastAsia="en-US"/>
              </w:rPr>
              <w:t>12</w:t>
            </w:r>
          </w:p>
        </w:tc>
      </w:tr>
      <w:tr w:rsidR="000322F4" w:rsidRPr="0067083E" w:rsidTr="00507F2E">
        <w:tc>
          <w:tcPr>
            <w:tcW w:w="3095" w:type="pct"/>
            <w:shd w:val="clear" w:color="auto" w:fill="auto"/>
          </w:tcPr>
          <w:p w:rsidR="000322F4" w:rsidRPr="0067083E" w:rsidRDefault="000322F4" w:rsidP="000322F4">
            <w:pPr>
              <w:rPr>
                <w:sz w:val="22"/>
                <w:szCs w:val="22"/>
                <w:lang w:eastAsia="en-US"/>
              </w:rPr>
            </w:pPr>
            <w:r w:rsidRPr="0067083E">
              <w:rPr>
                <w:sz w:val="22"/>
                <w:szCs w:val="22"/>
                <w:lang w:eastAsia="en-US"/>
              </w:rPr>
              <w:t>Bendras darbuotojų skaičius</w:t>
            </w:r>
          </w:p>
        </w:tc>
        <w:tc>
          <w:tcPr>
            <w:tcW w:w="428" w:type="pct"/>
            <w:shd w:val="clear" w:color="auto" w:fill="auto"/>
          </w:tcPr>
          <w:p w:rsidR="000322F4" w:rsidRPr="0067083E" w:rsidRDefault="000322F4" w:rsidP="00507F2E">
            <w:pPr>
              <w:jc w:val="center"/>
              <w:rPr>
                <w:sz w:val="22"/>
                <w:szCs w:val="22"/>
                <w:lang w:eastAsia="en-US"/>
              </w:rPr>
            </w:pPr>
            <w:r w:rsidRPr="0067083E">
              <w:rPr>
                <w:sz w:val="22"/>
                <w:szCs w:val="22"/>
                <w:lang w:eastAsia="en-US"/>
              </w:rPr>
              <w:t>32</w:t>
            </w:r>
          </w:p>
        </w:tc>
        <w:tc>
          <w:tcPr>
            <w:tcW w:w="371" w:type="pct"/>
            <w:shd w:val="clear" w:color="auto" w:fill="auto"/>
          </w:tcPr>
          <w:p w:rsidR="000322F4" w:rsidRPr="0067083E" w:rsidRDefault="000322F4" w:rsidP="00507F2E">
            <w:pPr>
              <w:jc w:val="center"/>
              <w:rPr>
                <w:sz w:val="22"/>
                <w:szCs w:val="22"/>
                <w:lang w:eastAsia="en-US"/>
              </w:rPr>
            </w:pPr>
            <w:r w:rsidRPr="0067083E">
              <w:rPr>
                <w:sz w:val="22"/>
                <w:szCs w:val="22"/>
                <w:lang w:eastAsia="en-US"/>
              </w:rPr>
              <w:t>32</w:t>
            </w:r>
          </w:p>
        </w:tc>
        <w:tc>
          <w:tcPr>
            <w:tcW w:w="368" w:type="pct"/>
            <w:shd w:val="clear" w:color="auto" w:fill="auto"/>
          </w:tcPr>
          <w:p w:rsidR="000322F4" w:rsidRPr="0067083E" w:rsidRDefault="000322F4" w:rsidP="00507F2E">
            <w:pPr>
              <w:jc w:val="center"/>
              <w:rPr>
                <w:sz w:val="22"/>
                <w:szCs w:val="22"/>
                <w:lang w:eastAsia="en-US"/>
              </w:rPr>
            </w:pPr>
            <w:r w:rsidRPr="0067083E">
              <w:rPr>
                <w:sz w:val="22"/>
                <w:szCs w:val="22"/>
                <w:lang w:eastAsia="en-US"/>
              </w:rPr>
              <w:t>31</w:t>
            </w:r>
          </w:p>
        </w:tc>
        <w:tc>
          <w:tcPr>
            <w:tcW w:w="370" w:type="pct"/>
            <w:shd w:val="clear" w:color="auto" w:fill="auto"/>
          </w:tcPr>
          <w:p w:rsidR="000322F4" w:rsidRPr="0067083E" w:rsidRDefault="000322F4" w:rsidP="00507F2E">
            <w:pPr>
              <w:jc w:val="center"/>
              <w:rPr>
                <w:sz w:val="22"/>
                <w:szCs w:val="22"/>
                <w:lang w:eastAsia="en-US"/>
              </w:rPr>
            </w:pPr>
            <w:r w:rsidRPr="0067083E">
              <w:rPr>
                <w:sz w:val="22"/>
                <w:szCs w:val="22"/>
                <w:lang w:eastAsia="en-US"/>
              </w:rPr>
              <w:t>30</w:t>
            </w:r>
          </w:p>
        </w:tc>
        <w:tc>
          <w:tcPr>
            <w:tcW w:w="368" w:type="pct"/>
            <w:shd w:val="clear" w:color="auto" w:fill="auto"/>
          </w:tcPr>
          <w:p w:rsidR="000322F4" w:rsidRPr="0067083E" w:rsidRDefault="000322F4" w:rsidP="00507F2E">
            <w:pPr>
              <w:jc w:val="center"/>
              <w:rPr>
                <w:sz w:val="22"/>
                <w:szCs w:val="22"/>
                <w:lang w:eastAsia="en-US"/>
              </w:rPr>
            </w:pPr>
            <w:r w:rsidRPr="0067083E">
              <w:rPr>
                <w:sz w:val="22"/>
                <w:szCs w:val="22"/>
                <w:lang w:eastAsia="en-US"/>
              </w:rPr>
              <w:t>30</w:t>
            </w:r>
          </w:p>
        </w:tc>
      </w:tr>
      <w:tr w:rsidR="000322F4" w:rsidRPr="0067083E" w:rsidTr="00507F2E">
        <w:tc>
          <w:tcPr>
            <w:tcW w:w="3095" w:type="pct"/>
            <w:shd w:val="clear" w:color="auto" w:fill="auto"/>
          </w:tcPr>
          <w:p w:rsidR="000322F4" w:rsidRPr="0067083E" w:rsidRDefault="000322F4" w:rsidP="00507F2E">
            <w:pPr>
              <w:ind w:firstLine="426"/>
              <w:rPr>
                <w:sz w:val="22"/>
                <w:szCs w:val="22"/>
                <w:lang w:eastAsia="en-US"/>
              </w:rPr>
            </w:pPr>
            <w:r w:rsidRPr="0067083E">
              <w:rPr>
                <w:sz w:val="22"/>
                <w:szCs w:val="22"/>
                <w:lang w:eastAsia="en-US"/>
              </w:rPr>
              <w:t>Iš jų: Pedagoginiai</w:t>
            </w:r>
          </w:p>
        </w:tc>
        <w:tc>
          <w:tcPr>
            <w:tcW w:w="428" w:type="pct"/>
            <w:shd w:val="clear" w:color="auto" w:fill="auto"/>
          </w:tcPr>
          <w:p w:rsidR="000322F4" w:rsidRPr="0067083E" w:rsidRDefault="000322F4" w:rsidP="00507F2E">
            <w:pPr>
              <w:jc w:val="center"/>
              <w:rPr>
                <w:sz w:val="22"/>
                <w:szCs w:val="22"/>
                <w:lang w:eastAsia="en-US"/>
              </w:rPr>
            </w:pPr>
            <w:r w:rsidRPr="0067083E">
              <w:rPr>
                <w:sz w:val="22"/>
                <w:szCs w:val="22"/>
                <w:lang w:eastAsia="en-US"/>
              </w:rPr>
              <w:t>16</w:t>
            </w:r>
          </w:p>
        </w:tc>
        <w:tc>
          <w:tcPr>
            <w:tcW w:w="371" w:type="pct"/>
            <w:shd w:val="clear" w:color="auto" w:fill="auto"/>
          </w:tcPr>
          <w:p w:rsidR="000322F4" w:rsidRPr="0067083E" w:rsidRDefault="000322F4" w:rsidP="00507F2E">
            <w:pPr>
              <w:jc w:val="center"/>
              <w:rPr>
                <w:sz w:val="22"/>
                <w:szCs w:val="22"/>
                <w:lang w:eastAsia="en-US"/>
              </w:rPr>
            </w:pPr>
            <w:r w:rsidRPr="0067083E">
              <w:rPr>
                <w:sz w:val="22"/>
                <w:szCs w:val="22"/>
                <w:lang w:eastAsia="en-US"/>
              </w:rPr>
              <w:t>16</w:t>
            </w:r>
          </w:p>
        </w:tc>
        <w:tc>
          <w:tcPr>
            <w:tcW w:w="368" w:type="pct"/>
            <w:shd w:val="clear" w:color="auto" w:fill="auto"/>
          </w:tcPr>
          <w:p w:rsidR="000322F4" w:rsidRPr="0067083E" w:rsidRDefault="000322F4" w:rsidP="00507F2E">
            <w:pPr>
              <w:jc w:val="center"/>
              <w:rPr>
                <w:sz w:val="22"/>
                <w:szCs w:val="22"/>
                <w:lang w:eastAsia="en-US"/>
              </w:rPr>
            </w:pPr>
            <w:r w:rsidRPr="0067083E">
              <w:rPr>
                <w:sz w:val="22"/>
                <w:szCs w:val="22"/>
                <w:lang w:eastAsia="en-US"/>
              </w:rPr>
              <w:t>16</w:t>
            </w:r>
          </w:p>
        </w:tc>
        <w:tc>
          <w:tcPr>
            <w:tcW w:w="370" w:type="pct"/>
            <w:shd w:val="clear" w:color="auto" w:fill="auto"/>
          </w:tcPr>
          <w:p w:rsidR="000322F4" w:rsidRPr="0067083E" w:rsidRDefault="000322F4" w:rsidP="00507F2E">
            <w:pPr>
              <w:jc w:val="center"/>
              <w:rPr>
                <w:sz w:val="22"/>
                <w:szCs w:val="22"/>
                <w:lang w:eastAsia="en-US"/>
              </w:rPr>
            </w:pPr>
            <w:r w:rsidRPr="0067083E">
              <w:rPr>
                <w:sz w:val="22"/>
                <w:szCs w:val="22"/>
                <w:lang w:eastAsia="en-US"/>
              </w:rPr>
              <w:t>16</w:t>
            </w:r>
          </w:p>
        </w:tc>
        <w:tc>
          <w:tcPr>
            <w:tcW w:w="368" w:type="pct"/>
            <w:shd w:val="clear" w:color="auto" w:fill="auto"/>
          </w:tcPr>
          <w:p w:rsidR="000322F4" w:rsidRPr="0067083E" w:rsidRDefault="000322F4" w:rsidP="00507F2E">
            <w:pPr>
              <w:jc w:val="center"/>
              <w:rPr>
                <w:sz w:val="22"/>
                <w:szCs w:val="22"/>
                <w:lang w:eastAsia="en-US"/>
              </w:rPr>
            </w:pPr>
            <w:r w:rsidRPr="0067083E">
              <w:rPr>
                <w:sz w:val="22"/>
                <w:szCs w:val="22"/>
                <w:lang w:eastAsia="en-US"/>
              </w:rPr>
              <w:t>16</w:t>
            </w:r>
          </w:p>
        </w:tc>
      </w:tr>
    </w:tbl>
    <w:p w:rsidR="000322F4" w:rsidRPr="00B778A6" w:rsidRDefault="000322F4" w:rsidP="00B778A6">
      <w:pPr>
        <w:jc w:val="center"/>
        <w:rPr>
          <w:i/>
          <w:sz w:val="20"/>
          <w:szCs w:val="20"/>
          <w:lang w:eastAsia="en-US"/>
        </w:rPr>
      </w:pPr>
      <w:r w:rsidRPr="00B778A6">
        <w:rPr>
          <w:i/>
          <w:sz w:val="20"/>
          <w:szCs w:val="20"/>
          <w:lang w:eastAsia="en-US"/>
        </w:rPr>
        <w:t>Šaltinis: Prienų lopšelis-darželis „Gintarėlis“</w:t>
      </w:r>
    </w:p>
    <w:p w:rsidR="000A1DCC" w:rsidRPr="00B778A6" w:rsidRDefault="000A1DCC" w:rsidP="000A1DCC">
      <w:pPr>
        <w:ind w:firstLine="720"/>
        <w:jc w:val="both"/>
      </w:pPr>
    </w:p>
    <w:p w:rsidR="000322F4" w:rsidRPr="00B778A6" w:rsidRDefault="000322F4" w:rsidP="000A1DCC">
      <w:pPr>
        <w:ind w:firstLine="720"/>
        <w:jc w:val="both"/>
      </w:pPr>
      <w:r w:rsidRPr="00B778A6">
        <w:t xml:space="preserve">Įstaigos veiklos apimtys išlieka gana </w:t>
      </w:r>
      <w:r w:rsidR="00411565" w:rsidRPr="00B778A6">
        <w:t>stabilios (išskyrus 2021 m. COVID-19 poveikį).</w:t>
      </w:r>
    </w:p>
    <w:p w:rsidR="000322F4" w:rsidRPr="00B778A6" w:rsidRDefault="000322F4" w:rsidP="000A1DCC">
      <w:pPr>
        <w:ind w:firstLine="720"/>
        <w:jc w:val="both"/>
      </w:pPr>
    </w:p>
    <w:p w:rsidR="000A1DCC" w:rsidRPr="00B778A6" w:rsidRDefault="000A1DCC" w:rsidP="0067083E">
      <w:pPr>
        <w:ind w:firstLine="720"/>
        <w:jc w:val="both"/>
      </w:pPr>
      <w:r w:rsidRPr="00B778A6">
        <w:t>Už ikimokyklinio ir priešmokyklinio ugdymo kaip viešosios paslaugos reguliavimą Prienų rajone yra atsakinga Prienų rajono savivaldybės administracija, konkrečiau Švietimo skyrius.</w:t>
      </w:r>
      <w:r w:rsidR="00D3494A">
        <w:t xml:space="preserve"> </w:t>
      </w:r>
      <w:r w:rsidRPr="00B778A6">
        <w:t>Prienų rajono savivaldybės biudžeto lėšos švietimui 2012-2016 metais</w:t>
      </w:r>
      <w:r w:rsidRPr="00B778A6">
        <w:rPr>
          <w:rStyle w:val="FootnoteReference"/>
        </w:rPr>
        <w:footnoteReference w:id="2"/>
      </w:r>
      <w:r w:rsidRPr="00B778A6">
        <w:t xml:space="preserve"> pateikiamos 1.1.</w:t>
      </w:r>
      <w:r w:rsidR="00D3494A">
        <w:t>3</w:t>
      </w:r>
      <w:r w:rsidRPr="00B778A6">
        <w:t>. lentelėje. Atskirų duomenų apie Prienų rajono savivaldybės biudžeto išlaidas ikimokykliniam ir priešmokykliniam ugdymui neišskiriama.</w:t>
      </w:r>
    </w:p>
    <w:p w:rsidR="000A1DCC" w:rsidRPr="00B778A6" w:rsidRDefault="000A1DCC" w:rsidP="000A1DCC">
      <w:pPr>
        <w:ind w:firstLine="720"/>
        <w:jc w:val="both"/>
      </w:pPr>
    </w:p>
    <w:p w:rsidR="000A1DCC" w:rsidRPr="00B778A6" w:rsidRDefault="000A1DCC" w:rsidP="000A1DCC">
      <w:pPr>
        <w:jc w:val="center"/>
        <w:rPr>
          <w:b/>
        </w:rPr>
      </w:pPr>
      <w:r w:rsidRPr="00B778A6">
        <w:rPr>
          <w:b/>
        </w:rPr>
        <w:t>1.1.</w:t>
      </w:r>
      <w:r w:rsidR="00C3088C">
        <w:rPr>
          <w:b/>
        </w:rPr>
        <w:t>3</w:t>
      </w:r>
      <w:r w:rsidRPr="00B778A6">
        <w:rPr>
          <w:b/>
        </w:rPr>
        <w:t>. lentelė. Prienų rajono savivaldybės biudžeto lėšos švietimui 2016-2020 metais</w:t>
      </w:r>
    </w:p>
    <w:tbl>
      <w:tblPr>
        <w:tblW w:w="4945" w:type="pct"/>
        <w:tblInd w:w="108" w:type="dxa"/>
        <w:tblLook w:val="04A0"/>
      </w:tblPr>
      <w:tblGrid>
        <w:gridCol w:w="2834"/>
        <w:gridCol w:w="1154"/>
        <w:gridCol w:w="1154"/>
        <w:gridCol w:w="1154"/>
        <w:gridCol w:w="1154"/>
        <w:gridCol w:w="1154"/>
        <w:gridCol w:w="1142"/>
      </w:tblGrid>
      <w:tr w:rsidR="000A1DCC" w:rsidRPr="00B778A6" w:rsidTr="00B778A6">
        <w:trPr>
          <w:trHeight w:val="280"/>
        </w:trPr>
        <w:tc>
          <w:tcPr>
            <w:tcW w:w="1454"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0A1DCC" w:rsidRPr="00B778A6" w:rsidRDefault="000A1DCC" w:rsidP="006E62B8">
            <w:pPr>
              <w:jc w:val="center"/>
              <w:rPr>
                <w:rFonts w:eastAsia="Times New Roman"/>
                <w:b/>
                <w:bCs/>
                <w:sz w:val="22"/>
                <w:szCs w:val="22"/>
              </w:rPr>
            </w:pPr>
            <w:r w:rsidRPr="00B778A6">
              <w:rPr>
                <w:rFonts w:eastAsia="Times New Roman"/>
                <w:b/>
                <w:bCs/>
                <w:sz w:val="22"/>
                <w:szCs w:val="22"/>
              </w:rPr>
              <w:t>Rodiklis</w:t>
            </w:r>
          </w:p>
        </w:tc>
        <w:tc>
          <w:tcPr>
            <w:tcW w:w="592" w:type="pct"/>
            <w:tcBorders>
              <w:top w:val="single" w:sz="4" w:space="0" w:color="auto"/>
              <w:left w:val="single" w:sz="4" w:space="0" w:color="auto"/>
              <w:bottom w:val="single" w:sz="4" w:space="0" w:color="auto"/>
              <w:right w:val="single" w:sz="4" w:space="0" w:color="auto"/>
            </w:tcBorders>
            <w:shd w:val="clear" w:color="000000" w:fill="D9D9D9"/>
            <w:vAlign w:val="center"/>
          </w:tcPr>
          <w:p w:rsidR="000A1DCC" w:rsidRPr="00B778A6" w:rsidRDefault="000A1DCC" w:rsidP="006E62B8">
            <w:pPr>
              <w:jc w:val="center"/>
              <w:rPr>
                <w:rFonts w:eastAsia="Times New Roman"/>
                <w:b/>
                <w:bCs/>
                <w:sz w:val="22"/>
                <w:szCs w:val="22"/>
              </w:rPr>
            </w:pPr>
            <w:r w:rsidRPr="00B778A6">
              <w:rPr>
                <w:rFonts w:eastAsia="Times New Roman"/>
                <w:b/>
                <w:bCs/>
                <w:sz w:val="22"/>
                <w:szCs w:val="22"/>
              </w:rPr>
              <w:t>2016</w:t>
            </w:r>
          </w:p>
        </w:tc>
        <w:tc>
          <w:tcPr>
            <w:tcW w:w="592" w:type="pct"/>
            <w:tcBorders>
              <w:top w:val="single" w:sz="4" w:space="0" w:color="auto"/>
              <w:left w:val="single" w:sz="4" w:space="0" w:color="auto"/>
              <w:bottom w:val="single" w:sz="4" w:space="0" w:color="auto"/>
              <w:right w:val="single" w:sz="4" w:space="0" w:color="auto"/>
            </w:tcBorders>
            <w:shd w:val="clear" w:color="000000" w:fill="D9D9D9"/>
            <w:vAlign w:val="center"/>
          </w:tcPr>
          <w:p w:rsidR="000A1DCC" w:rsidRPr="00B778A6" w:rsidRDefault="000A1DCC" w:rsidP="006E62B8">
            <w:pPr>
              <w:jc w:val="center"/>
              <w:rPr>
                <w:rFonts w:eastAsia="Times New Roman"/>
                <w:b/>
                <w:bCs/>
                <w:sz w:val="22"/>
                <w:szCs w:val="22"/>
              </w:rPr>
            </w:pPr>
            <w:r w:rsidRPr="00B778A6">
              <w:rPr>
                <w:rFonts w:eastAsia="Times New Roman"/>
                <w:b/>
                <w:bCs/>
                <w:sz w:val="22"/>
                <w:szCs w:val="22"/>
              </w:rPr>
              <w:t>2017</w:t>
            </w:r>
          </w:p>
        </w:tc>
        <w:tc>
          <w:tcPr>
            <w:tcW w:w="592" w:type="pct"/>
            <w:tcBorders>
              <w:top w:val="single" w:sz="4" w:space="0" w:color="auto"/>
              <w:left w:val="single" w:sz="4" w:space="0" w:color="auto"/>
              <w:bottom w:val="single" w:sz="4" w:space="0" w:color="auto"/>
              <w:right w:val="single" w:sz="4" w:space="0" w:color="auto"/>
            </w:tcBorders>
            <w:shd w:val="clear" w:color="000000" w:fill="D9D9D9"/>
            <w:vAlign w:val="center"/>
          </w:tcPr>
          <w:p w:rsidR="000A1DCC" w:rsidRPr="00B778A6" w:rsidRDefault="000A1DCC" w:rsidP="006E62B8">
            <w:pPr>
              <w:jc w:val="center"/>
              <w:rPr>
                <w:rFonts w:eastAsia="Times New Roman"/>
                <w:b/>
                <w:bCs/>
                <w:sz w:val="22"/>
                <w:szCs w:val="22"/>
              </w:rPr>
            </w:pPr>
            <w:r w:rsidRPr="00B778A6">
              <w:rPr>
                <w:rFonts w:eastAsia="Times New Roman"/>
                <w:b/>
                <w:bCs/>
                <w:sz w:val="22"/>
                <w:szCs w:val="22"/>
              </w:rPr>
              <w:t>2018</w:t>
            </w:r>
          </w:p>
        </w:tc>
        <w:tc>
          <w:tcPr>
            <w:tcW w:w="592" w:type="pct"/>
            <w:tcBorders>
              <w:top w:val="single" w:sz="4" w:space="0" w:color="auto"/>
              <w:left w:val="nil"/>
              <w:bottom w:val="single" w:sz="4" w:space="0" w:color="auto"/>
              <w:right w:val="single" w:sz="4" w:space="0" w:color="auto"/>
            </w:tcBorders>
            <w:shd w:val="clear" w:color="000000" w:fill="D9D9D9"/>
            <w:vAlign w:val="center"/>
          </w:tcPr>
          <w:p w:rsidR="000A1DCC" w:rsidRPr="00B778A6" w:rsidRDefault="000A1DCC" w:rsidP="006E62B8">
            <w:pPr>
              <w:jc w:val="center"/>
              <w:rPr>
                <w:rFonts w:eastAsia="Times New Roman"/>
                <w:b/>
                <w:bCs/>
                <w:sz w:val="22"/>
                <w:szCs w:val="22"/>
              </w:rPr>
            </w:pPr>
            <w:r w:rsidRPr="00B778A6">
              <w:rPr>
                <w:rFonts w:eastAsia="Times New Roman"/>
                <w:b/>
                <w:bCs/>
                <w:sz w:val="22"/>
                <w:szCs w:val="22"/>
              </w:rPr>
              <w:t>2019</w:t>
            </w:r>
          </w:p>
        </w:tc>
        <w:tc>
          <w:tcPr>
            <w:tcW w:w="592" w:type="pct"/>
            <w:tcBorders>
              <w:top w:val="single" w:sz="4" w:space="0" w:color="auto"/>
              <w:left w:val="nil"/>
              <w:bottom w:val="single" w:sz="4" w:space="0" w:color="auto"/>
              <w:right w:val="single" w:sz="4" w:space="0" w:color="auto"/>
            </w:tcBorders>
            <w:shd w:val="clear" w:color="000000" w:fill="D9D9D9"/>
            <w:vAlign w:val="center"/>
          </w:tcPr>
          <w:p w:rsidR="000A1DCC" w:rsidRPr="00B778A6" w:rsidRDefault="000A1DCC" w:rsidP="006E62B8">
            <w:pPr>
              <w:jc w:val="center"/>
              <w:rPr>
                <w:rFonts w:eastAsia="Times New Roman"/>
                <w:b/>
                <w:bCs/>
                <w:sz w:val="22"/>
                <w:szCs w:val="22"/>
              </w:rPr>
            </w:pPr>
            <w:r w:rsidRPr="00B778A6">
              <w:rPr>
                <w:rFonts w:eastAsia="Times New Roman"/>
                <w:b/>
                <w:bCs/>
                <w:sz w:val="22"/>
                <w:szCs w:val="22"/>
              </w:rPr>
              <w:t>2020</w:t>
            </w:r>
          </w:p>
        </w:tc>
        <w:tc>
          <w:tcPr>
            <w:tcW w:w="588" w:type="pct"/>
            <w:tcBorders>
              <w:top w:val="single" w:sz="4" w:space="0" w:color="auto"/>
              <w:left w:val="nil"/>
              <w:bottom w:val="single" w:sz="4" w:space="0" w:color="auto"/>
              <w:right w:val="single" w:sz="4" w:space="0" w:color="auto"/>
            </w:tcBorders>
            <w:shd w:val="clear" w:color="000000" w:fill="D9D9D9"/>
            <w:vAlign w:val="center"/>
            <w:hideMark/>
          </w:tcPr>
          <w:p w:rsidR="000A1DCC" w:rsidRPr="00B778A6" w:rsidRDefault="000A1DCC" w:rsidP="006E62B8">
            <w:pPr>
              <w:jc w:val="center"/>
              <w:rPr>
                <w:rFonts w:eastAsia="Times New Roman"/>
                <w:b/>
                <w:bCs/>
                <w:sz w:val="22"/>
                <w:szCs w:val="22"/>
              </w:rPr>
            </w:pPr>
            <w:r w:rsidRPr="00B778A6">
              <w:rPr>
                <w:rFonts w:eastAsia="Times New Roman"/>
                <w:b/>
                <w:bCs/>
                <w:sz w:val="22"/>
                <w:szCs w:val="22"/>
              </w:rPr>
              <w:t>Pokytis, proc.</w:t>
            </w:r>
          </w:p>
        </w:tc>
      </w:tr>
      <w:tr w:rsidR="000322F4" w:rsidRPr="00B778A6" w:rsidTr="00B778A6">
        <w:trPr>
          <w:trHeight w:val="57"/>
        </w:trPr>
        <w:tc>
          <w:tcPr>
            <w:tcW w:w="1454" w:type="pct"/>
            <w:tcBorders>
              <w:top w:val="single" w:sz="4" w:space="0" w:color="auto"/>
              <w:left w:val="single" w:sz="4" w:space="0" w:color="auto"/>
              <w:bottom w:val="single" w:sz="4" w:space="0" w:color="auto"/>
              <w:right w:val="single" w:sz="4" w:space="0" w:color="auto"/>
            </w:tcBorders>
            <w:shd w:val="clear" w:color="auto" w:fill="auto"/>
            <w:hideMark/>
          </w:tcPr>
          <w:p w:rsidR="000322F4" w:rsidRPr="00B778A6" w:rsidRDefault="000322F4" w:rsidP="00B778A6">
            <w:pPr>
              <w:rPr>
                <w:rFonts w:eastAsia="Times New Roman"/>
                <w:sz w:val="22"/>
                <w:szCs w:val="22"/>
              </w:rPr>
            </w:pPr>
            <w:r w:rsidRPr="00B778A6">
              <w:rPr>
                <w:rFonts w:eastAsia="Times New Roman"/>
                <w:sz w:val="22"/>
                <w:szCs w:val="22"/>
              </w:rPr>
              <w:t>Išlaidos švietimui, tūkst. EUR</w:t>
            </w:r>
          </w:p>
        </w:tc>
        <w:tc>
          <w:tcPr>
            <w:tcW w:w="592" w:type="pct"/>
            <w:tcBorders>
              <w:top w:val="single" w:sz="4" w:space="0" w:color="auto"/>
              <w:left w:val="single" w:sz="4" w:space="0" w:color="auto"/>
              <w:bottom w:val="single" w:sz="4" w:space="0" w:color="auto"/>
              <w:right w:val="single" w:sz="4" w:space="0" w:color="auto"/>
            </w:tcBorders>
          </w:tcPr>
          <w:p w:rsidR="000322F4" w:rsidRPr="00B778A6" w:rsidRDefault="000322F4" w:rsidP="00B778A6">
            <w:pPr>
              <w:jc w:val="center"/>
              <w:rPr>
                <w:rFonts w:eastAsia="Times New Roman"/>
                <w:sz w:val="22"/>
                <w:szCs w:val="22"/>
              </w:rPr>
            </w:pPr>
            <w:r w:rsidRPr="00B778A6">
              <w:rPr>
                <w:sz w:val="22"/>
                <w:szCs w:val="22"/>
              </w:rPr>
              <w:t>10038,8</w:t>
            </w:r>
          </w:p>
        </w:tc>
        <w:tc>
          <w:tcPr>
            <w:tcW w:w="592" w:type="pct"/>
            <w:tcBorders>
              <w:top w:val="single" w:sz="4" w:space="0" w:color="auto"/>
              <w:left w:val="single" w:sz="4" w:space="0" w:color="auto"/>
              <w:bottom w:val="single" w:sz="4" w:space="0" w:color="auto"/>
              <w:right w:val="single" w:sz="4" w:space="0" w:color="auto"/>
            </w:tcBorders>
            <w:shd w:val="clear" w:color="auto" w:fill="auto"/>
            <w:noWrap/>
          </w:tcPr>
          <w:p w:rsidR="000322F4" w:rsidRPr="00B778A6" w:rsidRDefault="000322F4" w:rsidP="00B778A6">
            <w:pPr>
              <w:jc w:val="center"/>
              <w:rPr>
                <w:rFonts w:eastAsia="Times New Roman"/>
                <w:sz w:val="22"/>
                <w:szCs w:val="22"/>
              </w:rPr>
            </w:pPr>
            <w:r w:rsidRPr="00B778A6">
              <w:rPr>
                <w:sz w:val="22"/>
                <w:szCs w:val="22"/>
              </w:rPr>
              <w:t>10425,9</w:t>
            </w:r>
          </w:p>
        </w:tc>
        <w:tc>
          <w:tcPr>
            <w:tcW w:w="592" w:type="pct"/>
            <w:tcBorders>
              <w:top w:val="single" w:sz="4" w:space="0" w:color="auto"/>
              <w:left w:val="single" w:sz="4" w:space="0" w:color="auto"/>
              <w:bottom w:val="single" w:sz="4" w:space="0" w:color="auto"/>
              <w:right w:val="single" w:sz="4" w:space="0" w:color="auto"/>
            </w:tcBorders>
            <w:shd w:val="clear" w:color="auto" w:fill="auto"/>
            <w:noWrap/>
          </w:tcPr>
          <w:p w:rsidR="000322F4" w:rsidRPr="00B778A6" w:rsidRDefault="000322F4" w:rsidP="00B778A6">
            <w:pPr>
              <w:jc w:val="center"/>
              <w:rPr>
                <w:rFonts w:eastAsia="Times New Roman"/>
                <w:sz w:val="22"/>
                <w:szCs w:val="22"/>
              </w:rPr>
            </w:pPr>
            <w:r w:rsidRPr="00B778A6">
              <w:rPr>
                <w:sz w:val="22"/>
                <w:szCs w:val="22"/>
              </w:rPr>
              <w:t>11511,6</w:t>
            </w:r>
          </w:p>
        </w:tc>
        <w:tc>
          <w:tcPr>
            <w:tcW w:w="592" w:type="pct"/>
            <w:tcBorders>
              <w:top w:val="nil"/>
              <w:left w:val="nil"/>
              <w:bottom w:val="single" w:sz="4" w:space="0" w:color="auto"/>
              <w:right w:val="single" w:sz="4" w:space="0" w:color="auto"/>
            </w:tcBorders>
            <w:shd w:val="clear" w:color="auto" w:fill="auto"/>
            <w:noWrap/>
          </w:tcPr>
          <w:p w:rsidR="000322F4" w:rsidRPr="00B778A6" w:rsidRDefault="000322F4" w:rsidP="00B778A6">
            <w:pPr>
              <w:jc w:val="center"/>
              <w:rPr>
                <w:rFonts w:eastAsia="Times New Roman"/>
                <w:sz w:val="22"/>
                <w:szCs w:val="22"/>
              </w:rPr>
            </w:pPr>
            <w:r w:rsidRPr="00B778A6">
              <w:rPr>
                <w:sz w:val="22"/>
                <w:szCs w:val="22"/>
              </w:rPr>
              <w:t>13483,7</w:t>
            </w:r>
          </w:p>
        </w:tc>
        <w:tc>
          <w:tcPr>
            <w:tcW w:w="592" w:type="pct"/>
            <w:tcBorders>
              <w:top w:val="nil"/>
              <w:left w:val="nil"/>
              <w:bottom w:val="single" w:sz="4" w:space="0" w:color="auto"/>
              <w:right w:val="single" w:sz="4" w:space="0" w:color="auto"/>
            </w:tcBorders>
            <w:shd w:val="clear" w:color="auto" w:fill="auto"/>
            <w:noWrap/>
          </w:tcPr>
          <w:p w:rsidR="000322F4" w:rsidRPr="00B778A6" w:rsidRDefault="000322F4" w:rsidP="00B778A6">
            <w:pPr>
              <w:jc w:val="center"/>
              <w:rPr>
                <w:rFonts w:eastAsia="Times New Roman"/>
                <w:sz w:val="22"/>
                <w:szCs w:val="22"/>
              </w:rPr>
            </w:pPr>
            <w:r w:rsidRPr="00B778A6">
              <w:rPr>
                <w:sz w:val="22"/>
                <w:szCs w:val="22"/>
              </w:rPr>
              <w:t>13310,8</w:t>
            </w:r>
          </w:p>
        </w:tc>
        <w:tc>
          <w:tcPr>
            <w:tcW w:w="588" w:type="pct"/>
            <w:tcBorders>
              <w:top w:val="nil"/>
              <w:left w:val="nil"/>
              <w:bottom w:val="single" w:sz="4" w:space="0" w:color="auto"/>
              <w:right w:val="single" w:sz="4" w:space="0" w:color="auto"/>
            </w:tcBorders>
            <w:shd w:val="clear" w:color="auto" w:fill="auto"/>
            <w:noWrap/>
            <w:hideMark/>
          </w:tcPr>
          <w:p w:rsidR="000322F4" w:rsidRPr="00B778A6" w:rsidRDefault="000322F4" w:rsidP="00B778A6">
            <w:pPr>
              <w:jc w:val="center"/>
              <w:rPr>
                <w:rFonts w:eastAsia="Times New Roman"/>
                <w:sz w:val="22"/>
                <w:szCs w:val="22"/>
              </w:rPr>
            </w:pPr>
            <w:r w:rsidRPr="00B778A6">
              <w:rPr>
                <w:rFonts w:eastAsia="Times New Roman"/>
                <w:sz w:val="22"/>
                <w:szCs w:val="22"/>
              </w:rPr>
              <w:t>+32,6</w:t>
            </w:r>
          </w:p>
        </w:tc>
      </w:tr>
    </w:tbl>
    <w:p w:rsidR="000A1DCC" w:rsidRPr="00B778A6" w:rsidRDefault="000A1DCC" w:rsidP="000A1DCC">
      <w:pPr>
        <w:jc w:val="center"/>
      </w:pPr>
      <w:r w:rsidRPr="00B778A6">
        <w:rPr>
          <w:i/>
          <w:sz w:val="20"/>
          <w:szCs w:val="20"/>
          <w:lang w:eastAsia="en-US"/>
        </w:rPr>
        <w:t>Šaltinis: Lietuvos statistikos departamentas</w:t>
      </w:r>
    </w:p>
    <w:p w:rsidR="000A1DCC" w:rsidRPr="00B778A6" w:rsidRDefault="000A1DCC" w:rsidP="000A1DCC">
      <w:pPr>
        <w:jc w:val="both"/>
      </w:pPr>
    </w:p>
    <w:p w:rsidR="000A1DCC" w:rsidRPr="00B778A6" w:rsidRDefault="000A1DCC" w:rsidP="000A1DCC">
      <w:pPr>
        <w:ind w:firstLine="709"/>
        <w:jc w:val="both"/>
        <w:rPr>
          <w:lang w:eastAsia="en-US"/>
        </w:rPr>
      </w:pPr>
      <w:r w:rsidRPr="00B778A6">
        <w:t xml:space="preserve">Lentelėje matyti, kad išlaidos švietimui </w:t>
      </w:r>
      <w:r w:rsidR="004E560E" w:rsidRPr="00B778A6">
        <w:rPr>
          <w:lang w:eastAsia="en-US"/>
        </w:rPr>
        <w:t xml:space="preserve">2016-2020 </w:t>
      </w:r>
      <w:r w:rsidRPr="00B778A6">
        <w:t xml:space="preserve">metų laikotarpiu išaugo </w:t>
      </w:r>
      <w:r w:rsidR="00D3494A">
        <w:t>beveik 33</w:t>
      </w:r>
      <w:r w:rsidRPr="00B778A6">
        <w:t xml:space="preserve"> proc. </w:t>
      </w:r>
      <w:r w:rsidRPr="00B778A6">
        <w:rPr>
          <w:lang w:eastAsia="en-US"/>
        </w:rPr>
        <w:t>Projekto objekto ribose – Prienų „</w:t>
      </w:r>
      <w:r w:rsidR="004E560E" w:rsidRPr="00B778A6">
        <w:rPr>
          <w:lang w:eastAsia="en-US"/>
        </w:rPr>
        <w:t>Gintarėlio</w:t>
      </w:r>
      <w:r w:rsidRPr="00B778A6">
        <w:rPr>
          <w:lang w:eastAsia="en-US"/>
        </w:rPr>
        <w:t xml:space="preserve">“ lopšelyje-darželyje – išlaidos ikimokykliniam ir priešmokykliniam ugdymui organizuoti už </w:t>
      </w:r>
      <w:r w:rsidR="004E560E" w:rsidRPr="00B778A6">
        <w:rPr>
          <w:lang w:eastAsia="en-US"/>
        </w:rPr>
        <w:t>2016-2020</w:t>
      </w:r>
      <w:r w:rsidRPr="00B778A6">
        <w:rPr>
          <w:lang w:eastAsia="en-US"/>
        </w:rPr>
        <w:t xml:space="preserve"> metus yra pateiktos 3.1. skyriuje.</w:t>
      </w:r>
    </w:p>
    <w:p w:rsidR="000A1DCC" w:rsidRPr="00B778A6" w:rsidRDefault="000A1DCC" w:rsidP="00FC2F55">
      <w:pPr>
        <w:pStyle w:val="Default"/>
        <w:tabs>
          <w:tab w:val="left" w:pos="709"/>
          <w:tab w:val="left" w:pos="1134"/>
          <w:tab w:val="left" w:pos="1276"/>
          <w:tab w:val="left" w:pos="1560"/>
        </w:tabs>
        <w:jc w:val="both"/>
        <w:rPr>
          <w:b/>
          <w:color w:val="auto"/>
          <w:lang w:eastAsia="en-US"/>
        </w:rPr>
      </w:pPr>
    </w:p>
    <w:p w:rsidR="00FC2F55" w:rsidRPr="00B778A6" w:rsidRDefault="00FC2F55" w:rsidP="00FC2F55">
      <w:pPr>
        <w:pStyle w:val="Default"/>
        <w:tabs>
          <w:tab w:val="left" w:pos="709"/>
          <w:tab w:val="left" w:pos="1134"/>
          <w:tab w:val="left" w:pos="1276"/>
          <w:tab w:val="left" w:pos="1560"/>
        </w:tabs>
        <w:jc w:val="both"/>
        <w:rPr>
          <w:b/>
          <w:color w:val="auto"/>
          <w:lang w:eastAsia="en-US"/>
        </w:rPr>
      </w:pPr>
      <w:r w:rsidRPr="00B778A6">
        <w:rPr>
          <w:b/>
          <w:color w:val="auto"/>
          <w:lang w:eastAsia="en-US"/>
        </w:rPr>
        <w:t xml:space="preserve">Paslaugos paklausa Prienų rajone </w:t>
      </w:r>
    </w:p>
    <w:p w:rsidR="00FC2F55" w:rsidRPr="00B778A6" w:rsidRDefault="00FC2F55" w:rsidP="00FC2F55">
      <w:pPr>
        <w:ind w:firstLine="720"/>
        <w:jc w:val="both"/>
      </w:pPr>
    </w:p>
    <w:p w:rsidR="00FC2F55" w:rsidRPr="00B778A6" w:rsidRDefault="00FC2F55" w:rsidP="00FC2F55">
      <w:pPr>
        <w:ind w:firstLine="720"/>
        <w:jc w:val="both"/>
      </w:pPr>
      <w:r w:rsidRPr="00B778A6">
        <w:t xml:space="preserve">Siekiant prognozuoti paslaugų paklausą per ateinančius </w:t>
      </w:r>
      <w:r w:rsidR="004E560E" w:rsidRPr="00B778A6">
        <w:t>25</w:t>
      </w:r>
      <w:r w:rsidRPr="00B778A6">
        <w:t xml:space="preserve"> m</w:t>
      </w:r>
      <w:r w:rsidR="004E560E" w:rsidRPr="00B778A6">
        <w:t>.</w:t>
      </w:r>
      <w:r w:rsidRPr="00B778A6">
        <w:t xml:space="preserve">, buvo atliktos trys vaikų, kurių amžius nuo 1 iki 6 metų, skaičiaus pokyčių prognozės: optimistinė, realistinė ir pesimistinė. Prognozė atlikta vadovaujantis tik patvirtintais </w:t>
      </w:r>
      <w:r w:rsidR="004E560E" w:rsidRPr="00B778A6">
        <w:t>2016-2020</w:t>
      </w:r>
      <w:r w:rsidRPr="00B778A6">
        <w:t xml:space="preserve"> metų gyventojų srautų pokyčiais. Per pastaruosius metus didžiausias 1-6 metų vaikų skaičiaus augimas buvo </w:t>
      </w:r>
      <w:r w:rsidR="004E560E" w:rsidRPr="00B778A6">
        <w:t>2018</w:t>
      </w:r>
      <w:r w:rsidRPr="00B778A6">
        <w:t xml:space="preserve"> metais – </w:t>
      </w:r>
      <w:r w:rsidR="004E560E" w:rsidRPr="00B778A6">
        <w:t>2,42</w:t>
      </w:r>
      <w:r w:rsidRPr="00B778A6">
        <w:t xml:space="preserve"> proc. Priimama prielaida, kad optimistiniu variantu, ateinančius 15 metų vaikų skaičius didės po 2,</w:t>
      </w:r>
      <w:r w:rsidR="004E560E" w:rsidRPr="00B778A6">
        <w:t>42</w:t>
      </w:r>
      <w:r w:rsidRPr="00B778A6">
        <w:t xml:space="preserve"> </w:t>
      </w:r>
      <w:r w:rsidRPr="00B778A6">
        <w:lastRenderedPageBreak/>
        <w:t xml:space="preserve">proc. kasmet. Didžiausias vaikų skaičiaus sumažėjimas buvo </w:t>
      </w:r>
      <w:r w:rsidR="004E560E" w:rsidRPr="00B778A6">
        <w:t>2020</w:t>
      </w:r>
      <w:r w:rsidRPr="00B778A6">
        <w:t xml:space="preserve"> metais (-</w:t>
      </w:r>
      <w:r w:rsidR="004E560E" w:rsidRPr="00B778A6">
        <w:t>2,10</w:t>
      </w:r>
      <w:r w:rsidRPr="00B778A6">
        <w:t xml:space="preserve"> proc.). Priimama prielaida, kad pesimistiniu atveju artimiausius 15 metų vaikų skaičius mažės šiuo tempu. Vidutinis vaikų, kurių amžius nuo 1 iki 6 metų, skaičiaus kitimas </w:t>
      </w:r>
      <w:r w:rsidR="004E560E" w:rsidRPr="00B778A6">
        <w:t xml:space="preserve">2016-2020 </w:t>
      </w:r>
      <w:r w:rsidRPr="00B778A6">
        <w:t>metais buvo 0,</w:t>
      </w:r>
      <w:r w:rsidR="004E560E" w:rsidRPr="00B778A6">
        <w:t>38</w:t>
      </w:r>
      <w:r w:rsidRPr="00B778A6">
        <w:t xml:space="preserve"> proc., todėl realistiniu atveju, prognozuojama, kad vaikų skaičius kasmet didės po 0,</w:t>
      </w:r>
      <w:r w:rsidR="004E560E" w:rsidRPr="00B778A6">
        <w:t>38</w:t>
      </w:r>
      <w:r w:rsidRPr="00B778A6">
        <w:t xml:space="preserve"> proc. Taigi optimistiniu atveju, Prienų rajone 20</w:t>
      </w:r>
      <w:r w:rsidR="004E560E" w:rsidRPr="00B778A6">
        <w:t>47</w:t>
      </w:r>
      <w:r w:rsidRPr="00B778A6">
        <w:t xml:space="preserve"> metais 1-6 metų vaikų gyvens </w:t>
      </w:r>
      <w:r w:rsidR="004E560E" w:rsidRPr="00B778A6">
        <w:t>2749</w:t>
      </w:r>
      <w:r w:rsidRPr="00B778A6">
        <w:t xml:space="preserve"> gyv., realistiniu – </w:t>
      </w:r>
      <w:r w:rsidR="004E560E" w:rsidRPr="00B778A6">
        <w:t>1605</w:t>
      </w:r>
      <w:r w:rsidRPr="00B778A6">
        <w:t xml:space="preserve"> gyv., pesimistiniu – </w:t>
      </w:r>
      <w:r w:rsidR="004E560E" w:rsidRPr="00B778A6">
        <w:t>812</w:t>
      </w:r>
      <w:r w:rsidRPr="00B778A6">
        <w:t xml:space="preserve"> gyv.</w:t>
      </w:r>
    </w:p>
    <w:p w:rsidR="00FC2F55" w:rsidRPr="00B778A6" w:rsidRDefault="00FC2F55" w:rsidP="00FC2F55">
      <w:pPr>
        <w:ind w:firstLine="720"/>
        <w:jc w:val="both"/>
        <w:rPr>
          <w:highlight w:val="yellow"/>
        </w:rPr>
      </w:pPr>
    </w:p>
    <w:p w:rsidR="00FC2F55" w:rsidRPr="00B778A6" w:rsidRDefault="007E2858" w:rsidP="00FC2F55">
      <w:pPr>
        <w:jc w:val="center"/>
        <w:rPr>
          <w:highlight w:val="yellow"/>
        </w:rPr>
      </w:pPr>
      <w:r>
        <w:pict>
          <v:shape id="_x0000_i1028" type="#_x0000_t75" style="width:428.85pt;height:156.5pt" o:bordertopcolor="this" o:borderleftcolor="this" o:borderbottomcolor="this" o:borderrightcolor="this">
            <v:imagedata r:id="rId12" o:title="ss"/>
            <w10:bordertop type="single" width="4"/>
            <w10:borderleft type="single" width="4"/>
            <w10:borderbottom type="single" width="4"/>
            <w10:borderright type="single" width="4"/>
          </v:shape>
        </w:pict>
      </w:r>
    </w:p>
    <w:p w:rsidR="00FC2F55" w:rsidRPr="00B778A6" w:rsidRDefault="00FC2F55" w:rsidP="00FC2F55">
      <w:pPr>
        <w:pStyle w:val="ListParagraph"/>
        <w:spacing w:before="120"/>
        <w:ind w:left="0"/>
        <w:jc w:val="center"/>
        <w:rPr>
          <w:b/>
          <w:szCs w:val="24"/>
        </w:rPr>
      </w:pPr>
      <w:r w:rsidRPr="00B778A6">
        <w:rPr>
          <w:b/>
          <w:szCs w:val="24"/>
        </w:rPr>
        <w:t>1.1.</w:t>
      </w:r>
      <w:r w:rsidR="00C3088C">
        <w:rPr>
          <w:b/>
          <w:szCs w:val="24"/>
        </w:rPr>
        <w:t>1</w:t>
      </w:r>
      <w:r w:rsidRPr="00B778A6">
        <w:rPr>
          <w:b/>
          <w:szCs w:val="24"/>
        </w:rPr>
        <w:t xml:space="preserve">. Pav. Prienų r. 1-6 m. gyventojų skaičius </w:t>
      </w:r>
      <w:r w:rsidR="004E560E" w:rsidRPr="00B778A6">
        <w:rPr>
          <w:b/>
          <w:szCs w:val="24"/>
        </w:rPr>
        <w:t>2016-2047</w:t>
      </w:r>
      <w:r w:rsidRPr="00B778A6">
        <w:rPr>
          <w:b/>
          <w:szCs w:val="24"/>
        </w:rPr>
        <w:t xml:space="preserve"> m. (faktiniai duomenys ir prognozės)</w:t>
      </w:r>
    </w:p>
    <w:p w:rsidR="00FC2F55" w:rsidRPr="00B778A6" w:rsidRDefault="00FC2F55" w:rsidP="00FC2F55">
      <w:pPr>
        <w:pStyle w:val="ListParagraph"/>
        <w:ind w:left="0" w:firstLine="709"/>
        <w:jc w:val="center"/>
        <w:rPr>
          <w:i/>
          <w:sz w:val="20"/>
        </w:rPr>
      </w:pPr>
      <w:r w:rsidRPr="00B778A6">
        <w:rPr>
          <w:i/>
          <w:sz w:val="20"/>
        </w:rPr>
        <w:t>Šaltinis: sudaryta UAB „</w:t>
      </w:r>
      <w:r w:rsidR="004E560E" w:rsidRPr="00B778A6">
        <w:rPr>
          <w:i/>
          <w:sz w:val="20"/>
        </w:rPr>
        <w:t>Geotaškas</w:t>
      </w:r>
      <w:r w:rsidRPr="00B778A6">
        <w:rPr>
          <w:i/>
          <w:sz w:val="20"/>
        </w:rPr>
        <w:t>“ pagal Lietuvos statistikos departamento duomenis</w:t>
      </w:r>
    </w:p>
    <w:p w:rsidR="00FC2F55" w:rsidRPr="00B778A6" w:rsidRDefault="00FC2F55" w:rsidP="00FC2F55">
      <w:pPr>
        <w:pStyle w:val="ListParagraph"/>
        <w:ind w:left="0" w:firstLine="709"/>
        <w:jc w:val="both"/>
        <w:rPr>
          <w:szCs w:val="24"/>
        </w:rPr>
      </w:pPr>
    </w:p>
    <w:p w:rsidR="00FC2F55" w:rsidRPr="00B778A6" w:rsidRDefault="00FC2F55" w:rsidP="002646D3">
      <w:pPr>
        <w:ind w:firstLine="720"/>
        <w:jc w:val="both"/>
      </w:pPr>
      <w:r w:rsidRPr="00B778A6">
        <w:t>Atlikta 1-6 metų amžiaus Prienų rajono gyventojų pokyčių prognozė parodė, kad labiausiai tikėtina, jog šio amžiaus gyventojų skaičius Prienų rajone didės, todėl ir ikimokyklinio bei priešmokyklinio ugdymo paslaugų poreikis tik augs.</w:t>
      </w:r>
    </w:p>
    <w:p w:rsidR="000A1DCC" w:rsidRPr="00B778A6" w:rsidRDefault="000A1DCC" w:rsidP="00B778A6">
      <w:pPr>
        <w:ind w:firstLine="720"/>
        <w:jc w:val="both"/>
      </w:pPr>
    </w:p>
    <w:p w:rsidR="00FD1BF7" w:rsidRPr="00B778A6" w:rsidRDefault="00B54573" w:rsidP="00607618">
      <w:pPr>
        <w:pStyle w:val="Heading2"/>
        <w:rPr>
          <w:rFonts w:ascii="Times New Roman" w:hAnsi="Times New Roman"/>
        </w:rPr>
      </w:pPr>
      <w:bookmarkStart w:id="5" w:name="_Toc34924466"/>
      <w:r w:rsidRPr="00B778A6">
        <w:rPr>
          <w:rFonts w:ascii="Times New Roman" w:hAnsi="Times New Roman"/>
          <w:lang w:val="lt-LT"/>
        </w:rPr>
        <w:t>1.2. Teisinė aplinka</w:t>
      </w:r>
      <w:bookmarkEnd w:id="5"/>
    </w:p>
    <w:p w:rsidR="004C5170" w:rsidRPr="00B778A6" w:rsidRDefault="004C5170" w:rsidP="00FD1BF7">
      <w:pPr>
        <w:pStyle w:val="ColorfulList-Accent11"/>
        <w:ind w:left="360"/>
        <w:rPr>
          <w:szCs w:val="24"/>
        </w:rPr>
      </w:pPr>
    </w:p>
    <w:p w:rsidR="00E73F5A" w:rsidRPr="00B778A6" w:rsidRDefault="00E73F5A" w:rsidP="002646D3">
      <w:pPr>
        <w:tabs>
          <w:tab w:val="left" w:pos="993"/>
          <w:tab w:val="left" w:pos="1134"/>
          <w:tab w:val="left" w:pos="1276"/>
          <w:tab w:val="left" w:pos="1560"/>
        </w:tabs>
        <w:autoSpaceDE w:val="0"/>
        <w:autoSpaceDN w:val="0"/>
        <w:adjustRightInd w:val="0"/>
        <w:ind w:firstLine="709"/>
        <w:jc w:val="both"/>
        <w:rPr>
          <w:rFonts w:eastAsia="Times New Roman"/>
          <w:lang w:eastAsia="en-US"/>
        </w:rPr>
      </w:pPr>
      <w:r w:rsidRPr="00B778A6">
        <w:rPr>
          <w:rFonts w:eastAsia="Times New Roman"/>
          <w:lang w:eastAsia="en-US"/>
        </w:rPr>
        <w:t>Šio projekto kontekste yra svarbios dvi sritys ir jas reglamentuojantys teisės aktai: švietimas ir energetika.</w:t>
      </w:r>
    </w:p>
    <w:p w:rsidR="00E73F5A" w:rsidRPr="00B778A6" w:rsidRDefault="00E73F5A" w:rsidP="00B778A6">
      <w:pPr>
        <w:tabs>
          <w:tab w:val="left" w:pos="993"/>
          <w:tab w:val="left" w:pos="1134"/>
          <w:tab w:val="left" w:pos="1276"/>
          <w:tab w:val="left" w:pos="1560"/>
        </w:tabs>
        <w:autoSpaceDE w:val="0"/>
        <w:autoSpaceDN w:val="0"/>
        <w:adjustRightInd w:val="0"/>
        <w:jc w:val="both"/>
        <w:rPr>
          <w:rFonts w:eastAsia="Times New Roman"/>
          <w:lang w:eastAsia="en-US"/>
        </w:rPr>
      </w:pPr>
    </w:p>
    <w:p w:rsidR="00E73F5A" w:rsidRPr="00B778A6" w:rsidRDefault="00E73F5A" w:rsidP="00B778A6">
      <w:pPr>
        <w:pStyle w:val="Heading3"/>
      </w:pPr>
      <w:r w:rsidRPr="00B778A6">
        <w:rPr>
          <w:lang w:val="lt-LT"/>
        </w:rPr>
        <w:t>1.2.1. Švietimas</w:t>
      </w:r>
    </w:p>
    <w:p w:rsidR="00E73F5A" w:rsidRPr="00B778A6" w:rsidRDefault="00E73F5A" w:rsidP="00E73F5A">
      <w:pPr>
        <w:tabs>
          <w:tab w:val="left" w:pos="993"/>
          <w:tab w:val="left" w:pos="1134"/>
          <w:tab w:val="left" w:pos="1276"/>
          <w:tab w:val="left" w:pos="1560"/>
        </w:tabs>
        <w:autoSpaceDE w:val="0"/>
        <w:autoSpaceDN w:val="0"/>
        <w:adjustRightInd w:val="0"/>
        <w:ind w:firstLine="709"/>
        <w:jc w:val="both"/>
        <w:rPr>
          <w:rFonts w:eastAsia="Times New Roman"/>
          <w:lang w:eastAsia="en-US"/>
        </w:rPr>
      </w:pPr>
    </w:p>
    <w:p w:rsidR="00E73F5A" w:rsidRPr="00B778A6" w:rsidRDefault="00E73F5A" w:rsidP="00E73F5A">
      <w:pPr>
        <w:tabs>
          <w:tab w:val="left" w:pos="993"/>
          <w:tab w:val="left" w:pos="1134"/>
          <w:tab w:val="left" w:pos="1276"/>
          <w:tab w:val="left" w:pos="1560"/>
        </w:tabs>
        <w:autoSpaceDE w:val="0"/>
        <w:autoSpaceDN w:val="0"/>
        <w:adjustRightInd w:val="0"/>
        <w:ind w:firstLine="709"/>
        <w:jc w:val="both"/>
        <w:rPr>
          <w:rFonts w:eastAsia="Times New Roman"/>
        </w:rPr>
      </w:pPr>
      <w:r w:rsidRPr="00B778A6">
        <w:rPr>
          <w:rFonts w:eastAsia="Times New Roman"/>
          <w:lang w:eastAsia="en-US"/>
        </w:rPr>
        <w:t>Lietuvoje</w:t>
      </w:r>
      <w:r w:rsidRPr="00B778A6">
        <w:rPr>
          <w:rFonts w:eastAsia="Times New Roman"/>
        </w:rPr>
        <w:t xml:space="preserve"> yra ryškūs regioniniai gamtinių, ekonominių, demografinių ir infrastruktūrinių išteklių skirtumai, lemiantys šalies regionų socialinės – ekonominės padėties neatitikimus. Siekiant subalansuoti ūkio, o kartu ir visų šalies prioritetinių sričių (tame tarpe ir švietimo) plėtros šalyje, pasitelkiant Europos Sąjungos šalių patirtį, parengta ir įgyvendinama Lietuvos pažangos strategija „Lietuva 2030“, 2014-2020 m. Nacionalinė pažangos programa, rengiami regionų plėtros planai ir savivaldybių plėtros strateginiai planai, kurie yra integrali regionų plėtros planų dalis. Visi šie dokumentai privalo būti tarpusavyje suderinti tam, kad būtų pasiektas maksimalus įgyvendinamų priemonių efektyvumas ir užtikrintas raidos subalansuotumas.</w:t>
      </w:r>
    </w:p>
    <w:p w:rsidR="00E73F5A" w:rsidRPr="00B778A6" w:rsidRDefault="00E73F5A" w:rsidP="00E73F5A">
      <w:pPr>
        <w:tabs>
          <w:tab w:val="left" w:pos="993"/>
          <w:tab w:val="left" w:pos="1134"/>
          <w:tab w:val="left" w:pos="1276"/>
          <w:tab w:val="left" w:pos="1560"/>
        </w:tabs>
        <w:autoSpaceDE w:val="0"/>
        <w:autoSpaceDN w:val="0"/>
        <w:adjustRightInd w:val="0"/>
        <w:ind w:firstLine="709"/>
        <w:jc w:val="both"/>
        <w:rPr>
          <w:rFonts w:eastAsia="Times New Roman"/>
        </w:rPr>
      </w:pPr>
      <w:r w:rsidRPr="00B778A6">
        <w:rPr>
          <w:rFonts w:eastAsia="Times New Roman"/>
          <w:b/>
        </w:rPr>
        <w:t>Švietimas</w:t>
      </w:r>
      <w:r w:rsidRPr="00B778A6">
        <w:rPr>
          <w:rFonts w:eastAsia="Times New Roman"/>
        </w:rPr>
        <w:t xml:space="preserve"> – veikla, kuria siekiama suteikti asmeniui visaverčio savarankiško gyvenimo pagrindus ir padėti jam nuolat tobulinti savo gebėjimus. Mokytis yra prigimtinė kiekvieno žmogaus teisė. Švietimas, kaip asmens, visuomenės ir valstybės ateities kūrimo būdas, grindžiamas žmogaus nelygstamos vertės, jo pasirinkimo laisvės, dorinės atsakomybės pripažinimu, demokratiniais santykiais, šalies kultūros tradicijomis. Švietimas saugo ir kuria tautos tapatybę, perduoda vertybes, kurios daro žmogaus gyvenimą prasmingą, visuomenės gyvenimą – darnų ir solidarų, valstybės – </w:t>
      </w:r>
      <w:r w:rsidRPr="00B778A6">
        <w:rPr>
          <w:rFonts w:eastAsia="Times New Roman"/>
        </w:rPr>
        <w:lastRenderedPageBreak/>
        <w:t>pažangų ir saugų. Švietimas savo paskirtį geriausiai atlieka tada, kai jo raida lenkia bendrąją visuomenės raidą. Jis yra prioritetiškai valstybės remiama visuomenės raidos sritis.</w:t>
      </w:r>
    </w:p>
    <w:p w:rsidR="00E73F5A" w:rsidRPr="00B778A6" w:rsidRDefault="00E73F5A" w:rsidP="00E73F5A">
      <w:pPr>
        <w:tabs>
          <w:tab w:val="left" w:pos="993"/>
          <w:tab w:val="left" w:pos="1134"/>
          <w:tab w:val="left" w:pos="1276"/>
          <w:tab w:val="left" w:pos="1560"/>
        </w:tabs>
        <w:autoSpaceDE w:val="0"/>
        <w:autoSpaceDN w:val="0"/>
        <w:adjustRightInd w:val="0"/>
        <w:ind w:firstLine="709"/>
        <w:jc w:val="both"/>
        <w:rPr>
          <w:rFonts w:eastAsia="Times New Roman"/>
          <w:b/>
        </w:rPr>
      </w:pPr>
      <w:r w:rsidRPr="00B778A6">
        <w:rPr>
          <w:rFonts w:eastAsia="Times New Roman"/>
          <w:b/>
        </w:rPr>
        <w:t>Lietuvos švietimo sistema apima:</w:t>
      </w:r>
    </w:p>
    <w:p w:rsidR="00E73F5A" w:rsidRPr="00B778A6" w:rsidRDefault="00E73F5A" w:rsidP="00E73F5A">
      <w:pPr>
        <w:numPr>
          <w:ilvl w:val="0"/>
          <w:numId w:val="33"/>
        </w:numPr>
        <w:contextualSpacing/>
        <w:jc w:val="both"/>
        <w:rPr>
          <w:lang w:eastAsia="en-US"/>
        </w:rPr>
      </w:pPr>
      <w:r w:rsidRPr="00B778A6">
        <w:rPr>
          <w:lang w:eastAsia="en-US"/>
        </w:rPr>
        <w:t>formalųjį švietimą (pradinį, pagrindinį, vidurinį ugdymą, formalųjį profesinį mokymą ir aukštojo mokslo studijas);</w:t>
      </w:r>
    </w:p>
    <w:p w:rsidR="00E73F5A" w:rsidRPr="00B778A6" w:rsidRDefault="00E73F5A" w:rsidP="00E73F5A">
      <w:pPr>
        <w:numPr>
          <w:ilvl w:val="0"/>
          <w:numId w:val="33"/>
        </w:numPr>
        <w:contextualSpacing/>
        <w:jc w:val="both"/>
        <w:rPr>
          <w:lang w:eastAsia="en-US"/>
        </w:rPr>
      </w:pPr>
      <w:r w:rsidRPr="00B778A6">
        <w:rPr>
          <w:lang w:eastAsia="en-US"/>
        </w:rPr>
        <w:t>neformalųjį švietimą (ikimokyklinį, priešmokyklinį, kitą neformalųjį vaikų (taip pat formalųjį švietimą papildantį ugdymą) ir suaugusiųjų švietimą);</w:t>
      </w:r>
    </w:p>
    <w:p w:rsidR="00E73F5A" w:rsidRPr="00B778A6" w:rsidRDefault="00E73F5A" w:rsidP="00E73F5A">
      <w:pPr>
        <w:numPr>
          <w:ilvl w:val="0"/>
          <w:numId w:val="33"/>
        </w:numPr>
        <w:contextualSpacing/>
        <w:jc w:val="both"/>
        <w:rPr>
          <w:lang w:eastAsia="en-US"/>
        </w:rPr>
      </w:pPr>
      <w:r w:rsidRPr="00B778A6">
        <w:rPr>
          <w:lang w:eastAsia="en-US"/>
        </w:rPr>
        <w:t>savišvietą;</w:t>
      </w:r>
    </w:p>
    <w:p w:rsidR="00E73F5A" w:rsidRPr="00B778A6" w:rsidRDefault="00E73F5A" w:rsidP="00E73F5A">
      <w:pPr>
        <w:numPr>
          <w:ilvl w:val="0"/>
          <w:numId w:val="33"/>
        </w:numPr>
        <w:contextualSpacing/>
        <w:jc w:val="both"/>
        <w:rPr>
          <w:lang w:eastAsia="en-US"/>
        </w:rPr>
      </w:pPr>
      <w:r w:rsidRPr="00B778A6">
        <w:rPr>
          <w:lang w:eastAsia="en-US"/>
        </w:rPr>
        <w:t>švietimo pagalbą (profesinį orientavimą, švietimo informacinę, psichologinę, socialinę pedagoginę, specialiąją pedagoginę ir specialiąją pagalbą, sveikatos priežiūrą mokykloje, konsultacinę, mokytojų kvalifikacijos tobulinimo ir kitą pagalbą).</w:t>
      </w:r>
    </w:p>
    <w:p w:rsidR="00E73F5A" w:rsidRPr="00B778A6" w:rsidRDefault="00E73F5A" w:rsidP="00E73F5A">
      <w:pPr>
        <w:ind w:firstLine="709"/>
        <w:jc w:val="both"/>
        <w:rPr>
          <w:b/>
        </w:rPr>
      </w:pPr>
    </w:p>
    <w:p w:rsidR="00E73F5A" w:rsidRPr="00B778A6" w:rsidRDefault="00E73F5A" w:rsidP="00E73F5A">
      <w:pPr>
        <w:ind w:firstLine="709"/>
        <w:jc w:val="both"/>
      </w:pPr>
      <w:r w:rsidRPr="00B778A6">
        <w:t>Projektas yra skirtas ikimokyklinio ir priešmokyklinio ugdymo įstaigų tinklo veiklos efektyvumui.</w:t>
      </w:r>
    </w:p>
    <w:p w:rsidR="00E73F5A" w:rsidRPr="00B778A6" w:rsidRDefault="00E73F5A" w:rsidP="00E73F5A">
      <w:pPr>
        <w:jc w:val="both"/>
        <w:rPr>
          <w:b/>
        </w:rPr>
      </w:pPr>
      <w:r w:rsidRPr="00B778A6">
        <w:rPr>
          <w:b/>
        </w:rPr>
        <w:t>Teisės aktai, reglamentuojantys viešosios paslaugos (ikimokyklinio ir priešmokyklinio ugdymo) teikimą</w:t>
      </w:r>
    </w:p>
    <w:p w:rsidR="00E73F5A" w:rsidRPr="00B778A6" w:rsidRDefault="00E73F5A" w:rsidP="00E73F5A">
      <w:pPr>
        <w:jc w:val="both"/>
        <w:rPr>
          <w:b/>
        </w:rPr>
      </w:pPr>
    </w:p>
    <w:p w:rsidR="00E73F5A" w:rsidRPr="00B778A6" w:rsidRDefault="00E73F5A" w:rsidP="00E73F5A">
      <w:pPr>
        <w:ind w:firstLine="709"/>
        <w:jc w:val="both"/>
      </w:pPr>
      <w:r w:rsidRPr="00B778A6">
        <w:rPr>
          <w:i/>
        </w:rPr>
        <w:t>LR Švietimo įstatymas (Nr. XI-1281, 2011-03-17, Žin., 2011, Nr. 38-1804 (2011-03-31)).</w:t>
      </w:r>
      <w:r w:rsidRPr="00B778A6">
        <w:t xml:space="preserve"> Pagrindinis teisės aktas, reglamentuojantis ikimokyklinį ir priešmokyklinį ugdymą, yra LR Švietimo įstatymas. Šis įstatymas nustato Lietuvos Respublikos švietimo tikslus, švietimo sistemos principus, švietimo sistemos sandaros, švietimo veiklos, švietimo santykių pagrindus, valstybės įsipareigojimus švietimo srityje. Įstatyme apibrėžta ikimokyklinio ir priešmokyklinio ugdymo paskirtis, teikimo tvarka. Vadovaujantis įstatymo 40 straipsnio 2 dalimi, ikimokyklinio ugdymo, priešmokyklinio ugdymo, bendrojo ugdymo programas teikiančios mokyklos materialioji aplinka kuriama vadovaujantis švietimo ir mokslo ministro patvirtintais švietimo aprūpinimo standartais.</w:t>
      </w:r>
    </w:p>
    <w:p w:rsidR="00E73F5A" w:rsidRPr="00B778A6" w:rsidRDefault="00E73F5A" w:rsidP="00E73F5A">
      <w:pPr>
        <w:ind w:firstLine="709"/>
        <w:jc w:val="both"/>
      </w:pPr>
      <w:r w:rsidRPr="00B778A6">
        <w:rPr>
          <w:i/>
        </w:rPr>
        <w:t xml:space="preserve">Švietimo aprūpinimo standartai (patvirtinta LR švietimo ir mokslo ministro 2011 m gruodžio 12 d. įsakymu Nr. V-2368). </w:t>
      </w:r>
      <w:r w:rsidRPr="00B778A6">
        <w:t>Švietimo aprūpinimo standartų (toliau - Standartai) paskirtis – padėti ikimokyklinio, priešmokyklinio, pradinio, pagrindinio ir vidurinio ugdymo programas teikiančioms mokykloms kurti ir turtinti materialiąją mokyklos aplinką, tinkamą siekti ikimokyklinio, priešmokyklinio, pradinio, pagrindinio ir vidurinio ugdymo programose numatytų tikslų. Šis dokumentas apibrėžia dvi sritis: mokymo aplinkos kūrimą bei mokymo priemonių grupes ir jų paskirtį. Mokymo priemonės, reikalingos ikimokykliniam ir priešmokykliniam ugdymui: ikimokyklinio ugdymo priemonės, kurios padeda plėtoti ikimokyklinio amžiaus vaikų fizines, socialines-emocines, pažintines, kūrybines galias; priešmokyklinio ugdymo priemonės, kurios padeda ugdyti aktyvų, smalsų, savo gebėjimais pasitikintį, pažinti ir mokytis norintį priešmokyklinio amžiaus vaiką, sudaro jam prielaidas toliau sėkmingai ugdytis mokykloje. Vadovaujantis Standartų 14 punktu, ikimokyklinio ugdymo turinio programoms įgyvendinti reikalingos priemonės numatomos programose, parengtose pagal Ikimokyklinio ugdymo programų kriterijų aprašą. Vadovaujantis Standartų 2 punktu, pagrindinius įstaigų, įmonių ar grupių, kurios vykdo ikimokyklinio ir (ar) priešmokyklinio ugdymo programas, ugdymo proceso organizavimo sveikatos saugos reikalavimus nustato Lietuvos higienos norma HN 75:2010 „Įstaiga, vykdanti ikimokyklinio ir (ar) priešmokyklinio ugdymo programą. Bendrieji sveikatos saugos reikalavimai“.</w:t>
      </w:r>
    </w:p>
    <w:p w:rsidR="00E73F5A" w:rsidRPr="00B778A6" w:rsidRDefault="00E73F5A" w:rsidP="00E73F5A">
      <w:pPr>
        <w:ind w:firstLine="709"/>
        <w:jc w:val="both"/>
      </w:pPr>
      <w:r w:rsidRPr="00B778A6">
        <w:rPr>
          <w:i/>
        </w:rPr>
        <w:t xml:space="preserve">Ikimokyklinio ugdymo programų kriterijų aprašas (patvirtinta LR švietimo ir mokslo ministro 2005 m. balandžio 18 d. įsakymu Nr. ISAK-627). </w:t>
      </w:r>
      <w:r w:rsidRPr="00B778A6">
        <w:t>Švietimo teikėjai, remdamiesi šiuo aprašu, rengia ir sistemingai atnaujina ikimokyklinio ugdymo programą.</w:t>
      </w:r>
    </w:p>
    <w:p w:rsidR="00E73F5A" w:rsidRPr="00B778A6" w:rsidRDefault="00E73F5A" w:rsidP="00E73F5A">
      <w:pPr>
        <w:ind w:firstLine="709"/>
        <w:jc w:val="both"/>
      </w:pPr>
      <w:r w:rsidRPr="00B778A6">
        <w:rPr>
          <w:i/>
        </w:rPr>
        <w:t>Lietuvos higienos norma HN 75:2016 „Ikimokyklinio ir priešmokyklinio ugdymo programų vykdymo bendrieji sveikatos saugos reikalavimai“ (patvirtinta Lietuvos Respublikos sveikatos apsaugos ministro 2010 m. balandžio 22 d. įsakymu Nr. V-313)</w:t>
      </w:r>
      <w:r w:rsidRPr="00B778A6">
        <w:t xml:space="preserve">. Ši higienos norma nustato pagrindinius ikimokyklinio ir priešmokyklinio ugdymo programų vykdymo sveikatos saugos reikalavimus, t.y. sklypo/teritorijos ir patalpų įrengimo reikalavimus, apšvietimo reikalavimus, </w:t>
      </w:r>
      <w:r w:rsidRPr="00B778A6">
        <w:lastRenderedPageBreak/>
        <w:t>mikroklimato, vėdinimo, triukšmo reikalavimus, vandens tiekimo ir nuotekų šalinimo reikalavimus, sklypo/teritorijos, patalpų, įrenginių, inventoriaus, žaislų priežiūros reikalavimus, vaikų priėmimą ir dienos režimą, vaikų iki 1 metų amžiaus priežiūros reikalavimus.</w:t>
      </w:r>
    </w:p>
    <w:p w:rsidR="00E73F5A" w:rsidRPr="00B778A6" w:rsidRDefault="00E73F5A" w:rsidP="00E73F5A">
      <w:pPr>
        <w:ind w:firstLine="709"/>
        <w:jc w:val="both"/>
      </w:pPr>
      <w:r w:rsidRPr="00B778A6">
        <w:rPr>
          <w:i/>
        </w:rPr>
        <w:t>Privalomo ikimokyklinio ugdymo nustatymo ir skyrimo tvarkos aprašas (patvirtinta LR švietimo ir mokslo ministro ir LR socialinės apsaugos ir darbo ministro 2012 m. balandžio 26 d. įsakymu Nr. V-735/A1-208)</w:t>
      </w:r>
      <w:r w:rsidRPr="00B778A6">
        <w:t xml:space="preserve">. Šis dokumentas reglamentuoja privalomo ikimokyklinio ugdymo nustatymą, skyrimą ir finansavimą. </w:t>
      </w:r>
    </w:p>
    <w:p w:rsidR="00E73F5A" w:rsidRPr="00B778A6" w:rsidRDefault="00E73F5A" w:rsidP="00E73F5A">
      <w:pPr>
        <w:ind w:firstLine="709"/>
        <w:jc w:val="both"/>
      </w:pPr>
      <w:r w:rsidRPr="00B778A6">
        <w:rPr>
          <w:i/>
        </w:rPr>
        <w:t>Vaiko gerovės valstybės politikos koncepcija (patvirtinta LR Seimo 2003 m. gegužės 20 d. nutarimu Nr. IX-1569)</w:t>
      </w:r>
      <w:r w:rsidRPr="00B778A6">
        <w:t>. Koncepcijoje numatyta, kad ypatingas dėmesys turi būti skiriamas ikimokyklinių ir vaiko dienos priežiūros institucijų organizavimui. Šios paslaugos plečiamos įgyvendinant visuotinį priešmokyklinį ugdymą ir priežiūrą, sukuriant visiems ikimokyklinio ir mokyklinio amžiaus vaikams prieinamų dienos centrų tinklą.</w:t>
      </w:r>
    </w:p>
    <w:p w:rsidR="00E73F5A" w:rsidRPr="00B778A6" w:rsidRDefault="00E73F5A" w:rsidP="00E73F5A">
      <w:pPr>
        <w:ind w:firstLine="709"/>
        <w:jc w:val="both"/>
      </w:pPr>
    </w:p>
    <w:p w:rsidR="00E73F5A" w:rsidRPr="00B778A6" w:rsidRDefault="00E73F5A" w:rsidP="00E73F5A">
      <w:pPr>
        <w:contextualSpacing/>
        <w:jc w:val="both"/>
        <w:rPr>
          <w:b/>
          <w:lang w:eastAsia="en-US"/>
        </w:rPr>
      </w:pPr>
      <w:r w:rsidRPr="00B778A6">
        <w:rPr>
          <w:b/>
          <w:lang w:eastAsia="en-US"/>
        </w:rPr>
        <w:t>Inicijuojamo projekto atitiktis strateginiams dokumentams</w:t>
      </w:r>
    </w:p>
    <w:p w:rsidR="00E73F5A" w:rsidRPr="00B778A6" w:rsidRDefault="00E73F5A" w:rsidP="00E73F5A">
      <w:pPr>
        <w:ind w:firstLine="709"/>
        <w:contextualSpacing/>
        <w:jc w:val="both"/>
        <w:rPr>
          <w:lang w:eastAsia="en-US"/>
        </w:rPr>
      </w:pPr>
      <w:r w:rsidRPr="00B778A6">
        <w:rPr>
          <w:lang w:eastAsia="en-US"/>
        </w:rPr>
        <w:t>Projekto atitiktis strateginiams dokumentams pateiktas 1.2.1. lentelėje.</w:t>
      </w:r>
    </w:p>
    <w:p w:rsidR="00E73F5A" w:rsidRPr="00B778A6" w:rsidRDefault="00E73F5A" w:rsidP="00E73F5A">
      <w:pPr>
        <w:contextualSpacing/>
        <w:jc w:val="center"/>
        <w:rPr>
          <w:b/>
          <w:lang w:eastAsia="en-US"/>
        </w:rPr>
      </w:pPr>
    </w:p>
    <w:p w:rsidR="00E73F5A" w:rsidRPr="00B778A6" w:rsidRDefault="00E73F5A" w:rsidP="00E73F5A">
      <w:pPr>
        <w:contextualSpacing/>
        <w:jc w:val="center"/>
        <w:rPr>
          <w:b/>
          <w:lang w:eastAsia="en-US"/>
        </w:rPr>
      </w:pPr>
      <w:r w:rsidRPr="00B778A6">
        <w:rPr>
          <w:b/>
          <w:lang w:eastAsia="en-US"/>
        </w:rPr>
        <w:t>1.2.1.1. lentelė. Projekto sąsaja su švietimo srities strateginiais dokumentais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11"/>
        <w:gridCol w:w="5528"/>
      </w:tblGrid>
      <w:tr w:rsidR="00E73F5A" w:rsidRPr="00B778A6" w:rsidTr="006E62B8">
        <w:tc>
          <w:tcPr>
            <w:tcW w:w="4111" w:type="dxa"/>
            <w:shd w:val="clear" w:color="auto" w:fill="D9D9D9"/>
          </w:tcPr>
          <w:p w:rsidR="00E73F5A" w:rsidRPr="00B778A6" w:rsidRDefault="00E73F5A" w:rsidP="00E73F5A">
            <w:pPr>
              <w:contextualSpacing/>
              <w:jc w:val="center"/>
              <w:rPr>
                <w:b/>
                <w:sz w:val="22"/>
                <w:szCs w:val="22"/>
                <w:lang w:eastAsia="en-US"/>
              </w:rPr>
            </w:pPr>
            <w:r w:rsidRPr="00B778A6">
              <w:rPr>
                <w:b/>
                <w:sz w:val="22"/>
                <w:szCs w:val="22"/>
                <w:lang w:eastAsia="en-US"/>
              </w:rPr>
              <w:t>Dokumentas</w:t>
            </w:r>
          </w:p>
        </w:tc>
        <w:tc>
          <w:tcPr>
            <w:tcW w:w="5528" w:type="dxa"/>
            <w:shd w:val="clear" w:color="auto" w:fill="D9D9D9"/>
          </w:tcPr>
          <w:p w:rsidR="00E73F5A" w:rsidRPr="00B778A6" w:rsidRDefault="00E73F5A" w:rsidP="00E73F5A">
            <w:pPr>
              <w:contextualSpacing/>
              <w:jc w:val="center"/>
              <w:rPr>
                <w:b/>
                <w:sz w:val="22"/>
                <w:szCs w:val="22"/>
                <w:lang w:eastAsia="en-US"/>
              </w:rPr>
            </w:pPr>
            <w:r w:rsidRPr="00B778A6">
              <w:rPr>
                <w:b/>
                <w:sz w:val="22"/>
                <w:szCs w:val="22"/>
                <w:lang w:eastAsia="en-US"/>
              </w:rPr>
              <w:t>Projekto atitikimas dokumento krypčiai</w:t>
            </w:r>
          </w:p>
        </w:tc>
      </w:tr>
      <w:tr w:rsidR="00E73F5A" w:rsidRPr="00B778A6" w:rsidTr="006E62B8">
        <w:tc>
          <w:tcPr>
            <w:tcW w:w="4111" w:type="dxa"/>
            <w:shd w:val="clear" w:color="auto" w:fill="auto"/>
          </w:tcPr>
          <w:p w:rsidR="00E73F5A" w:rsidRPr="00B778A6" w:rsidRDefault="00E73F5A" w:rsidP="00E73F5A">
            <w:pPr>
              <w:jc w:val="both"/>
              <w:rPr>
                <w:sz w:val="22"/>
                <w:szCs w:val="22"/>
              </w:rPr>
            </w:pPr>
            <w:r w:rsidRPr="00B778A6">
              <w:rPr>
                <w:sz w:val="22"/>
                <w:szCs w:val="22"/>
              </w:rPr>
              <w:t>Pažangaus, tvaraus ir integracinio augimo strategija „Europa 2020“, Europos Komisija, nuoroda į dokumentą:</w:t>
            </w:r>
          </w:p>
          <w:p w:rsidR="00E73F5A" w:rsidRPr="00B778A6" w:rsidRDefault="0001670F" w:rsidP="00E73F5A">
            <w:pPr>
              <w:contextualSpacing/>
              <w:jc w:val="both"/>
              <w:rPr>
                <w:sz w:val="22"/>
                <w:szCs w:val="22"/>
                <w:lang w:eastAsia="en-US"/>
              </w:rPr>
            </w:pPr>
            <w:hyperlink r:id="rId13" w:history="1">
              <w:r w:rsidR="00E73F5A" w:rsidRPr="00B778A6">
                <w:rPr>
                  <w:sz w:val="22"/>
                  <w:szCs w:val="22"/>
                  <w:u w:val="single"/>
                  <w:lang w:eastAsia="en-US"/>
                </w:rPr>
                <w:t>http://ec.europa.eu/europe2020/europe-2020-in-a-nutshell/targets/index_lt.htm</w:t>
              </w:r>
            </w:hyperlink>
            <w:r w:rsidR="00E73F5A" w:rsidRPr="00B778A6">
              <w:rPr>
                <w:sz w:val="22"/>
                <w:szCs w:val="22"/>
                <w:lang w:eastAsia="en-US"/>
              </w:rPr>
              <w:t xml:space="preserve"> </w:t>
            </w:r>
          </w:p>
        </w:tc>
        <w:tc>
          <w:tcPr>
            <w:tcW w:w="5528" w:type="dxa"/>
            <w:shd w:val="clear" w:color="auto" w:fill="auto"/>
          </w:tcPr>
          <w:p w:rsidR="00E73F5A" w:rsidRPr="00B778A6" w:rsidRDefault="00E73F5A" w:rsidP="00E73F5A">
            <w:pPr>
              <w:contextualSpacing/>
              <w:jc w:val="both"/>
              <w:rPr>
                <w:sz w:val="22"/>
                <w:szCs w:val="22"/>
                <w:lang w:eastAsia="en-US"/>
              </w:rPr>
            </w:pPr>
            <w:r w:rsidRPr="00B778A6">
              <w:rPr>
                <w:sz w:val="22"/>
                <w:szCs w:val="22"/>
                <w:lang w:eastAsia="en-US"/>
              </w:rPr>
              <w:t>„Europa 2020“ – tai ES ekonomikos augimo strategija, kurią užsibrėžta įgyvendinti iki 2020 m. Strategijoje numatyti penki dideli tikslai užimtumo, inovacijų, švietimo, socialinės įtraukties, klimato ir energetikos srityse. Akcentuojama iniciatyva – judus jaunimas. Siekiama skatinti neformalių ir savišvietos būdu įgytų kvalifikacijų pripažinimą. Nacionaliniu lygmeniu valstybės narės turi užtikrinti deramas investicijas į švietimo ir mokymo sistemas visais lygmenimis (nuo darželių iki aukštųjų mokyklų).</w:t>
            </w:r>
          </w:p>
        </w:tc>
      </w:tr>
      <w:tr w:rsidR="00E73F5A" w:rsidRPr="00B778A6" w:rsidTr="006E62B8">
        <w:tc>
          <w:tcPr>
            <w:tcW w:w="4111" w:type="dxa"/>
            <w:shd w:val="clear" w:color="auto" w:fill="auto"/>
          </w:tcPr>
          <w:p w:rsidR="00E73F5A" w:rsidRPr="00B778A6" w:rsidRDefault="00E73F5A" w:rsidP="00E73F5A">
            <w:pPr>
              <w:contextualSpacing/>
              <w:jc w:val="both"/>
              <w:rPr>
                <w:sz w:val="22"/>
                <w:szCs w:val="22"/>
                <w:lang w:eastAsia="en-US"/>
              </w:rPr>
            </w:pPr>
            <w:r w:rsidRPr="00B778A6">
              <w:rPr>
                <w:sz w:val="22"/>
                <w:szCs w:val="22"/>
                <w:lang w:eastAsia="en-US"/>
              </w:rPr>
              <w:t xml:space="preserve">Lietuvos pažangos strategija „Lietuva 2030“, patvirtinta Lietuvos Respublikos Seimo 2012 m. gegužės 15 d. nutarimu Nr. XI- 2015, „Dėl valstybės pažangos strategijos „Lietuvos pažangos strategija „Lietuva 2030“ patvirtinimo“, nuoroda į dokumentą: </w:t>
            </w:r>
            <w:hyperlink r:id="rId14" w:history="1">
              <w:r w:rsidRPr="00B778A6">
                <w:rPr>
                  <w:sz w:val="22"/>
                  <w:szCs w:val="22"/>
                  <w:u w:val="single"/>
                  <w:lang w:eastAsia="en-US"/>
                </w:rPr>
                <w:t>https://www.e-tar.lt/portal/ lt/legalAct/TAR.5EE74F9648A5</w:t>
              </w:r>
            </w:hyperlink>
          </w:p>
        </w:tc>
        <w:tc>
          <w:tcPr>
            <w:tcW w:w="5528" w:type="dxa"/>
            <w:shd w:val="clear" w:color="auto" w:fill="auto"/>
          </w:tcPr>
          <w:p w:rsidR="00E73F5A" w:rsidRPr="00B778A6" w:rsidRDefault="00E73F5A" w:rsidP="00E73F5A">
            <w:pPr>
              <w:contextualSpacing/>
              <w:jc w:val="both"/>
              <w:rPr>
                <w:sz w:val="22"/>
                <w:szCs w:val="22"/>
                <w:lang w:eastAsia="en-US"/>
              </w:rPr>
            </w:pPr>
            <w:r w:rsidRPr="00B778A6">
              <w:rPr>
                <w:sz w:val="22"/>
                <w:szCs w:val="22"/>
                <w:lang w:eastAsia="en-US"/>
              </w:rPr>
              <w:t xml:space="preserve">Strategijoje išskirta viena iš krypčių „Sumani visuomenė“. Esminės pokyčių iniciatyvos šioje srityje: </w:t>
            </w:r>
          </w:p>
          <w:p w:rsidR="00E73F5A" w:rsidRPr="00B778A6" w:rsidRDefault="00E73F5A" w:rsidP="00E73F5A">
            <w:pPr>
              <w:numPr>
                <w:ilvl w:val="0"/>
                <w:numId w:val="2"/>
              </w:numPr>
              <w:ind w:left="318" w:hanging="284"/>
              <w:jc w:val="both"/>
              <w:rPr>
                <w:sz w:val="22"/>
                <w:szCs w:val="22"/>
              </w:rPr>
            </w:pPr>
            <w:r w:rsidRPr="00B778A6">
              <w:rPr>
                <w:sz w:val="22"/>
                <w:szCs w:val="22"/>
              </w:rPr>
              <w:t xml:space="preserve">Sudaryti palankias sąlygas derinti šeimos ir darbo įsipareigojimus: užtikrinti vaikų priežiūros ikimokyklinėse įstaigose prieinamumą, išplėtoti popamokinio užimtumo ir bendruomenės centrų veiklą, sudaryti galimybes pasirinkti lankstų darbo grafiką. </w:t>
            </w:r>
          </w:p>
        </w:tc>
      </w:tr>
      <w:tr w:rsidR="00E73F5A" w:rsidRPr="00B778A6" w:rsidTr="006E62B8">
        <w:tc>
          <w:tcPr>
            <w:tcW w:w="4111" w:type="dxa"/>
            <w:shd w:val="clear" w:color="auto" w:fill="auto"/>
          </w:tcPr>
          <w:p w:rsidR="00E73F5A" w:rsidRPr="00B778A6" w:rsidRDefault="00E73F5A" w:rsidP="00E73F5A">
            <w:pPr>
              <w:contextualSpacing/>
              <w:jc w:val="both"/>
              <w:rPr>
                <w:sz w:val="22"/>
                <w:szCs w:val="22"/>
                <w:lang w:eastAsia="en-US"/>
              </w:rPr>
            </w:pPr>
            <w:r w:rsidRPr="00B778A6">
              <w:rPr>
                <w:sz w:val="22"/>
                <w:szCs w:val="22"/>
                <w:lang w:eastAsia="en-US"/>
              </w:rPr>
              <w:t xml:space="preserve">2014-2020 m. Nacionalinė pažangos programa, patvirtinta Lietuvos Respublikos Vyriausybės 2012 m. lapkričio 28 d. nutarimu Nr. 1482 „Dėl 2014–2020 metų nacionalinės pažangos programos patvirtinimo“, nuoroda į dokumentą: </w:t>
            </w:r>
            <w:hyperlink r:id="rId15" w:history="1">
              <w:r w:rsidRPr="00B778A6">
                <w:rPr>
                  <w:sz w:val="22"/>
                  <w:szCs w:val="22"/>
                  <w:u w:val="single"/>
                  <w:lang w:eastAsia="en-US"/>
                </w:rPr>
                <w:t>https://www.e-tar.lt/portal/lt/legalAct/TAR. 31A566B1512D/OKkwPNbfzS</w:t>
              </w:r>
            </w:hyperlink>
            <w:r w:rsidRPr="00B778A6">
              <w:rPr>
                <w:sz w:val="22"/>
                <w:szCs w:val="22"/>
                <w:lang w:eastAsia="en-US"/>
              </w:rPr>
              <w:t xml:space="preserve"> </w:t>
            </w:r>
          </w:p>
        </w:tc>
        <w:tc>
          <w:tcPr>
            <w:tcW w:w="5528" w:type="dxa"/>
            <w:shd w:val="clear" w:color="auto" w:fill="auto"/>
          </w:tcPr>
          <w:p w:rsidR="00E73F5A" w:rsidRPr="00B778A6" w:rsidRDefault="00E73F5A" w:rsidP="00E73F5A">
            <w:pPr>
              <w:jc w:val="both"/>
              <w:rPr>
                <w:bCs/>
                <w:sz w:val="22"/>
                <w:szCs w:val="22"/>
              </w:rPr>
            </w:pPr>
            <w:r w:rsidRPr="00B778A6">
              <w:rPr>
                <w:bCs/>
                <w:sz w:val="22"/>
                <w:szCs w:val="22"/>
              </w:rPr>
              <w:t>Programoje numatyta:</w:t>
            </w:r>
          </w:p>
          <w:p w:rsidR="00E73F5A" w:rsidRPr="00B778A6" w:rsidRDefault="00E73F5A" w:rsidP="00E73F5A">
            <w:pPr>
              <w:jc w:val="both"/>
              <w:rPr>
                <w:sz w:val="22"/>
                <w:szCs w:val="22"/>
              </w:rPr>
            </w:pPr>
            <w:r w:rsidRPr="00B778A6">
              <w:rPr>
                <w:bCs/>
                <w:sz w:val="22"/>
                <w:szCs w:val="22"/>
              </w:rPr>
              <w:t>1 prioriteto „Visuomenės ugdymas, mokslas ir kultūra“</w:t>
            </w:r>
            <w:r w:rsidRPr="00B778A6">
              <w:rPr>
                <w:sz w:val="22"/>
                <w:szCs w:val="22"/>
              </w:rPr>
              <w:t xml:space="preserve"> 1.1. tikslo „Skatinti mokytis visą gyvenimą“ 1.1.1. uždavinio „Gerinti švietimo kokybę“ įgyvendinimo kryptis „Modernizuoti švietimo įstaigų ir aukštųjų mokyklų infrastruktūrą, mokymosi ir ugdymo aplinką, diegti pažangias informacines ir kitas technologijas“.</w:t>
            </w:r>
          </w:p>
        </w:tc>
      </w:tr>
      <w:tr w:rsidR="00E73F5A" w:rsidRPr="00B778A6" w:rsidTr="006E62B8">
        <w:tc>
          <w:tcPr>
            <w:tcW w:w="4111" w:type="dxa"/>
            <w:shd w:val="clear" w:color="auto" w:fill="auto"/>
          </w:tcPr>
          <w:p w:rsidR="00E73F5A" w:rsidRPr="00B778A6" w:rsidRDefault="00E73F5A" w:rsidP="00E73F5A">
            <w:pPr>
              <w:contextualSpacing/>
              <w:jc w:val="both"/>
              <w:rPr>
                <w:sz w:val="22"/>
                <w:szCs w:val="22"/>
                <w:lang w:eastAsia="en-US"/>
              </w:rPr>
            </w:pPr>
            <w:r w:rsidRPr="00B778A6">
              <w:rPr>
                <w:sz w:val="22"/>
                <w:szCs w:val="22"/>
                <w:lang w:eastAsia="en-US"/>
              </w:rPr>
              <w:t xml:space="preserve">2014-2020 metų Europos Sąjungos fondų investicijų veiksmų programa, 2014-09-08 d. patvirtinta Europos Komisijos, nuoroda į dokumentą: </w:t>
            </w:r>
            <w:hyperlink w:history="1">
              <w:r w:rsidRPr="00B778A6">
                <w:rPr>
                  <w:sz w:val="22"/>
                  <w:szCs w:val="22"/>
                  <w:u w:val="single"/>
                  <w:lang w:eastAsia="en-US"/>
                </w:rPr>
                <w:t>http://www.esinvesticijos.lt /lt/dokumentai/2014-2020-metu-europos-sajungos-fondu-investiciju-veiksmu-programa</w:t>
              </w:r>
            </w:hyperlink>
          </w:p>
        </w:tc>
        <w:tc>
          <w:tcPr>
            <w:tcW w:w="5528" w:type="dxa"/>
            <w:shd w:val="clear" w:color="auto" w:fill="auto"/>
          </w:tcPr>
          <w:p w:rsidR="00E73F5A" w:rsidRPr="00B778A6" w:rsidRDefault="00E73F5A" w:rsidP="00E73F5A">
            <w:pPr>
              <w:jc w:val="both"/>
              <w:rPr>
                <w:sz w:val="22"/>
                <w:szCs w:val="22"/>
                <w:lang w:eastAsia="en-US"/>
              </w:rPr>
            </w:pPr>
            <w:r w:rsidRPr="00B778A6">
              <w:rPr>
                <w:sz w:val="22"/>
                <w:szCs w:val="22"/>
                <w:lang w:eastAsia="en-US"/>
              </w:rPr>
              <w:t xml:space="preserve">2014-2020 m. Europos Sąjungos fondų investicijų veiksmų programoje išskirta: </w:t>
            </w:r>
          </w:p>
          <w:p w:rsidR="00E73F5A" w:rsidRPr="00B778A6" w:rsidRDefault="00E73F5A" w:rsidP="00E73F5A">
            <w:pPr>
              <w:numPr>
                <w:ilvl w:val="0"/>
                <w:numId w:val="2"/>
              </w:numPr>
              <w:ind w:left="318" w:hanging="284"/>
              <w:jc w:val="both"/>
              <w:rPr>
                <w:sz w:val="22"/>
                <w:szCs w:val="22"/>
              </w:rPr>
            </w:pPr>
            <w:r w:rsidRPr="00B778A6">
              <w:rPr>
                <w:sz w:val="22"/>
                <w:szCs w:val="22"/>
              </w:rPr>
              <w:t xml:space="preserve">9 prioriteto „Visuomenės švietimas ir žmogiškųjų išteklių potencialo didinimas“ 9.1. investicinio prioriteto „Investicijos į švietimą, profesinį mokymą, skirtos švietimo ir mokymo infrastruktūrai tobulinti, siekiant suteikti įgūdžių ir užtikrinti mokymosi visą gyvenimą galimybę“ 9.1.3. konkretus uždavinys „Padidinti bendrojo ugdymo ir neformaliojo švietimo įstaigų (ypač </w:t>
            </w:r>
            <w:r w:rsidRPr="00B778A6">
              <w:rPr>
                <w:sz w:val="22"/>
                <w:szCs w:val="22"/>
              </w:rPr>
              <w:lastRenderedPageBreak/>
              <w:t>vykdančių ikimokyklinio ir priešmokyklinio ugdymo programas) tinklo veiklos efektyvumą“.</w:t>
            </w:r>
          </w:p>
        </w:tc>
      </w:tr>
      <w:tr w:rsidR="00E73F5A" w:rsidRPr="00B778A6" w:rsidTr="006E62B8">
        <w:tc>
          <w:tcPr>
            <w:tcW w:w="4111" w:type="dxa"/>
            <w:shd w:val="clear" w:color="auto" w:fill="auto"/>
          </w:tcPr>
          <w:p w:rsidR="00E73F5A" w:rsidRPr="00B778A6" w:rsidRDefault="00E73F5A" w:rsidP="00E73F5A">
            <w:pPr>
              <w:autoSpaceDE w:val="0"/>
              <w:autoSpaceDN w:val="0"/>
              <w:adjustRightInd w:val="0"/>
              <w:jc w:val="both"/>
              <w:rPr>
                <w:rFonts w:eastAsia="Times New Roman"/>
                <w:bCs/>
                <w:sz w:val="22"/>
                <w:szCs w:val="22"/>
              </w:rPr>
            </w:pPr>
            <w:r w:rsidRPr="00B778A6">
              <w:rPr>
                <w:rFonts w:eastAsia="Times New Roman"/>
                <w:bCs/>
                <w:sz w:val="22"/>
                <w:szCs w:val="22"/>
              </w:rPr>
              <w:lastRenderedPageBreak/>
              <w:t xml:space="preserve">Valstybinė švietimo 2013–2022 metų strategija, patvirtinta Lietuvos Respublikos Seimo 2013 m. gruodžio 23 d. nutarimu Nr. XII-745 „Dėl valstybinės švietimo 2013–2022 metų strategijos patvirtinimo“, </w:t>
            </w:r>
            <w:r w:rsidRPr="00B778A6">
              <w:rPr>
                <w:rFonts w:eastAsia="Times New Roman"/>
                <w:sz w:val="22"/>
                <w:szCs w:val="22"/>
              </w:rPr>
              <w:t xml:space="preserve">nuoroda į dokumentą: </w:t>
            </w:r>
            <w:hyperlink r:id="rId16" w:history="1">
              <w:r w:rsidRPr="00B778A6">
                <w:rPr>
                  <w:rFonts w:eastAsia="Times New Roman"/>
                  <w:sz w:val="22"/>
                  <w:szCs w:val="22"/>
                  <w:u w:val="single"/>
                </w:rPr>
                <w:t>https://www.e-tar.lt/portal/legalAct.html?documentId=b1fb6cc089d911e397b5c02d3197f382</w:t>
              </w:r>
            </w:hyperlink>
            <w:r w:rsidRPr="00B778A6">
              <w:rPr>
                <w:rFonts w:eastAsia="Times New Roman"/>
                <w:sz w:val="22"/>
                <w:szCs w:val="22"/>
              </w:rPr>
              <w:t xml:space="preserve"> </w:t>
            </w:r>
          </w:p>
        </w:tc>
        <w:tc>
          <w:tcPr>
            <w:tcW w:w="5528" w:type="dxa"/>
            <w:shd w:val="clear" w:color="auto" w:fill="auto"/>
          </w:tcPr>
          <w:p w:rsidR="00E73F5A" w:rsidRPr="00B778A6" w:rsidRDefault="00E73F5A" w:rsidP="00E73F5A">
            <w:pPr>
              <w:autoSpaceDE w:val="0"/>
              <w:autoSpaceDN w:val="0"/>
              <w:adjustRightInd w:val="0"/>
              <w:jc w:val="both"/>
              <w:rPr>
                <w:rFonts w:eastAsia="Times New Roman"/>
                <w:sz w:val="22"/>
                <w:szCs w:val="22"/>
              </w:rPr>
            </w:pPr>
            <w:r w:rsidRPr="00B778A6">
              <w:rPr>
                <w:rFonts w:eastAsia="Times New Roman"/>
                <w:sz w:val="22"/>
                <w:szCs w:val="22"/>
              </w:rPr>
              <w:t>Strategijoje nurodyta, kad vaikai turi per mažai galimybių naudotis instituciniu ikimokykliniu ugdymu. Būtina turtinti mokymosi, praktinio taikymo aplinką mokyklose, plėsti neformaliojo švietimo mokyklų spektrą ir visų mokyklų veiklos įvairovę, ypač kultūrinės saviraiškos, lyderystės, kūrybingumo, verslumo, profesinių gebėjimų ugdymo galimybes, paramą savanorystės iniciatyvoms, kartu organizuojant reguliarų dialogą dėl plėtros prioritetų.</w:t>
            </w:r>
          </w:p>
        </w:tc>
      </w:tr>
      <w:tr w:rsidR="00E73F5A" w:rsidRPr="00B778A6" w:rsidTr="006E62B8">
        <w:tc>
          <w:tcPr>
            <w:tcW w:w="4111" w:type="dxa"/>
            <w:shd w:val="clear" w:color="auto" w:fill="auto"/>
          </w:tcPr>
          <w:p w:rsidR="00E73F5A" w:rsidRPr="00B778A6" w:rsidRDefault="00E73F5A" w:rsidP="00E73F5A">
            <w:pPr>
              <w:contextualSpacing/>
              <w:jc w:val="both"/>
              <w:rPr>
                <w:sz w:val="22"/>
                <w:szCs w:val="22"/>
                <w:lang w:eastAsia="en-US"/>
              </w:rPr>
            </w:pPr>
            <w:r w:rsidRPr="00B778A6">
              <w:rPr>
                <w:sz w:val="22"/>
                <w:szCs w:val="22"/>
                <w:lang w:eastAsia="en-US"/>
              </w:rPr>
              <w:t xml:space="preserve">Kauno regiono plėtros planas iki 2020 metų, patvirtintas 2010 m. gegužės 25 d. Kauno regiono plėtros tarybos sprendimu Nr. 1, nuoroda į dokumentą: </w:t>
            </w:r>
            <w:r w:rsidRPr="00B778A6">
              <w:rPr>
                <w:sz w:val="22"/>
                <w:szCs w:val="22"/>
                <w:u w:val="single"/>
                <w:lang w:eastAsia="en-US"/>
              </w:rPr>
              <w:t>http://www.lietuvosregionai.lt/lt/8/regiono-pletros-planas-175;51;284;285.html</w:t>
            </w:r>
            <w:r w:rsidRPr="00B778A6">
              <w:rPr>
                <w:sz w:val="22"/>
                <w:szCs w:val="22"/>
                <w:lang w:eastAsia="en-US"/>
              </w:rPr>
              <w:t xml:space="preserve"> </w:t>
            </w:r>
          </w:p>
          <w:p w:rsidR="00E73F5A" w:rsidRPr="00B778A6" w:rsidRDefault="00E73F5A" w:rsidP="00E73F5A">
            <w:pPr>
              <w:contextualSpacing/>
              <w:jc w:val="both"/>
              <w:rPr>
                <w:sz w:val="22"/>
                <w:szCs w:val="22"/>
                <w:lang w:eastAsia="en-US"/>
              </w:rPr>
            </w:pPr>
            <w:r w:rsidRPr="00B778A6">
              <w:rPr>
                <w:sz w:val="22"/>
                <w:szCs w:val="22"/>
                <w:lang w:eastAsia="en-US"/>
              </w:rPr>
              <w:t xml:space="preserve"> </w:t>
            </w:r>
          </w:p>
        </w:tc>
        <w:tc>
          <w:tcPr>
            <w:tcW w:w="5528" w:type="dxa"/>
            <w:shd w:val="clear" w:color="auto" w:fill="auto"/>
          </w:tcPr>
          <w:p w:rsidR="00E73F5A" w:rsidRPr="00B778A6" w:rsidRDefault="00E73F5A" w:rsidP="00E73F5A">
            <w:pPr>
              <w:contextualSpacing/>
              <w:jc w:val="both"/>
              <w:rPr>
                <w:sz w:val="22"/>
                <w:szCs w:val="22"/>
                <w:lang w:eastAsia="en-US"/>
              </w:rPr>
            </w:pPr>
            <w:r w:rsidRPr="00B778A6">
              <w:rPr>
                <w:sz w:val="22"/>
                <w:szCs w:val="22"/>
                <w:lang w:eastAsia="en-US"/>
              </w:rPr>
              <w:t>Projektas atitinka plano 2 prioriteto „Gyvenimo kokybė“ 2.1. tikslo „Vystyti subalansuotą mokymosi sistemą“ 2.2.2. uždavinio „Renovuoti ir modernizuoti švietimo, ugdymo įstaigas ir jų infrastruktūrą“ 2.2.2.2 priemonės „Švietimo įstaigų pastatų statyba, renovacija ir modernizacija bei jų infrastruktūros plėtra“ 2.2.2.2.27 veiklą „Prienų lopšelio-darželio „Saulutė“ modernizavimas didinant paslaugų prieinamumą“.</w:t>
            </w:r>
          </w:p>
        </w:tc>
      </w:tr>
      <w:tr w:rsidR="00E73F5A" w:rsidRPr="00B778A6" w:rsidTr="006E62B8">
        <w:tc>
          <w:tcPr>
            <w:tcW w:w="4111" w:type="dxa"/>
            <w:shd w:val="clear" w:color="auto" w:fill="auto"/>
          </w:tcPr>
          <w:p w:rsidR="00E73F5A" w:rsidRPr="00B778A6" w:rsidRDefault="00E73F5A" w:rsidP="002646D3">
            <w:pPr>
              <w:contextualSpacing/>
              <w:jc w:val="both"/>
              <w:rPr>
                <w:sz w:val="22"/>
                <w:szCs w:val="22"/>
                <w:u w:val="single"/>
                <w:lang w:eastAsia="en-US"/>
              </w:rPr>
            </w:pPr>
            <w:r w:rsidRPr="00B778A6">
              <w:rPr>
                <w:sz w:val="22"/>
                <w:szCs w:val="22"/>
                <w:lang w:eastAsia="en-US"/>
              </w:rPr>
              <w:t xml:space="preserve">Prienų rajono savivaldybės strateginis plėtros planas iki 2028 metų, Prienų rajono </w:t>
            </w:r>
            <w:r w:rsidRPr="009A7E68">
              <w:rPr>
                <w:color w:val="000000"/>
                <w:sz w:val="22"/>
                <w:szCs w:val="22"/>
                <w:lang w:eastAsia="en-US"/>
              </w:rPr>
              <w:t xml:space="preserve">savivaldybės tarybos, 2020 m. sausio 30 d. sprendimu Nr. T3-1, nuoroda į dokumentą: </w:t>
            </w:r>
            <w:r w:rsidRPr="009A7E68">
              <w:rPr>
                <w:color w:val="000000"/>
                <w:sz w:val="22"/>
                <w:szCs w:val="22"/>
                <w:u w:val="single"/>
                <w:lang w:eastAsia="en-US"/>
              </w:rPr>
              <w:t xml:space="preserve"> </w:t>
            </w:r>
            <w:hyperlink r:id="rId17" w:history="1">
              <w:r w:rsidRPr="009A7E68">
                <w:rPr>
                  <w:rStyle w:val="Hyperlink"/>
                  <w:color w:val="000000"/>
                  <w:sz w:val="22"/>
                  <w:szCs w:val="22"/>
                  <w:lang w:eastAsia="en-US"/>
                </w:rPr>
                <w:t>https://e-seimas.lrs.lt/portal/legalAct/lt/TAD/d57a6e70436511ea983cd4e02103c255?jfwid=-9dzqnu7ek</w:t>
              </w:r>
            </w:hyperlink>
            <w:r w:rsidRPr="00B778A6">
              <w:rPr>
                <w:sz w:val="22"/>
                <w:szCs w:val="22"/>
                <w:lang w:eastAsia="en-US"/>
              </w:rPr>
              <w:t xml:space="preserve"> </w:t>
            </w:r>
          </w:p>
        </w:tc>
        <w:tc>
          <w:tcPr>
            <w:tcW w:w="5528" w:type="dxa"/>
            <w:shd w:val="clear" w:color="auto" w:fill="auto"/>
          </w:tcPr>
          <w:p w:rsidR="00E73F5A" w:rsidRPr="00B778A6" w:rsidRDefault="00E73F5A" w:rsidP="00B778A6">
            <w:pPr>
              <w:contextualSpacing/>
              <w:jc w:val="both"/>
              <w:rPr>
                <w:sz w:val="22"/>
                <w:szCs w:val="22"/>
                <w:lang w:eastAsia="en-US"/>
              </w:rPr>
            </w:pPr>
            <w:r w:rsidRPr="00B778A6">
              <w:rPr>
                <w:sz w:val="22"/>
                <w:szCs w:val="22"/>
                <w:lang w:eastAsia="en-US"/>
              </w:rPr>
              <w:t>Projektas atitinka plano II prioriteto „Išsilavinusios, sveikos ir pažangios bendruomenės plėtra“ 2.2. tikslo „Kurti efektyvią švietimo sistemą bei sudaryti sąlygas vertingam jauno žmogaus gyvenimui ir saviraiškai Prienų rajone“ 2.2.1 uždavinio „Gerinti švietimo paslaugų kokybę ir prieinamumą, skatinti „mokymąsi visą gyvenimą“ 2.2.1.</w:t>
            </w:r>
            <w:r w:rsidR="00244099" w:rsidRPr="00B778A6">
              <w:rPr>
                <w:sz w:val="22"/>
                <w:szCs w:val="22"/>
                <w:lang w:eastAsia="en-US"/>
              </w:rPr>
              <w:t>2</w:t>
            </w:r>
            <w:r w:rsidRPr="00B778A6">
              <w:rPr>
                <w:sz w:val="22"/>
                <w:szCs w:val="22"/>
                <w:lang w:eastAsia="en-US"/>
              </w:rPr>
              <w:t>. veiksmą „</w:t>
            </w:r>
            <w:r w:rsidR="00244099" w:rsidRPr="00B778A6">
              <w:rPr>
                <w:sz w:val="22"/>
                <w:szCs w:val="22"/>
                <w:lang w:eastAsia="en-US"/>
              </w:rPr>
              <w:t>Prienų rajono ikimokyklinio ir bendrojo ugdymo įstaigų modernizavimas, siekiant gerinti ugdymo(si) paslaugų kokybę</w:t>
            </w:r>
            <w:r w:rsidRPr="00B778A6">
              <w:rPr>
                <w:sz w:val="22"/>
                <w:szCs w:val="22"/>
                <w:lang w:eastAsia="en-US"/>
              </w:rPr>
              <w:t>“.</w:t>
            </w:r>
          </w:p>
        </w:tc>
      </w:tr>
    </w:tbl>
    <w:p w:rsidR="00E73F5A" w:rsidRPr="00B778A6" w:rsidRDefault="00E73F5A" w:rsidP="00E73F5A">
      <w:pPr>
        <w:contextualSpacing/>
        <w:jc w:val="center"/>
        <w:rPr>
          <w:lang w:eastAsia="en-US"/>
        </w:rPr>
      </w:pPr>
      <w:r w:rsidRPr="00B778A6">
        <w:rPr>
          <w:i/>
          <w:sz w:val="20"/>
          <w:szCs w:val="20"/>
          <w:lang w:eastAsia="en-US"/>
        </w:rPr>
        <w:t>Šaltinis:</w:t>
      </w:r>
      <w:r w:rsidRPr="00B778A6">
        <w:rPr>
          <w:szCs w:val="20"/>
          <w:lang w:eastAsia="en-US"/>
        </w:rPr>
        <w:t xml:space="preserve"> </w:t>
      </w:r>
      <w:r w:rsidRPr="00B778A6">
        <w:rPr>
          <w:i/>
          <w:sz w:val="20"/>
          <w:szCs w:val="20"/>
          <w:lang w:eastAsia="en-US"/>
        </w:rPr>
        <w:t>sudaryta</w:t>
      </w:r>
      <w:r w:rsidRPr="00B778A6">
        <w:rPr>
          <w:szCs w:val="20"/>
          <w:lang w:eastAsia="en-US"/>
        </w:rPr>
        <w:t xml:space="preserve"> </w:t>
      </w:r>
      <w:r w:rsidRPr="00B778A6">
        <w:rPr>
          <w:i/>
          <w:sz w:val="20"/>
          <w:szCs w:val="20"/>
          <w:lang w:eastAsia="en-US"/>
        </w:rPr>
        <w:t>autorių</w:t>
      </w:r>
    </w:p>
    <w:p w:rsidR="00E73F5A" w:rsidRPr="00B778A6" w:rsidRDefault="00E73F5A" w:rsidP="00E73F5A">
      <w:pPr>
        <w:jc w:val="both"/>
        <w:rPr>
          <w:b/>
        </w:rPr>
      </w:pPr>
    </w:p>
    <w:p w:rsidR="00E73F5A" w:rsidRPr="00B778A6" w:rsidRDefault="00E73F5A" w:rsidP="00B778A6">
      <w:pPr>
        <w:pStyle w:val="Heading3"/>
        <w:rPr>
          <w:lang w:eastAsia="en-US"/>
        </w:rPr>
      </w:pPr>
      <w:r w:rsidRPr="00B778A6">
        <w:rPr>
          <w:lang w:val="lt-LT" w:eastAsia="en-US"/>
        </w:rPr>
        <w:t>1.2.</w:t>
      </w:r>
      <w:r w:rsidR="00244099" w:rsidRPr="00B778A6">
        <w:rPr>
          <w:lang w:val="lt-LT" w:eastAsia="en-US"/>
        </w:rPr>
        <w:t>2</w:t>
      </w:r>
      <w:r w:rsidRPr="00B778A6">
        <w:rPr>
          <w:lang w:val="lt-LT" w:eastAsia="en-US"/>
        </w:rPr>
        <w:t>. Energetika</w:t>
      </w:r>
    </w:p>
    <w:p w:rsidR="00E73F5A" w:rsidRPr="00B778A6" w:rsidRDefault="00E73F5A" w:rsidP="00CD70A8">
      <w:pPr>
        <w:ind w:firstLine="709"/>
        <w:jc w:val="both"/>
        <w:rPr>
          <w:lang w:eastAsia="en-US"/>
        </w:rPr>
      </w:pPr>
    </w:p>
    <w:p w:rsidR="00545765" w:rsidRPr="00B778A6" w:rsidRDefault="00545765" w:rsidP="00CD70A8">
      <w:pPr>
        <w:ind w:firstLine="709"/>
        <w:jc w:val="both"/>
      </w:pPr>
      <w:r w:rsidRPr="00B778A6">
        <w:rPr>
          <w:lang w:eastAsia="en-US"/>
        </w:rPr>
        <w:t>Ekonomikos augimui užtikrinti būtinas darnus (tausojantis) išteklių naudojimas. Lietuvoje sudarytos teisinės ir ekonominės sąlygos, skatinančios tausojantį išteklių naudojimą ir apsaugą, poveikio aplinkai mažinimą, energijos efektyvumo ir atsinaujinančių energijos išteklių naudojimo didinimą, tačiau aplinkos kokybė dar neatitinka darnaus vystymosi reikalavimų. Įgyvendinant šį tikslą, siekiama skatinti „žaliąjį“ ekonominį augimą, kuris darytų kuo mažesnį neigiamą poveikį aplinkai ir žmonių sveikatai, – spręsti su darniu išteklių naudojimu susijusias problemas.</w:t>
      </w:r>
    </w:p>
    <w:p w:rsidR="005136A9" w:rsidRPr="00B778A6" w:rsidRDefault="005136A9" w:rsidP="00CD70A8">
      <w:pPr>
        <w:ind w:firstLine="709"/>
        <w:jc w:val="both"/>
      </w:pPr>
    </w:p>
    <w:p w:rsidR="00672F12" w:rsidRPr="00B778A6" w:rsidRDefault="00672F12" w:rsidP="00672F12">
      <w:pPr>
        <w:jc w:val="both"/>
        <w:rPr>
          <w:b/>
        </w:rPr>
      </w:pPr>
      <w:r w:rsidRPr="00B778A6">
        <w:rPr>
          <w:b/>
        </w:rPr>
        <w:t xml:space="preserve">Teisės aktai, reglamentuojantys energijos </w:t>
      </w:r>
      <w:r w:rsidR="00B064B2" w:rsidRPr="00B778A6">
        <w:rPr>
          <w:b/>
        </w:rPr>
        <w:t>taupymo sritį</w:t>
      </w:r>
    </w:p>
    <w:p w:rsidR="00672F12" w:rsidRPr="00B778A6" w:rsidRDefault="00B064B2" w:rsidP="00CD70A8">
      <w:pPr>
        <w:ind w:firstLine="709"/>
        <w:jc w:val="both"/>
      </w:pPr>
      <w:r w:rsidRPr="00B778A6">
        <w:rPr>
          <w:i/>
        </w:rPr>
        <w:t>Europos Parlamento ir Tarybos direktyva 2012/27/ES</w:t>
      </w:r>
      <w:r w:rsidRPr="00B778A6">
        <w:t xml:space="preserve">. 2012 m. spalio 25 d. Europos Parlamento ir Tarybos direktyvos 2012/27/ES dėl energijos vartojimo efektyvumo, kuria iš dalies keičiamos direktyvos 2009/125/EB ir 2010/30/ES bei kuria panaikinamos direktyvos 2004/8/EB ir 2006/32/EB (OL 2012 L 315, p. 1) (toliau – Direktyva), kurioje nustatyta bendra energijos vartojimo efektyvumo skatinimo Europos Sąjungoje priemonių sistema, siekiant užtikrinti, kad 2020 metais būtų pasiektas Europos Sąjungos valstybėse narėse 20 procentų energijos vartojimo efektyvumo tikslas ir sudarytos sąlygos toliau didinti energijos vartojimo efektyvumą; vadovaujantis Direktyvos 5 straipsnio nuostatomis, kiekviena valstybė narė privalo užtikrinti, kad nuo 2014 m. sausio 1 d. kasmet būtų renovuojama 3 procentai bendro valstybės subjektams priklausančių ir jų naudojamų šildomų ir (arba) vėsinamų viešųjų pastatų patalpų ploto, kad būtų įvykdyti bent minimalūs pastatų energinio naudingumo reikalavimai, kaip jie nustatyti pagal 2010 </w:t>
      </w:r>
      <w:r w:rsidRPr="00B778A6">
        <w:lastRenderedPageBreak/>
        <w:t xml:space="preserve">m. gegužės 19 d. Europos Parlamento ir Tarybos direktyvos 2010/31/ES dėl pastatų energinio naudingumo (OL 2010 L 153, p. 13) </w:t>
      </w:r>
      <w:r w:rsidR="00CF0A0A" w:rsidRPr="00B778A6">
        <w:t>4 straipsnį.</w:t>
      </w:r>
    </w:p>
    <w:p w:rsidR="005136A9" w:rsidRPr="00B778A6" w:rsidRDefault="004E203E" w:rsidP="00CD70A8">
      <w:pPr>
        <w:ind w:firstLine="709"/>
        <w:jc w:val="both"/>
      </w:pPr>
      <w:r w:rsidRPr="00B778A6">
        <w:rPr>
          <w:i/>
        </w:rPr>
        <w:t>2014–2020 metų nacionalinės pažangos programa (</w:t>
      </w:r>
      <w:r w:rsidRPr="00B778A6">
        <w:t xml:space="preserve">patvirtinta </w:t>
      </w:r>
      <w:r w:rsidRPr="00B778A6">
        <w:rPr>
          <w:i/>
        </w:rPr>
        <w:t>LR Vyriausybės 2012 m. lapkričio 28 d. nutarimu Nr. 1482 „Dėl 2014–2020 metų nacionalinės pažangos programos patvirtinimo“</w:t>
      </w:r>
      <w:r w:rsidR="009E4390" w:rsidRPr="00B778A6">
        <w:rPr>
          <w:i/>
        </w:rPr>
        <w:t>)</w:t>
      </w:r>
      <w:r w:rsidRPr="00B778A6">
        <w:rPr>
          <w:i/>
        </w:rPr>
        <w:t>.</w:t>
      </w:r>
      <w:r w:rsidRPr="00B778A6">
        <w:t xml:space="preserve"> </w:t>
      </w:r>
      <w:r w:rsidR="00900CA7" w:rsidRPr="00B778A6">
        <w:t>Programa apima ne tik svarbiausias nacionalinės politikos nuostatas, pirmiausia išdėstytas pagrindiniame nacionaliniame ilgos trukmės strateginio planavimo dokumente (strategija „Lietuva 2030“), bet ir pagrindines Europos Sąjungos politikos nuostatas, išdėstytas ES pažangaus, tvaraus ir integracinio au</w:t>
      </w:r>
      <w:r w:rsidR="00084BDD" w:rsidRPr="00B778A6">
        <w:t>gimo strategijoje „Europa 2020“</w:t>
      </w:r>
      <w:r w:rsidR="00900CA7" w:rsidRPr="00B778A6">
        <w:t>. Programa suplanuota integruotai ir orientuota į pažangą. Jos parengimo terminas derinamas su ES finansinės paramos programavimo laikotarpiu, todėl Programa skirta 2014–2020 metų laikotarpiui.</w:t>
      </w:r>
      <w:r w:rsidR="00084BDD" w:rsidRPr="00B778A6">
        <w:t xml:space="preserve"> Programoje pagal prioritetus yra išskirti tikslai ir uždaviniai, iš kurių trečias prioritetas yra „Ekonominiam augimui palanki aplinka“</w:t>
      </w:r>
      <w:r w:rsidR="003F593D" w:rsidRPr="00B778A6">
        <w:t>, o viena iš įgyvendinančių krypčių – „Remti energijos vartojimo efektyvumą gyvenamųjų namų ir viešųjų pastatų sektoriuose“.</w:t>
      </w:r>
    </w:p>
    <w:p w:rsidR="004E203E" w:rsidRPr="00B778A6" w:rsidRDefault="009E4390" w:rsidP="00CD70A8">
      <w:pPr>
        <w:ind w:firstLine="709"/>
        <w:jc w:val="both"/>
      </w:pPr>
      <w:r w:rsidRPr="00B778A6">
        <w:rPr>
          <w:i/>
        </w:rPr>
        <w:t>Nacionalinė</w:t>
      </w:r>
      <w:r w:rsidR="004E203E" w:rsidRPr="00B778A6">
        <w:rPr>
          <w:i/>
        </w:rPr>
        <w:t xml:space="preserve"> energeti</w:t>
      </w:r>
      <w:r w:rsidRPr="00B778A6">
        <w:rPr>
          <w:i/>
        </w:rPr>
        <w:t>nės nepriklausomybės strategija</w:t>
      </w:r>
      <w:r w:rsidR="004E203E" w:rsidRPr="00B778A6">
        <w:rPr>
          <w:i/>
        </w:rPr>
        <w:t xml:space="preserve"> </w:t>
      </w:r>
      <w:r w:rsidRPr="00B778A6">
        <w:rPr>
          <w:i/>
        </w:rPr>
        <w:t>(patvirtinta</w:t>
      </w:r>
      <w:r w:rsidR="004E203E" w:rsidRPr="00B778A6">
        <w:rPr>
          <w:i/>
        </w:rPr>
        <w:t xml:space="preserve"> LR Seimo 2012 m. birželio 26 d. nutarimu Nr. XI-2133 „Dėl Nacionalinės energetinės nepriklausomybės strategijos patvirtinimo“</w:t>
      </w:r>
      <w:r w:rsidRPr="00B778A6">
        <w:rPr>
          <w:i/>
        </w:rPr>
        <w:t>)</w:t>
      </w:r>
      <w:r w:rsidRPr="00B778A6">
        <w:t xml:space="preserve">. </w:t>
      </w:r>
      <w:r w:rsidR="008300ED" w:rsidRPr="00B778A6">
        <w:t>Strategijos tikslas – nustatyti pagrindinius Lietuvos energetikos sektoriaus tikslus ir jų įgyvendinimo kryptis iki 2020 metų ir numatyti Lietuvos energetikos sektoriaus plėtros gaires iki 2030 ir iki 2050 metų. Svarbiausias šioje strategijoje numatomų energetikos politikos krypčių ir veiksmų tikslas – Lietuvos energetinės nepriklausomybės iki 2020 metų užtikrinimas, sustiprinsiantis Lietuvos energetinį saugumą ir konkurencingumą.</w:t>
      </w:r>
      <w:r w:rsidR="003A4C97" w:rsidRPr="00B778A6">
        <w:t xml:space="preserve"> Strategijoje išskirto šilumos sektoriaus pagrindinis uždavinys – padidinti šilumos gamybos, perdavimo ir vartojimo efektyvumą, tuo pačiu metu keičiant šilumos gamybai naudojamas gamtines dujas biomase. Strategijoje numatyta, kad iki 2020 metų Lietuva sumažins šilumos suvartojimą gyvenamuosiuose namuose ir viešuosiuose pastatuose 30–40 procentų.</w:t>
      </w:r>
    </w:p>
    <w:p w:rsidR="004E203E" w:rsidRPr="00B778A6" w:rsidRDefault="004E203E" w:rsidP="00CD70A8">
      <w:pPr>
        <w:ind w:firstLine="709"/>
        <w:jc w:val="both"/>
      </w:pPr>
      <w:r w:rsidRPr="00B778A6">
        <w:rPr>
          <w:i/>
        </w:rPr>
        <w:t>Nacionalinės klimato kaito</w:t>
      </w:r>
      <w:r w:rsidR="009E4390" w:rsidRPr="00B778A6">
        <w:rPr>
          <w:i/>
        </w:rPr>
        <w:t>s valdymo politikos strategija</w:t>
      </w:r>
      <w:r w:rsidRPr="00B778A6">
        <w:rPr>
          <w:i/>
        </w:rPr>
        <w:t xml:space="preserve"> </w:t>
      </w:r>
      <w:r w:rsidR="009E4390" w:rsidRPr="00B778A6">
        <w:rPr>
          <w:i/>
        </w:rPr>
        <w:t>(</w:t>
      </w:r>
      <w:r w:rsidRPr="00B778A6">
        <w:rPr>
          <w:i/>
        </w:rPr>
        <w:t>patvirtint</w:t>
      </w:r>
      <w:r w:rsidR="009E4390" w:rsidRPr="00B778A6">
        <w:rPr>
          <w:i/>
        </w:rPr>
        <w:t>a</w:t>
      </w:r>
      <w:r w:rsidRPr="00B778A6">
        <w:rPr>
          <w:i/>
        </w:rPr>
        <w:t xml:space="preserve"> LR</w:t>
      </w:r>
      <w:r w:rsidR="009E4390" w:rsidRPr="00B778A6">
        <w:rPr>
          <w:i/>
        </w:rPr>
        <w:t xml:space="preserve"> </w:t>
      </w:r>
      <w:r w:rsidRPr="00B778A6">
        <w:rPr>
          <w:i/>
        </w:rPr>
        <w:t>Seimo 2012 m. lapkričio 6 d. nutarimu Nr. XI-2375 „Dėl Nacionalinės klimato kaitos valdymo politikos strategijos patvirtinimo“</w:t>
      </w:r>
      <w:r w:rsidR="009E4390" w:rsidRPr="00B778A6">
        <w:rPr>
          <w:i/>
        </w:rPr>
        <w:t xml:space="preserve">). </w:t>
      </w:r>
      <w:r w:rsidR="000830F4" w:rsidRPr="00B778A6">
        <w:t xml:space="preserve">Strategijos paskirtis – formuoti ir įgyvendinti Lietuvos klimato kaitos valdymo politiką, nustatyti trumpalaikius (iki 2020 m.), indikatyvius vidutinės trukmės (iki 2030 m. ir iki 2040 m.) ir ilgalaikius (iki 2050 m.) tikslus ir uždavinius klimato kaitos švelninimo ir prisitaikymo prie klimato kaitos padarinių srityse. </w:t>
      </w:r>
      <w:r w:rsidR="003C28D1" w:rsidRPr="00B778A6">
        <w:t>P</w:t>
      </w:r>
      <w:r w:rsidR="000830F4" w:rsidRPr="00B778A6">
        <w:t xml:space="preserve">agrindinės </w:t>
      </w:r>
      <w:r w:rsidR="003C28D1" w:rsidRPr="00B778A6">
        <w:t xml:space="preserve">strategijoje išskirtos </w:t>
      </w:r>
      <w:r w:rsidR="000830F4" w:rsidRPr="00B778A6">
        <w:t xml:space="preserve">priemonės, siekiant sumažinti išmetamųjų ŠESD kiekį energetikos sektoriuje, </w:t>
      </w:r>
      <w:r w:rsidR="003C28D1" w:rsidRPr="00B778A6">
        <w:t>yra</w:t>
      </w:r>
      <w:r w:rsidR="000830F4" w:rsidRPr="00B778A6">
        <w:t xml:space="preserve"> energijos vartojimo efektyvumo didinimas ir energijos gamybos iš AEI ir atominės energijos skatinimas.</w:t>
      </w:r>
    </w:p>
    <w:p w:rsidR="00AA01A0" w:rsidRPr="00B778A6" w:rsidRDefault="00AA01A0" w:rsidP="00CD70A8">
      <w:pPr>
        <w:ind w:firstLine="709"/>
        <w:jc w:val="both"/>
      </w:pPr>
    </w:p>
    <w:p w:rsidR="00AA01A0" w:rsidRPr="00B778A6" w:rsidRDefault="00AA01A0" w:rsidP="00AA01A0">
      <w:pPr>
        <w:pStyle w:val="ListParagraph"/>
        <w:ind w:left="0"/>
        <w:jc w:val="both"/>
        <w:rPr>
          <w:b/>
          <w:szCs w:val="24"/>
        </w:rPr>
      </w:pPr>
      <w:r w:rsidRPr="00B778A6">
        <w:rPr>
          <w:b/>
          <w:szCs w:val="24"/>
        </w:rPr>
        <w:t>Inicijuojamo projekto atitiktis strateginiams dokumentams</w:t>
      </w:r>
    </w:p>
    <w:p w:rsidR="00AA01A0" w:rsidRPr="00B778A6" w:rsidRDefault="00AA01A0" w:rsidP="00AA01A0">
      <w:pPr>
        <w:pStyle w:val="ListParagraph"/>
        <w:ind w:left="0" w:firstLine="709"/>
        <w:jc w:val="both"/>
        <w:rPr>
          <w:szCs w:val="24"/>
        </w:rPr>
      </w:pPr>
      <w:r w:rsidRPr="00B778A6">
        <w:rPr>
          <w:szCs w:val="24"/>
        </w:rPr>
        <w:t>Projekto atitiktis strateginiams dokumentams pateiktas 1.2.1. lentelėje.</w:t>
      </w:r>
    </w:p>
    <w:p w:rsidR="00AA01A0" w:rsidRPr="00B778A6" w:rsidRDefault="00AA01A0" w:rsidP="00AA01A0">
      <w:pPr>
        <w:pStyle w:val="ListParagraph"/>
        <w:ind w:left="0"/>
        <w:jc w:val="center"/>
        <w:rPr>
          <w:b/>
          <w:szCs w:val="24"/>
        </w:rPr>
      </w:pPr>
    </w:p>
    <w:p w:rsidR="00AA01A0" w:rsidRPr="00B778A6" w:rsidRDefault="00AA01A0" w:rsidP="00AA01A0">
      <w:pPr>
        <w:pStyle w:val="ListParagraph"/>
        <w:ind w:left="0"/>
        <w:jc w:val="center"/>
        <w:rPr>
          <w:b/>
          <w:szCs w:val="24"/>
        </w:rPr>
      </w:pPr>
      <w:r w:rsidRPr="00B778A6">
        <w:rPr>
          <w:b/>
          <w:szCs w:val="24"/>
        </w:rPr>
        <w:t>1.2.</w:t>
      </w:r>
      <w:r w:rsidR="00244099" w:rsidRPr="00B778A6">
        <w:rPr>
          <w:b/>
          <w:szCs w:val="24"/>
        </w:rPr>
        <w:t>2</w:t>
      </w:r>
      <w:r w:rsidRPr="00B778A6">
        <w:rPr>
          <w:b/>
          <w:szCs w:val="24"/>
        </w:rPr>
        <w:t>.</w:t>
      </w:r>
      <w:r w:rsidR="00244099" w:rsidRPr="00B778A6">
        <w:rPr>
          <w:b/>
          <w:szCs w:val="24"/>
        </w:rPr>
        <w:t>1.</w:t>
      </w:r>
      <w:r w:rsidRPr="00B778A6">
        <w:rPr>
          <w:b/>
          <w:szCs w:val="24"/>
        </w:rPr>
        <w:t xml:space="preserve"> Lentelė. Projekto sąsaja su strateginiais dokumentais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6520"/>
      </w:tblGrid>
      <w:tr w:rsidR="00AA01A0" w:rsidRPr="00B778A6" w:rsidTr="00664B6F">
        <w:tc>
          <w:tcPr>
            <w:tcW w:w="3119" w:type="dxa"/>
            <w:shd w:val="clear" w:color="auto" w:fill="D9D9D9"/>
          </w:tcPr>
          <w:p w:rsidR="00AA01A0" w:rsidRPr="00B778A6" w:rsidRDefault="00AA01A0" w:rsidP="00317399">
            <w:pPr>
              <w:pStyle w:val="ListParagraph"/>
              <w:ind w:left="0"/>
              <w:jc w:val="center"/>
              <w:rPr>
                <w:b/>
                <w:sz w:val="22"/>
                <w:szCs w:val="22"/>
              </w:rPr>
            </w:pPr>
            <w:r w:rsidRPr="00B778A6">
              <w:rPr>
                <w:b/>
                <w:sz w:val="22"/>
                <w:szCs w:val="22"/>
              </w:rPr>
              <w:t>Dokumentas</w:t>
            </w:r>
          </w:p>
        </w:tc>
        <w:tc>
          <w:tcPr>
            <w:tcW w:w="6520" w:type="dxa"/>
            <w:shd w:val="clear" w:color="auto" w:fill="D9D9D9"/>
          </w:tcPr>
          <w:p w:rsidR="00AA01A0" w:rsidRPr="00B778A6" w:rsidRDefault="00AA01A0" w:rsidP="00317399">
            <w:pPr>
              <w:pStyle w:val="ListParagraph"/>
              <w:ind w:left="0"/>
              <w:jc w:val="center"/>
              <w:rPr>
                <w:b/>
                <w:sz w:val="22"/>
                <w:szCs w:val="22"/>
              </w:rPr>
            </w:pPr>
            <w:r w:rsidRPr="00B778A6">
              <w:rPr>
                <w:b/>
                <w:sz w:val="22"/>
                <w:szCs w:val="22"/>
              </w:rPr>
              <w:t>Projekto atitikimas dokumento krypčiai</w:t>
            </w:r>
          </w:p>
        </w:tc>
      </w:tr>
      <w:tr w:rsidR="00AA01A0" w:rsidRPr="00B778A6" w:rsidTr="00664B6F">
        <w:tc>
          <w:tcPr>
            <w:tcW w:w="3119" w:type="dxa"/>
            <w:shd w:val="clear" w:color="auto" w:fill="auto"/>
          </w:tcPr>
          <w:p w:rsidR="00281EC3" w:rsidRPr="00B778A6" w:rsidRDefault="00AA01A0" w:rsidP="00281EC3">
            <w:pPr>
              <w:jc w:val="both"/>
              <w:rPr>
                <w:sz w:val="22"/>
                <w:szCs w:val="22"/>
              </w:rPr>
            </w:pPr>
            <w:r w:rsidRPr="00B778A6">
              <w:rPr>
                <w:sz w:val="22"/>
                <w:szCs w:val="22"/>
              </w:rPr>
              <w:t>Pažangaus, tvaraus ir integracinio augimo strategija „Europa 2020“, Europos Komisija</w:t>
            </w:r>
          </w:p>
          <w:p w:rsidR="00AA01A0" w:rsidRPr="00B778A6" w:rsidRDefault="00AA01A0" w:rsidP="00317399">
            <w:pPr>
              <w:pStyle w:val="ListParagraph"/>
              <w:ind w:left="0"/>
              <w:jc w:val="both"/>
              <w:rPr>
                <w:sz w:val="22"/>
                <w:szCs w:val="22"/>
              </w:rPr>
            </w:pPr>
            <w:r w:rsidRPr="00B778A6">
              <w:rPr>
                <w:sz w:val="22"/>
                <w:szCs w:val="22"/>
              </w:rPr>
              <w:t xml:space="preserve"> </w:t>
            </w:r>
          </w:p>
        </w:tc>
        <w:tc>
          <w:tcPr>
            <w:tcW w:w="6520" w:type="dxa"/>
            <w:shd w:val="clear" w:color="auto" w:fill="auto"/>
          </w:tcPr>
          <w:p w:rsidR="00AA01A0" w:rsidRPr="00B778A6" w:rsidRDefault="00AA01A0" w:rsidP="00317399">
            <w:pPr>
              <w:pStyle w:val="ListParagraph"/>
              <w:ind w:left="0"/>
              <w:jc w:val="both"/>
              <w:rPr>
                <w:sz w:val="22"/>
                <w:szCs w:val="22"/>
              </w:rPr>
            </w:pPr>
            <w:r w:rsidRPr="00B778A6">
              <w:rPr>
                <w:sz w:val="22"/>
                <w:szCs w:val="22"/>
              </w:rPr>
              <w:t>„Europa 2020“ – tai ES ekonomikos augimo strategija, kurią užsibrėžta įgyvendinti iki 2020 m. Strategijoje numatyti penki dideli tikslai užimtumo, inovacijų, švietimo, socialinės įtraukties, klimato ir energetikos srityse. Vienas iš siekių:</w:t>
            </w:r>
          </w:p>
          <w:p w:rsidR="00D3494A" w:rsidRDefault="00AA01A0" w:rsidP="00375FC6">
            <w:pPr>
              <w:jc w:val="both"/>
              <w:rPr>
                <w:sz w:val="22"/>
                <w:szCs w:val="22"/>
              </w:rPr>
            </w:pPr>
            <w:r w:rsidRPr="00B778A6">
              <w:rPr>
                <w:sz w:val="22"/>
                <w:szCs w:val="22"/>
              </w:rPr>
              <w:t>3. Klimato kaita ir energetikos tvarumas: šiltnamio efektą sukeliančių dujų kiekis turėtų būti sumažintas 20 % (arba net 30 %, jei tam bus tinkamos sąlygos), palyginti su 1990 m. rodikliais; 20 % energijos turėtų būti gaminama iš atsinaujinančiųjų šaltinių; energijos vartojimo efektyvumas turėtų būti padidintas 20 %.</w:t>
            </w:r>
          </w:p>
          <w:p w:rsidR="00C3088C" w:rsidRPr="00B778A6" w:rsidRDefault="00C3088C" w:rsidP="00375FC6">
            <w:pPr>
              <w:jc w:val="both"/>
              <w:rPr>
                <w:sz w:val="22"/>
                <w:szCs w:val="22"/>
              </w:rPr>
            </w:pPr>
          </w:p>
        </w:tc>
      </w:tr>
      <w:tr w:rsidR="00AA01A0" w:rsidRPr="00B778A6" w:rsidTr="00664B6F">
        <w:tc>
          <w:tcPr>
            <w:tcW w:w="3119" w:type="dxa"/>
            <w:shd w:val="clear" w:color="auto" w:fill="auto"/>
          </w:tcPr>
          <w:p w:rsidR="00AA01A0" w:rsidRPr="00B778A6" w:rsidRDefault="00AA01A0" w:rsidP="00281EC3">
            <w:pPr>
              <w:pStyle w:val="ListParagraph"/>
              <w:ind w:left="0"/>
              <w:jc w:val="both"/>
              <w:rPr>
                <w:sz w:val="22"/>
                <w:szCs w:val="22"/>
              </w:rPr>
            </w:pPr>
            <w:r w:rsidRPr="00B778A6">
              <w:rPr>
                <w:sz w:val="22"/>
                <w:szCs w:val="22"/>
              </w:rPr>
              <w:t xml:space="preserve">Lietuvos pažangos strategija „Lietuva 2030“, patvirtinta Lietuvos Respublikos Seimo </w:t>
            </w:r>
            <w:r w:rsidRPr="00B778A6">
              <w:rPr>
                <w:sz w:val="22"/>
                <w:szCs w:val="22"/>
              </w:rPr>
              <w:lastRenderedPageBreak/>
              <w:t>2012 m. gegužės 15 d. nutarimu Nr. XI- 2015, „Dėl valstybės pažangos strategijos „Lietuvos pažangos strategija „Lietuva 2030“ patvirtinimo“</w:t>
            </w:r>
            <w:r w:rsidR="00281EC3" w:rsidRPr="00B778A6">
              <w:rPr>
                <w:sz w:val="22"/>
                <w:szCs w:val="22"/>
              </w:rPr>
              <w:t xml:space="preserve"> </w:t>
            </w:r>
          </w:p>
        </w:tc>
        <w:tc>
          <w:tcPr>
            <w:tcW w:w="6520" w:type="dxa"/>
            <w:shd w:val="clear" w:color="auto" w:fill="auto"/>
          </w:tcPr>
          <w:p w:rsidR="00AA01A0" w:rsidRPr="00B778A6" w:rsidRDefault="00AA01A0" w:rsidP="00317399">
            <w:pPr>
              <w:pStyle w:val="ListParagraph"/>
              <w:ind w:left="0"/>
              <w:jc w:val="both"/>
              <w:rPr>
                <w:sz w:val="22"/>
                <w:szCs w:val="22"/>
              </w:rPr>
            </w:pPr>
            <w:r w:rsidRPr="00B778A6">
              <w:rPr>
                <w:sz w:val="22"/>
                <w:szCs w:val="22"/>
              </w:rPr>
              <w:lastRenderedPageBreak/>
              <w:t>Strategijoje išskirta sritis „Sumani ekonomika“. Esminės pokyčių iniciatyvos šioje srityje:</w:t>
            </w:r>
          </w:p>
          <w:p w:rsidR="00AA01A0" w:rsidRPr="00B778A6" w:rsidRDefault="00AA01A0" w:rsidP="00317399">
            <w:pPr>
              <w:numPr>
                <w:ilvl w:val="0"/>
                <w:numId w:val="2"/>
              </w:numPr>
              <w:ind w:left="318" w:hanging="284"/>
              <w:jc w:val="both"/>
              <w:rPr>
                <w:sz w:val="22"/>
                <w:szCs w:val="22"/>
              </w:rPr>
            </w:pPr>
            <w:r w:rsidRPr="00B778A6">
              <w:rPr>
                <w:sz w:val="22"/>
                <w:szCs w:val="22"/>
              </w:rPr>
              <w:t xml:space="preserve">Diegti pažangias, išteklius tausojančias ir aplinkos taršą bei klimato </w:t>
            </w:r>
            <w:r w:rsidRPr="00B778A6">
              <w:rPr>
                <w:sz w:val="22"/>
                <w:szCs w:val="22"/>
              </w:rPr>
              <w:lastRenderedPageBreak/>
              <w:t>kaitą mažinančias technologijas ir gaminius pramonės, energetikos ir transporto sektoriuose“.</w:t>
            </w:r>
          </w:p>
        </w:tc>
      </w:tr>
      <w:tr w:rsidR="00AA01A0" w:rsidRPr="00B778A6" w:rsidTr="00664B6F">
        <w:tc>
          <w:tcPr>
            <w:tcW w:w="3119" w:type="dxa"/>
            <w:shd w:val="clear" w:color="auto" w:fill="auto"/>
          </w:tcPr>
          <w:p w:rsidR="00AA01A0" w:rsidRPr="00B778A6" w:rsidRDefault="00AA01A0" w:rsidP="00281EC3">
            <w:pPr>
              <w:pStyle w:val="ListParagraph"/>
              <w:ind w:left="0"/>
              <w:jc w:val="both"/>
              <w:rPr>
                <w:sz w:val="22"/>
                <w:szCs w:val="22"/>
              </w:rPr>
            </w:pPr>
            <w:r w:rsidRPr="00B778A6">
              <w:rPr>
                <w:sz w:val="22"/>
                <w:szCs w:val="22"/>
              </w:rPr>
              <w:lastRenderedPageBreak/>
              <w:t xml:space="preserve">2014-2020 m. Nacionalinė pažangos programa, patvirtinta Lietuvos Respublikos Vyriausybės 2012 m. lapkričio 28 d. nutarimu Nr. 1482 „Dėl 2014–2020 metų nacionalinės pažangos programos patvirtinimo“ </w:t>
            </w:r>
          </w:p>
        </w:tc>
        <w:tc>
          <w:tcPr>
            <w:tcW w:w="6520" w:type="dxa"/>
            <w:shd w:val="clear" w:color="auto" w:fill="auto"/>
          </w:tcPr>
          <w:p w:rsidR="00AA01A0" w:rsidRPr="00B778A6" w:rsidRDefault="00AA01A0" w:rsidP="00317399">
            <w:pPr>
              <w:jc w:val="both"/>
              <w:rPr>
                <w:bCs/>
                <w:sz w:val="22"/>
                <w:szCs w:val="22"/>
              </w:rPr>
            </w:pPr>
            <w:r w:rsidRPr="00B778A6">
              <w:rPr>
                <w:bCs/>
                <w:sz w:val="22"/>
                <w:szCs w:val="22"/>
              </w:rPr>
              <w:t>Programoje numatyta:</w:t>
            </w:r>
          </w:p>
          <w:p w:rsidR="00AA01A0" w:rsidRPr="00B778A6" w:rsidRDefault="00AA01A0" w:rsidP="00317399">
            <w:pPr>
              <w:jc w:val="both"/>
              <w:rPr>
                <w:sz w:val="22"/>
                <w:szCs w:val="22"/>
              </w:rPr>
            </w:pPr>
            <w:r w:rsidRPr="00B778A6">
              <w:rPr>
                <w:sz w:val="22"/>
                <w:szCs w:val="22"/>
              </w:rPr>
              <w:t>3 prioriteto „Ekonominiam augimui palanki aplinka“ 3.3 tikslo „Tiksli skatinti darnų išteklių naudojimą, užtikrinti ekosistemų stabilumą“ 3.3.2 uždavinio „Užtikrinti darnų energijos išteklių naudojimą“ įgyvendinimo kryptis 3.3.2.2 „Remti energijos vartojimo efektyvumą gyvenamųjų namų ir viešųjų pastatų sektoriuose“.</w:t>
            </w:r>
          </w:p>
        </w:tc>
      </w:tr>
      <w:tr w:rsidR="00AA01A0" w:rsidRPr="00B778A6" w:rsidTr="00664B6F">
        <w:tc>
          <w:tcPr>
            <w:tcW w:w="3119" w:type="dxa"/>
            <w:shd w:val="clear" w:color="auto" w:fill="auto"/>
          </w:tcPr>
          <w:p w:rsidR="00AA01A0" w:rsidRPr="00B778A6" w:rsidRDefault="00AA01A0" w:rsidP="00DC269B">
            <w:pPr>
              <w:pStyle w:val="ListParagraph"/>
              <w:ind w:left="0"/>
              <w:jc w:val="both"/>
              <w:rPr>
                <w:sz w:val="22"/>
                <w:szCs w:val="22"/>
              </w:rPr>
            </w:pPr>
            <w:r w:rsidRPr="00B778A6">
              <w:rPr>
                <w:sz w:val="22"/>
                <w:szCs w:val="22"/>
              </w:rPr>
              <w:t xml:space="preserve">Nacionalinė energetinės nepriklausomybės strategija, patvirtinta LR Vyriausybės 2012 m. birželio 26 d. nutarimu Nr. XI-2133 „Dėl </w:t>
            </w:r>
            <w:r w:rsidR="00DC269B" w:rsidRPr="00B778A6">
              <w:rPr>
                <w:sz w:val="22"/>
                <w:szCs w:val="22"/>
              </w:rPr>
              <w:t>N</w:t>
            </w:r>
            <w:r w:rsidRPr="00B778A6">
              <w:rPr>
                <w:sz w:val="22"/>
                <w:szCs w:val="22"/>
              </w:rPr>
              <w:t xml:space="preserve">acionalinės energetinės nepriklausomybės strategijos patvirtinimo“ </w:t>
            </w:r>
          </w:p>
        </w:tc>
        <w:tc>
          <w:tcPr>
            <w:tcW w:w="6520" w:type="dxa"/>
            <w:shd w:val="clear" w:color="auto" w:fill="auto"/>
          </w:tcPr>
          <w:p w:rsidR="00AA01A0" w:rsidRPr="00B778A6" w:rsidRDefault="00AA01A0" w:rsidP="00317399">
            <w:pPr>
              <w:pStyle w:val="ListParagraph"/>
              <w:ind w:left="0"/>
              <w:jc w:val="both"/>
              <w:rPr>
                <w:sz w:val="22"/>
                <w:szCs w:val="22"/>
              </w:rPr>
            </w:pPr>
            <w:r w:rsidRPr="00B778A6">
              <w:rPr>
                <w:sz w:val="22"/>
                <w:szCs w:val="22"/>
              </w:rPr>
              <w:t>Svarbiausias šioje strategijoje numatomų energetikos politikos krypčių ir veiksmų tikslas – Lietuvos energetinės nepriklausomybės iki 2020 metų užtikrinimas, sustiprinsiantis Lietuvos energetinį saugumą ir konkurencingumą</w:t>
            </w:r>
          </w:p>
          <w:p w:rsidR="00AA01A0" w:rsidRPr="00B778A6" w:rsidRDefault="00AA01A0" w:rsidP="00317399">
            <w:pPr>
              <w:pStyle w:val="ListParagraph"/>
              <w:ind w:left="0"/>
              <w:jc w:val="both"/>
              <w:rPr>
                <w:sz w:val="22"/>
                <w:szCs w:val="22"/>
              </w:rPr>
            </w:pPr>
            <w:r w:rsidRPr="00B778A6">
              <w:rPr>
                <w:sz w:val="22"/>
                <w:szCs w:val="22"/>
              </w:rPr>
              <w:t>Tarp strateginių iniciatyvų iki 2020 metų, išskirta:</w:t>
            </w:r>
          </w:p>
          <w:p w:rsidR="00AA01A0" w:rsidRPr="00B778A6" w:rsidRDefault="00AA01A0" w:rsidP="00317399">
            <w:pPr>
              <w:numPr>
                <w:ilvl w:val="0"/>
                <w:numId w:val="2"/>
              </w:numPr>
              <w:ind w:left="318" w:hanging="284"/>
              <w:jc w:val="both"/>
              <w:rPr>
                <w:sz w:val="22"/>
                <w:szCs w:val="22"/>
              </w:rPr>
            </w:pPr>
            <w:r w:rsidRPr="00B778A6">
              <w:rPr>
                <w:sz w:val="22"/>
                <w:szCs w:val="22"/>
              </w:rPr>
              <w:t>Padidinti bendrą energijos vartojimo efektyvumą gyvenamųjų ir visuomeninių pastatų sektoriuje. Efektyvumas bus padidintas modernizuojant ir renovuojant pastatus. Kiekvienais metais bus sutaupoma 220 ktne energijos dėl efektyvesnio šilumos vartojimo ir 70 ktne dėl energijos taupymą skatinančių viešųjų pirkimų ir efektyviai energiją vartojančių prietaisų naudojimo.</w:t>
            </w:r>
          </w:p>
        </w:tc>
      </w:tr>
      <w:tr w:rsidR="00AA01A0" w:rsidRPr="00B778A6" w:rsidTr="00664B6F">
        <w:tc>
          <w:tcPr>
            <w:tcW w:w="3119" w:type="dxa"/>
            <w:shd w:val="clear" w:color="auto" w:fill="auto"/>
          </w:tcPr>
          <w:p w:rsidR="00AA01A0" w:rsidRPr="00B778A6" w:rsidRDefault="00AA01A0" w:rsidP="00DC269B">
            <w:pPr>
              <w:pStyle w:val="ListParagraph"/>
              <w:ind w:left="0"/>
              <w:jc w:val="both"/>
              <w:rPr>
                <w:sz w:val="22"/>
                <w:szCs w:val="22"/>
              </w:rPr>
            </w:pPr>
            <w:r w:rsidRPr="00B778A6">
              <w:rPr>
                <w:sz w:val="22"/>
                <w:szCs w:val="22"/>
              </w:rPr>
              <w:t>2014-2020 metų Europos Sąjungos fondų investicijų veiksmų programa, 2014-09-08 d. patvirtinta Europos Komisijos</w:t>
            </w:r>
            <w:r w:rsidR="00281EC3" w:rsidRPr="00B778A6">
              <w:rPr>
                <w:sz w:val="22"/>
                <w:szCs w:val="22"/>
              </w:rPr>
              <w:t xml:space="preserve"> </w:t>
            </w:r>
          </w:p>
        </w:tc>
        <w:tc>
          <w:tcPr>
            <w:tcW w:w="6520" w:type="dxa"/>
            <w:shd w:val="clear" w:color="auto" w:fill="auto"/>
          </w:tcPr>
          <w:p w:rsidR="00AA01A0" w:rsidRPr="00B778A6" w:rsidRDefault="00AA01A0" w:rsidP="00317399">
            <w:pPr>
              <w:jc w:val="both"/>
              <w:rPr>
                <w:sz w:val="22"/>
                <w:szCs w:val="22"/>
                <w:lang w:eastAsia="en-US"/>
              </w:rPr>
            </w:pPr>
            <w:r w:rsidRPr="00B778A6">
              <w:rPr>
                <w:sz w:val="22"/>
                <w:szCs w:val="22"/>
                <w:lang w:eastAsia="en-US"/>
              </w:rPr>
              <w:t xml:space="preserve">2014-2020 m. Europos Sąjungos fondų investicijų veiksmų programoje išskirta: </w:t>
            </w:r>
          </w:p>
          <w:p w:rsidR="00AA01A0" w:rsidRPr="00B778A6" w:rsidRDefault="00AA01A0" w:rsidP="00AA01A0">
            <w:pPr>
              <w:numPr>
                <w:ilvl w:val="0"/>
                <w:numId w:val="2"/>
              </w:numPr>
              <w:ind w:left="318" w:hanging="284"/>
              <w:jc w:val="both"/>
              <w:rPr>
                <w:sz w:val="22"/>
                <w:szCs w:val="22"/>
              </w:rPr>
            </w:pPr>
            <w:r w:rsidRPr="00B778A6">
              <w:rPr>
                <w:sz w:val="22"/>
                <w:szCs w:val="22"/>
                <w:lang w:eastAsia="en-US"/>
              </w:rPr>
              <w:t>4 prioriteto „</w:t>
            </w:r>
            <w:r w:rsidRPr="00B778A6">
              <w:rPr>
                <w:sz w:val="22"/>
                <w:szCs w:val="22"/>
              </w:rPr>
              <w:t xml:space="preserve">Energijos efektyvumo ir AIE gamybos ir naudojimo skatinimas“ teminio tikslo „Perėjimo prie mažai anglies dioksido į aplinką išskiriančių technologijų ekonomikos visuose sektoriuose rėmimas“ 4.3 investicinio prioriteto „Energijos vartojimo efektyvumo, pažangaus energijos valdymo ir AIE vartojimo viešosiose infrastruktūrose, įskaitant viešuosius pastatus ir gyvenamųjų namų sektorių, rėmimas„ 4.3.1 konkretus uždavinys „Sumažinti energijos suvartojimą viešojoje infrastruktūroje ir daugiabučiuose namuose“. </w:t>
            </w:r>
          </w:p>
        </w:tc>
      </w:tr>
      <w:tr w:rsidR="00AA01A0" w:rsidRPr="00B778A6" w:rsidTr="00664B6F">
        <w:tc>
          <w:tcPr>
            <w:tcW w:w="3119" w:type="dxa"/>
            <w:shd w:val="clear" w:color="auto" w:fill="auto"/>
          </w:tcPr>
          <w:p w:rsidR="00AA01A0" w:rsidRPr="00B778A6" w:rsidRDefault="00244099" w:rsidP="00317399">
            <w:pPr>
              <w:pStyle w:val="ListParagraph"/>
              <w:ind w:left="0"/>
              <w:jc w:val="both"/>
              <w:rPr>
                <w:sz w:val="22"/>
                <w:szCs w:val="22"/>
              </w:rPr>
            </w:pPr>
            <w:r w:rsidRPr="00B778A6">
              <w:rPr>
                <w:sz w:val="22"/>
                <w:szCs w:val="22"/>
              </w:rPr>
              <w:t xml:space="preserve">Prienų rajono savivaldybės strateginis plėtros planas iki 2028 metų, Prienų rajono savivaldybės tarybos, 2020 m. sausio 30 d. sprendimu Nr. T3-1, </w:t>
            </w:r>
            <w:r w:rsidRPr="009A7E68">
              <w:rPr>
                <w:color w:val="000000"/>
                <w:sz w:val="22"/>
                <w:szCs w:val="22"/>
              </w:rPr>
              <w:t xml:space="preserve">nuoroda į dokumentą: </w:t>
            </w:r>
            <w:r w:rsidRPr="009A7E68">
              <w:rPr>
                <w:color w:val="000000"/>
                <w:sz w:val="22"/>
                <w:szCs w:val="22"/>
                <w:u w:val="single"/>
              </w:rPr>
              <w:t xml:space="preserve"> </w:t>
            </w:r>
            <w:hyperlink r:id="rId18" w:history="1">
              <w:r w:rsidRPr="009A7E68">
                <w:rPr>
                  <w:rStyle w:val="Hyperlink"/>
                  <w:color w:val="000000"/>
                  <w:sz w:val="22"/>
                  <w:szCs w:val="22"/>
                </w:rPr>
                <w:t>https://e-seimas.lrs.lt/portal/legalAct/lt/TAD/d57a6e70436511ea983cd4e02103c255?jfwid=-9dzqnu7ek</w:t>
              </w:r>
            </w:hyperlink>
          </w:p>
        </w:tc>
        <w:tc>
          <w:tcPr>
            <w:tcW w:w="6520" w:type="dxa"/>
            <w:shd w:val="clear" w:color="auto" w:fill="auto"/>
          </w:tcPr>
          <w:p w:rsidR="00281EC3" w:rsidRPr="00B778A6" w:rsidRDefault="00AA01A0" w:rsidP="002646D3">
            <w:pPr>
              <w:pStyle w:val="ListParagraph"/>
              <w:ind w:left="0"/>
              <w:jc w:val="both"/>
              <w:rPr>
                <w:sz w:val="22"/>
                <w:szCs w:val="22"/>
              </w:rPr>
            </w:pPr>
            <w:r w:rsidRPr="00B778A6">
              <w:rPr>
                <w:sz w:val="22"/>
                <w:szCs w:val="22"/>
              </w:rPr>
              <w:t xml:space="preserve">Projektas atitinka </w:t>
            </w:r>
            <w:r w:rsidR="00281EC3" w:rsidRPr="00B778A6">
              <w:rPr>
                <w:sz w:val="22"/>
                <w:szCs w:val="22"/>
              </w:rPr>
              <w:t>3 krypties „</w:t>
            </w:r>
            <w:r w:rsidR="00244099" w:rsidRPr="00B778A6">
              <w:rPr>
                <w:sz w:val="22"/>
                <w:szCs w:val="22"/>
              </w:rPr>
              <w:t>Patogios ir švarios aplinkos užtikrinimas</w:t>
            </w:r>
            <w:r w:rsidR="00281EC3" w:rsidRPr="00B778A6">
              <w:rPr>
                <w:sz w:val="22"/>
                <w:szCs w:val="22"/>
              </w:rPr>
              <w:t>“ 3.</w:t>
            </w:r>
            <w:r w:rsidR="00244099" w:rsidRPr="00B778A6">
              <w:rPr>
                <w:sz w:val="22"/>
                <w:szCs w:val="22"/>
              </w:rPr>
              <w:t xml:space="preserve">2 </w:t>
            </w:r>
            <w:r w:rsidR="00281EC3" w:rsidRPr="00B778A6">
              <w:rPr>
                <w:sz w:val="22"/>
                <w:szCs w:val="22"/>
              </w:rPr>
              <w:t>tikslo „</w:t>
            </w:r>
            <w:r w:rsidR="00244099" w:rsidRPr="00B778A6">
              <w:rPr>
                <w:sz w:val="22"/>
                <w:szCs w:val="22"/>
              </w:rPr>
              <w:t>Gerinti aplinkos kokybę</w:t>
            </w:r>
            <w:r w:rsidR="00281EC3" w:rsidRPr="00B778A6">
              <w:rPr>
                <w:sz w:val="22"/>
                <w:szCs w:val="22"/>
              </w:rPr>
              <w:t>“ 3.</w:t>
            </w:r>
            <w:r w:rsidR="00244099" w:rsidRPr="00B778A6">
              <w:rPr>
                <w:sz w:val="22"/>
                <w:szCs w:val="22"/>
              </w:rPr>
              <w:t>2.2</w:t>
            </w:r>
            <w:r w:rsidR="00281EC3" w:rsidRPr="00B778A6">
              <w:rPr>
                <w:sz w:val="22"/>
                <w:szCs w:val="22"/>
              </w:rPr>
              <w:t xml:space="preserve"> uždavinio „</w:t>
            </w:r>
            <w:r w:rsidR="00244099" w:rsidRPr="00B778A6">
              <w:rPr>
                <w:sz w:val="22"/>
                <w:szCs w:val="22"/>
              </w:rPr>
              <w:t>Skatinti veiksmingesnį energijos ir kitų gamtos išteklių naudojimą</w:t>
            </w:r>
            <w:r w:rsidR="00281EC3" w:rsidRPr="00B778A6">
              <w:rPr>
                <w:sz w:val="22"/>
                <w:szCs w:val="22"/>
              </w:rPr>
              <w:t>“ 3.</w:t>
            </w:r>
            <w:r w:rsidR="00244099" w:rsidRPr="00B778A6">
              <w:rPr>
                <w:sz w:val="22"/>
                <w:szCs w:val="22"/>
              </w:rPr>
              <w:t>2.2.1</w:t>
            </w:r>
            <w:r w:rsidR="00281EC3" w:rsidRPr="00B778A6">
              <w:rPr>
                <w:sz w:val="22"/>
                <w:szCs w:val="22"/>
              </w:rPr>
              <w:t xml:space="preserve"> priemonę „</w:t>
            </w:r>
            <w:r w:rsidR="00244099" w:rsidRPr="00B778A6">
              <w:rPr>
                <w:sz w:val="22"/>
                <w:szCs w:val="22"/>
              </w:rPr>
              <w:t>Viešųjų pastatų (ugdymo, kultūros, sveikatos ir socialinių paslaugų įstaigų ir kt.) ir gyvenamųjų pastatų šilumos gamybos infrastruktūros, pastatų energetinių charakteristikų gerinimas bei atsinaujinančių energijos išteklių panaudojimas</w:t>
            </w:r>
            <w:r w:rsidR="00281EC3" w:rsidRPr="00B778A6">
              <w:rPr>
                <w:sz w:val="22"/>
                <w:szCs w:val="22"/>
              </w:rPr>
              <w:t>“</w:t>
            </w:r>
            <w:r w:rsidR="00DC269B" w:rsidRPr="00B778A6">
              <w:rPr>
                <w:sz w:val="22"/>
                <w:szCs w:val="22"/>
              </w:rPr>
              <w:t>.</w:t>
            </w:r>
          </w:p>
        </w:tc>
      </w:tr>
    </w:tbl>
    <w:p w:rsidR="00AA01A0" w:rsidRDefault="00AA01A0" w:rsidP="00AA01A0">
      <w:pPr>
        <w:pStyle w:val="ListParagraph"/>
        <w:ind w:left="0"/>
        <w:jc w:val="both"/>
        <w:rPr>
          <w:szCs w:val="24"/>
        </w:rPr>
      </w:pPr>
    </w:p>
    <w:p w:rsidR="00AA01A0" w:rsidRPr="00B778A6" w:rsidRDefault="00AA01A0" w:rsidP="00AA01A0">
      <w:pPr>
        <w:jc w:val="both"/>
        <w:rPr>
          <w:b/>
        </w:rPr>
      </w:pPr>
      <w:r w:rsidRPr="00B778A6">
        <w:rPr>
          <w:b/>
        </w:rPr>
        <w:t>Projekto įgyvendinimo apribojimai ir norminiai reikalavimai</w:t>
      </w:r>
    </w:p>
    <w:p w:rsidR="00AA01A0" w:rsidRPr="00B778A6" w:rsidRDefault="00AA01A0" w:rsidP="00AA01A0">
      <w:pPr>
        <w:jc w:val="both"/>
        <w:rPr>
          <w:b/>
        </w:rPr>
      </w:pPr>
    </w:p>
    <w:p w:rsidR="00AA01A0" w:rsidRPr="00B778A6" w:rsidRDefault="00AA01A0" w:rsidP="00AA01A0">
      <w:pPr>
        <w:pStyle w:val="ListParagraph"/>
        <w:tabs>
          <w:tab w:val="left" w:pos="851"/>
        </w:tabs>
        <w:ind w:left="0" w:firstLine="709"/>
        <w:jc w:val="both"/>
        <w:rPr>
          <w:szCs w:val="24"/>
        </w:rPr>
      </w:pPr>
      <w:r w:rsidRPr="00B778A6">
        <w:rPr>
          <w:szCs w:val="24"/>
        </w:rPr>
        <w:t>Išanalizavus projekto sąsajas su strateginiais dokumentais ir galiojančiais teis</w:t>
      </w:r>
      <w:r w:rsidR="00BA60A6" w:rsidRPr="00B778A6">
        <w:rPr>
          <w:szCs w:val="24"/>
        </w:rPr>
        <w:t xml:space="preserve">ės aktais nacionaliniu </w:t>
      </w:r>
      <w:r w:rsidRPr="00B778A6">
        <w:rPr>
          <w:szCs w:val="24"/>
        </w:rPr>
        <w:t>ir rajono lygiu, nustatyta, kad:</w:t>
      </w:r>
    </w:p>
    <w:p w:rsidR="00AA01A0" w:rsidRPr="00B778A6" w:rsidRDefault="00AA01A0" w:rsidP="00AA01A0">
      <w:pPr>
        <w:pStyle w:val="ListParagraph"/>
        <w:numPr>
          <w:ilvl w:val="0"/>
          <w:numId w:val="32"/>
        </w:numPr>
        <w:jc w:val="both"/>
        <w:rPr>
          <w:szCs w:val="24"/>
        </w:rPr>
      </w:pPr>
      <w:r w:rsidRPr="00B778A6">
        <w:t xml:space="preserve">Viešųjų paslaugų teikėjui – </w:t>
      </w:r>
      <w:r w:rsidR="0033067A" w:rsidRPr="00B778A6">
        <w:t>Prienų</w:t>
      </w:r>
      <w:r w:rsidRPr="00B778A6">
        <w:t xml:space="preserve"> rajono savivaldybės administracijai – nebus taikoma </w:t>
      </w:r>
      <w:r w:rsidRPr="00B778A6">
        <w:rPr>
          <w:szCs w:val="24"/>
        </w:rPr>
        <w:t>teisinių apribojimų norint įgyvendinti projektą, nes pareiškėjas jau vykdo tokio tipo paslaugas (apibrėžia LR Vietos savivaldos įstatymas);</w:t>
      </w:r>
    </w:p>
    <w:p w:rsidR="00AA01A0" w:rsidRPr="00B778A6" w:rsidRDefault="00AA01A0" w:rsidP="00AA01A0">
      <w:pPr>
        <w:pStyle w:val="ListParagraph"/>
        <w:numPr>
          <w:ilvl w:val="0"/>
          <w:numId w:val="32"/>
        </w:numPr>
        <w:jc w:val="both"/>
        <w:rPr>
          <w:szCs w:val="24"/>
        </w:rPr>
      </w:pPr>
      <w:r w:rsidRPr="00B778A6">
        <w:rPr>
          <w:szCs w:val="24"/>
        </w:rPr>
        <w:lastRenderedPageBreak/>
        <w:t>Projektui įgyvendinti yra pasiektos visos teisinės prielaidos:</w:t>
      </w:r>
    </w:p>
    <w:p w:rsidR="00AA01A0" w:rsidRPr="00B778A6" w:rsidRDefault="00AA01A0" w:rsidP="00664B6F">
      <w:pPr>
        <w:pStyle w:val="ListParagraph"/>
        <w:numPr>
          <w:ilvl w:val="1"/>
          <w:numId w:val="32"/>
        </w:numPr>
        <w:ind w:left="1276" w:hanging="196"/>
        <w:jc w:val="both"/>
        <w:rPr>
          <w:szCs w:val="24"/>
        </w:rPr>
      </w:pPr>
      <w:r w:rsidRPr="00B778A6">
        <w:rPr>
          <w:szCs w:val="24"/>
        </w:rPr>
        <w:t>Projektas yra įtrauktas į numatomų įgyvendinti priemonių sąra</w:t>
      </w:r>
      <w:r w:rsidR="002534EC" w:rsidRPr="00B778A6">
        <w:rPr>
          <w:szCs w:val="24"/>
        </w:rPr>
        <w:t>šus rajono lygiu;</w:t>
      </w:r>
    </w:p>
    <w:p w:rsidR="00AA01A0" w:rsidRPr="00B778A6" w:rsidRDefault="00AA01A0" w:rsidP="00664B6F">
      <w:pPr>
        <w:pStyle w:val="ListParagraph"/>
        <w:numPr>
          <w:ilvl w:val="1"/>
          <w:numId w:val="32"/>
        </w:numPr>
        <w:ind w:left="1276" w:hanging="196"/>
        <w:jc w:val="both"/>
        <w:rPr>
          <w:szCs w:val="24"/>
        </w:rPr>
      </w:pPr>
      <w:r w:rsidRPr="00B778A6">
        <w:rPr>
          <w:szCs w:val="24"/>
        </w:rPr>
        <w:t xml:space="preserve">Disponavimas nekilnojamuoju turtu. </w:t>
      </w:r>
      <w:r w:rsidRPr="00B778A6">
        <w:t xml:space="preserve">Pastatą nuosavybės teise valdo pareiškėjas – </w:t>
      </w:r>
      <w:r w:rsidR="0033067A" w:rsidRPr="00B778A6">
        <w:t>Prienų</w:t>
      </w:r>
      <w:r w:rsidRPr="00B778A6">
        <w:t xml:space="preserve"> rajono savivaldybė</w:t>
      </w:r>
      <w:r w:rsidR="00BA60A6" w:rsidRPr="00B778A6">
        <w:t>.</w:t>
      </w:r>
      <w:r w:rsidRPr="00B778A6">
        <w:t xml:space="preserve"> </w:t>
      </w:r>
    </w:p>
    <w:p w:rsidR="00AA01A0" w:rsidRPr="00B778A6" w:rsidRDefault="00AA01A0" w:rsidP="00664B6F">
      <w:pPr>
        <w:pStyle w:val="ListParagraph"/>
        <w:numPr>
          <w:ilvl w:val="1"/>
          <w:numId w:val="32"/>
        </w:numPr>
        <w:ind w:left="1276" w:hanging="196"/>
        <w:jc w:val="both"/>
        <w:rPr>
          <w:szCs w:val="24"/>
        </w:rPr>
      </w:pPr>
      <w:r w:rsidRPr="00B778A6">
        <w:t xml:space="preserve">Projektas atitinka aplinkos apsaugos reikalavimus (poveikio aplinkai vertinimas yra neprivalomas, nes planuojama ūkinė veikla nėra įrašyta į Planuojamos ūkinės veiklos, kurios poveikis aplinkai privalo būti vertinamas, rūšių sąrašą (LR planuojamos ūkinės veiklos poveikio aplinkai vertinimo įstatymo 1 priedas), atranka dėl poveikio aplinkai vertinimo yra neprivaloma, nes planuojama ūkinė veikla nėra įrašyta į Planuojamos ūkinės veiklos, kuriai turi būti atliekama atranka dėl poveikio aplinkai vertinimo, rūšių sąrašą (LR planuojamos ūkinės veiklos poveikio aplinkai vertinimo įstatymo 2 priedas), projektas nepatenka į „Natura 2000“ teritorijas, todėl nebuvo atliktas „Natura 2000“ teritorijų reikšmingumo nustatymas). </w:t>
      </w:r>
    </w:p>
    <w:p w:rsidR="00AA01A0" w:rsidRPr="00B778A6" w:rsidRDefault="00AA01A0" w:rsidP="00664B6F">
      <w:pPr>
        <w:pStyle w:val="ListParagraph"/>
        <w:numPr>
          <w:ilvl w:val="1"/>
          <w:numId w:val="32"/>
        </w:numPr>
        <w:ind w:left="1276" w:hanging="196"/>
        <w:jc w:val="both"/>
        <w:rPr>
          <w:szCs w:val="24"/>
        </w:rPr>
      </w:pPr>
      <w:r w:rsidRPr="00B778A6">
        <w:t>Disponavimas projekto rezultatais. Po projekto įgyvendinimo modernizuoto turto savininkas ir naudotojas nepasikeis.</w:t>
      </w:r>
      <w:r w:rsidR="00574A67" w:rsidRPr="00B778A6">
        <w:t xml:space="preserve"> </w:t>
      </w:r>
    </w:p>
    <w:p w:rsidR="00AA01A0" w:rsidRPr="00B778A6" w:rsidRDefault="00AA01A0" w:rsidP="00AA01A0">
      <w:pPr>
        <w:ind w:firstLine="709"/>
        <w:jc w:val="both"/>
      </w:pPr>
    </w:p>
    <w:p w:rsidR="00AA01A0" w:rsidRPr="00B778A6" w:rsidRDefault="00AA01A0" w:rsidP="00AA01A0">
      <w:pPr>
        <w:ind w:firstLine="709"/>
        <w:jc w:val="both"/>
        <w:rPr>
          <w:b/>
        </w:rPr>
      </w:pPr>
      <w:r w:rsidRPr="00B778A6">
        <w:rPr>
          <w:b/>
        </w:rPr>
        <w:t xml:space="preserve">Projektas bus įgyvendinamas </w:t>
      </w:r>
      <w:r w:rsidR="00DC269B" w:rsidRPr="00B778A6">
        <w:rPr>
          <w:b/>
        </w:rPr>
        <w:t xml:space="preserve">vadovaujantis </w:t>
      </w:r>
      <w:r w:rsidRPr="00B778A6">
        <w:rPr>
          <w:b/>
        </w:rPr>
        <w:t>nurodyt</w:t>
      </w:r>
      <w:r w:rsidR="00DC269B" w:rsidRPr="00B778A6">
        <w:rPr>
          <w:b/>
        </w:rPr>
        <w:t>ais</w:t>
      </w:r>
      <w:r w:rsidRPr="00B778A6">
        <w:rPr>
          <w:b/>
        </w:rPr>
        <w:t xml:space="preserve"> teisės akt</w:t>
      </w:r>
      <w:r w:rsidR="00DC269B" w:rsidRPr="00B778A6">
        <w:rPr>
          <w:b/>
        </w:rPr>
        <w:t>ais</w:t>
      </w:r>
      <w:r w:rsidRPr="00B778A6">
        <w:rPr>
          <w:b/>
        </w:rPr>
        <w:t xml:space="preserve"> ir strategini</w:t>
      </w:r>
      <w:r w:rsidR="00DC269B" w:rsidRPr="00B778A6">
        <w:rPr>
          <w:b/>
        </w:rPr>
        <w:t>ais</w:t>
      </w:r>
      <w:r w:rsidRPr="00B778A6">
        <w:rPr>
          <w:b/>
        </w:rPr>
        <w:t xml:space="preserve"> dokument</w:t>
      </w:r>
      <w:r w:rsidR="00DC269B" w:rsidRPr="00B778A6">
        <w:rPr>
          <w:b/>
        </w:rPr>
        <w:t>ais</w:t>
      </w:r>
      <w:r w:rsidRPr="00B778A6">
        <w:rPr>
          <w:b/>
        </w:rPr>
        <w:t>, projekto įgyvendinimo galimybėms, projekto veikloms, rezultatams, finansiniam tęstinumui jokių teisinių apribojimų nenustatyta.</w:t>
      </w:r>
    </w:p>
    <w:p w:rsidR="00AA01A0" w:rsidRPr="00B778A6" w:rsidRDefault="00AA01A0" w:rsidP="00AA01A0">
      <w:pPr>
        <w:ind w:firstLine="709"/>
        <w:jc w:val="both"/>
      </w:pPr>
    </w:p>
    <w:p w:rsidR="00FD1BF7" w:rsidRPr="00B778A6" w:rsidRDefault="00B54573" w:rsidP="00B54573">
      <w:pPr>
        <w:pStyle w:val="Heading2"/>
        <w:rPr>
          <w:rFonts w:ascii="Times New Roman" w:hAnsi="Times New Roman"/>
        </w:rPr>
      </w:pPr>
      <w:bookmarkStart w:id="6" w:name="_Toc34924467"/>
      <w:r w:rsidRPr="00B778A6">
        <w:rPr>
          <w:rFonts w:ascii="Times New Roman" w:hAnsi="Times New Roman"/>
          <w:lang w:val="lt-LT"/>
        </w:rPr>
        <w:t xml:space="preserve">1.3. </w:t>
      </w:r>
      <w:r w:rsidR="00794B43" w:rsidRPr="00B778A6">
        <w:rPr>
          <w:rFonts w:ascii="Times New Roman" w:hAnsi="Times New Roman"/>
          <w:lang w:val="lt-LT"/>
        </w:rPr>
        <w:t>Sprendžiamos problemos</w:t>
      </w:r>
      <w:r w:rsidR="00037097" w:rsidRPr="00B778A6">
        <w:rPr>
          <w:rFonts w:ascii="Times New Roman" w:hAnsi="Times New Roman"/>
          <w:lang w:val="lt-LT"/>
        </w:rPr>
        <w:t xml:space="preserve"> ir jų atsiradimo priežastys</w:t>
      </w:r>
      <w:bookmarkEnd w:id="6"/>
    </w:p>
    <w:p w:rsidR="007926A2" w:rsidRPr="00B778A6" w:rsidRDefault="007926A2" w:rsidP="00F40338">
      <w:pPr>
        <w:pStyle w:val="ColorfulList-Accent11"/>
        <w:ind w:left="0" w:firstLine="709"/>
        <w:rPr>
          <w:szCs w:val="24"/>
        </w:rPr>
      </w:pPr>
    </w:p>
    <w:p w:rsidR="00BE36D6" w:rsidRPr="00B778A6" w:rsidRDefault="000830F4" w:rsidP="00260178">
      <w:pPr>
        <w:pStyle w:val="ColorfulList-Accent11"/>
        <w:ind w:left="0" w:firstLine="709"/>
        <w:jc w:val="both"/>
        <w:rPr>
          <w:szCs w:val="24"/>
        </w:rPr>
      </w:pPr>
      <w:r w:rsidRPr="00B778A6">
        <w:rPr>
          <w:szCs w:val="24"/>
        </w:rPr>
        <w:t>Viena didžiausių problemų šilumos sektoriuje – neefektyvus šilumos energijos vartojimas. Vidutinis metinis šilumos suvartojimas pastatuose Lietuvoje siekia 209 kWh/m</w:t>
      </w:r>
      <w:r w:rsidRPr="00B778A6">
        <w:rPr>
          <w:szCs w:val="24"/>
          <w:vertAlign w:val="superscript"/>
        </w:rPr>
        <w:t>2</w:t>
      </w:r>
      <w:r w:rsidRPr="00B778A6">
        <w:rPr>
          <w:szCs w:val="24"/>
        </w:rPr>
        <w:t xml:space="preserve">, t. y. daug daugiau negu </w:t>
      </w:r>
      <w:r w:rsidR="00EE0167" w:rsidRPr="00B778A6">
        <w:rPr>
          <w:szCs w:val="24"/>
        </w:rPr>
        <w:t xml:space="preserve">šaltesnio klimato </w:t>
      </w:r>
      <w:r w:rsidRPr="00B778A6">
        <w:rPr>
          <w:szCs w:val="24"/>
        </w:rPr>
        <w:t>Skandinavijos šalyse, kuriose per metus pastatams šildyti sunaudojama vidutiniškai 128 kWh/m</w:t>
      </w:r>
      <w:r w:rsidRPr="00B778A6">
        <w:rPr>
          <w:szCs w:val="24"/>
          <w:vertAlign w:val="superscript"/>
        </w:rPr>
        <w:t>2</w:t>
      </w:r>
      <w:r w:rsidRPr="00B778A6">
        <w:rPr>
          <w:szCs w:val="24"/>
        </w:rPr>
        <w:t>. Padidinus šilumos vartojimo efektyvumą, gerokai sumažėtų mokesčių už šildymą našta ir kartu būtų sumažinti išmetamų šiltnamio e</w:t>
      </w:r>
      <w:r w:rsidR="00260178" w:rsidRPr="00B778A6">
        <w:rPr>
          <w:szCs w:val="24"/>
        </w:rPr>
        <w:t>fektą sukeliančių dujų kiekiai.</w:t>
      </w:r>
    </w:p>
    <w:p w:rsidR="00BE36D6" w:rsidRPr="00B778A6" w:rsidRDefault="00BE36D6" w:rsidP="00BE36D6">
      <w:pPr>
        <w:ind w:firstLine="709"/>
        <w:contextualSpacing/>
        <w:jc w:val="both"/>
      </w:pPr>
      <w:r w:rsidRPr="00B778A6">
        <w:rPr>
          <w:szCs w:val="20"/>
          <w:lang w:eastAsia="en-US"/>
        </w:rPr>
        <w:t xml:space="preserve">Lietuvoje, kaip ir kitose išsivysčiusiose valstybėse, galioja valstybės patvirtintos higienos normos, t.y. </w:t>
      </w:r>
      <w:r w:rsidR="00260178" w:rsidRPr="00B778A6">
        <w:rPr>
          <w:szCs w:val="20"/>
          <w:lang w:eastAsia="en-US"/>
        </w:rPr>
        <w:t>administraciniuose pastatuose</w:t>
      </w:r>
      <w:r w:rsidRPr="00B778A6">
        <w:rPr>
          <w:szCs w:val="20"/>
          <w:lang w:eastAsia="en-US"/>
        </w:rPr>
        <w:t xml:space="preserve"> būtina užtikrinti deramas sąlygas – patalpas tinkamai apšviesti ir šildyti, sudaryti kitas būtinas sanitarines ir higienines sąlygas </w:t>
      </w:r>
      <w:r w:rsidR="00260178" w:rsidRPr="00B778A6">
        <w:rPr>
          <w:szCs w:val="20"/>
          <w:lang w:eastAsia="en-US"/>
        </w:rPr>
        <w:t>darbuotojams ir lankytojams</w:t>
      </w:r>
      <w:r w:rsidRPr="00B778A6">
        <w:t xml:space="preserve">. Nuo </w:t>
      </w:r>
      <w:r w:rsidR="00260178" w:rsidRPr="00B778A6">
        <w:t>savivaldybės</w:t>
      </w:r>
      <w:r w:rsidRPr="00B778A6">
        <w:t xml:space="preserve"> įstaigų pastatų būklės taip pat priklauso, ar racionaliai bus panaudojamos </w:t>
      </w:r>
      <w:r w:rsidR="00260178" w:rsidRPr="00B778A6">
        <w:t>viešosios</w:t>
      </w:r>
      <w:r w:rsidRPr="00B778A6">
        <w:t xml:space="preserve"> lėšos. </w:t>
      </w:r>
      <w:r w:rsidR="00260178" w:rsidRPr="00B778A6">
        <w:t>Esant prastos techninės būklės ir energetiškai neefektyviems pastatams, lėšos skiriamos</w:t>
      </w:r>
      <w:r w:rsidRPr="00B778A6">
        <w:t xml:space="preserve"> ne įstaigos darbuotojų atlyginimams kelti, materialinei bazei turtinti, o išlaikyti nerenovuotus  pastatus, nors tuose pastatuose vis tiek bus sunku ar net neįmanoma užtikrinti deramas darbo </w:t>
      </w:r>
      <w:r w:rsidR="00260178" w:rsidRPr="00B778A6">
        <w:t xml:space="preserve">ir paslaugų </w:t>
      </w:r>
      <w:r w:rsidR="00DC269B" w:rsidRPr="00B778A6">
        <w:t xml:space="preserve">teikimo </w:t>
      </w:r>
      <w:r w:rsidRPr="00B778A6">
        <w:t>sąlygas.</w:t>
      </w:r>
    </w:p>
    <w:p w:rsidR="00BE36D6" w:rsidRPr="00B778A6" w:rsidRDefault="00BE36D6" w:rsidP="00BE36D6">
      <w:pPr>
        <w:ind w:firstLine="709"/>
        <w:jc w:val="both"/>
      </w:pPr>
      <w:r w:rsidRPr="00B778A6">
        <w:t xml:space="preserve">Inicijuojamu projektu siekiama iš dalies pagerinti </w:t>
      </w:r>
      <w:r w:rsidR="0033067A" w:rsidRPr="00B778A6">
        <w:t>Prienų</w:t>
      </w:r>
      <w:r w:rsidRPr="00B778A6">
        <w:t xml:space="preserve"> rajono </w:t>
      </w:r>
      <w:r w:rsidR="00260178" w:rsidRPr="00B778A6">
        <w:t xml:space="preserve">savivaldybės </w:t>
      </w:r>
      <w:r w:rsidR="006F24CC" w:rsidRPr="00B778A6">
        <w:t>infrastruktūrą</w:t>
      </w:r>
      <w:r w:rsidR="00260178" w:rsidRPr="00B778A6">
        <w:t xml:space="preserve">, </w:t>
      </w:r>
      <w:r w:rsidRPr="00B778A6">
        <w:t>bus sprendžiamos šios problemos:</w:t>
      </w:r>
    </w:p>
    <w:p w:rsidR="00955B11" w:rsidRPr="00B778A6" w:rsidRDefault="0033067A" w:rsidP="00955B11">
      <w:pPr>
        <w:pStyle w:val="ListParagraph"/>
        <w:numPr>
          <w:ilvl w:val="0"/>
          <w:numId w:val="32"/>
        </w:numPr>
        <w:jc w:val="both"/>
        <w:rPr>
          <w:szCs w:val="24"/>
        </w:rPr>
      </w:pPr>
      <w:r w:rsidRPr="00B778A6">
        <w:rPr>
          <w:szCs w:val="24"/>
        </w:rPr>
        <w:t>Prienų</w:t>
      </w:r>
      <w:r w:rsidR="00955B11" w:rsidRPr="00B778A6">
        <w:rPr>
          <w:szCs w:val="24"/>
        </w:rPr>
        <w:t xml:space="preserve"> </w:t>
      </w:r>
      <w:r w:rsidR="00BE4C10" w:rsidRPr="00B778A6">
        <w:rPr>
          <w:szCs w:val="24"/>
        </w:rPr>
        <w:t>lopšelio-darželio „Gintarėlis“</w:t>
      </w:r>
      <w:r w:rsidR="00955B11" w:rsidRPr="00B778A6">
        <w:rPr>
          <w:szCs w:val="24"/>
        </w:rPr>
        <w:t xml:space="preserve"> pastatas (</w:t>
      </w:r>
      <w:r w:rsidR="00BE4C10" w:rsidRPr="00B778A6">
        <w:rPr>
          <w:szCs w:val="24"/>
        </w:rPr>
        <w:t>Statybininkų g. 17, Prienai</w:t>
      </w:r>
      <w:r w:rsidR="00955B11" w:rsidRPr="00B778A6">
        <w:rPr>
          <w:szCs w:val="24"/>
        </w:rPr>
        <w:t xml:space="preserve">) </w:t>
      </w:r>
      <w:r w:rsidR="00DC269B" w:rsidRPr="00B778A6">
        <w:rPr>
          <w:szCs w:val="24"/>
        </w:rPr>
        <w:t>pa</w:t>
      </w:r>
      <w:r w:rsidR="00955B11" w:rsidRPr="00B778A6">
        <w:rPr>
          <w:szCs w:val="24"/>
        </w:rPr>
        <w:t xml:space="preserve">statytas </w:t>
      </w:r>
      <w:r w:rsidR="00BE4C10" w:rsidRPr="00B778A6">
        <w:rPr>
          <w:szCs w:val="24"/>
        </w:rPr>
        <w:t xml:space="preserve">1975 </w:t>
      </w:r>
      <w:r w:rsidR="00955B11" w:rsidRPr="00B778A6">
        <w:rPr>
          <w:szCs w:val="24"/>
        </w:rPr>
        <w:t xml:space="preserve">metais. </w:t>
      </w:r>
      <w:r w:rsidR="00955B11" w:rsidRPr="00B778A6">
        <w:t>Rengiant energijos vartojimo audito ataskaitą</w:t>
      </w:r>
      <w:r w:rsidR="00955B11" w:rsidRPr="00B778A6">
        <w:rPr>
          <w:szCs w:val="24"/>
        </w:rPr>
        <w:t xml:space="preserve"> buvo nustatyta, kad pastato šilumos energijos sąnaudos</w:t>
      </w:r>
      <w:r w:rsidR="00EE0167" w:rsidRPr="00B778A6">
        <w:rPr>
          <w:szCs w:val="24"/>
        </w:rPr>
        <w:t>,</w:t>
      </w:r>
      <w:r w:rsidR="00955B11" w:rsidRPr="00B778A6">
        <w:rPr>
          <w:szCs w:val="24"/>
        </w:rPr>
        <w:t xml:space="preserve"> perskaičiuotos norminiams metams</w:t>
      </w:r>
      <w:r w:rsidR="00EE0167" w:rsidRPr="00B778A6">
        <w:rPr>
          <w:szCs w:val="24"/>
        </w:rPr>
        <w:t>,</w:t>
      </w:r>
      <w:r w:rsidR="00955B11" w:rsidRPr="00B778A6">
        <w:rPr>
          <w:szCs w:val="24"/>
        </w:rPr>
        <w:t xml:space="preserve"> yra </w:t>
      </w:r>
      <w:r w:rsidR="00BE4C10" w:rsidRPr="00B778A6">
        <w:rPr>
          <w:szCs w:val="24"/>
        </w:rPr>
        <w:t xml:space="preserve">214 </w:t>
      </w:r>
      <w:r w:rsidR="00955B11" w:rsidRPr="00B778A6">
        <w:rPr>
          <w:szCs w:val="24"/>
        </w:rPr>
        <w:t>kWh/m² šildomo ploto. Pastato energinio naudingumo klasė yra ypač žema – F.</w:t>
      </w:r>
      <w:r w:rsidR="00EE0167" w:rsidRPr="00B778A6">
        <w:rPr>
          <w:szCs w:val="24"/>
        </w:rPr>
        <w:t xml:space="preserve"> Tai sąlygoja ypač didelius</w:t>
      </w:r>
      <w:r w:rsidR="00375FC6" w:rsidRPr="00B778A6">
        <w:rPr>
          <w:szCs w:val="24"/>
        </w:rPr>
        <w:t xml:space="preserve"> šiluminius nuostolius, energija naudojama neracionaliai.</w:t>
      </w:r>
      <w:r w:rsidR="00EE0167" w:rsidRPr="00B778A6">
        <w:rPr>
          <w:szCs w:val="24"/>
        </w:rPr>
        <w:t xml:space="preserve"> </w:t>
      </w:r>
    </w:p>
    <w:p w:rsidR="002F314C" w:rsidRPr="00B778A6" w:rsidRDefault="00150B29" w:rsidP="0056012B">
      <w:pPr>
        <w:pStyle w:val="Heading1"/>
      </w:pPr>
      <w:r w:rsidRPr="00B778A6">
        <w:rPr>
          <w:lang w:val="lt-LT"/>
        </w:rPr>
        <w:br w:type="page"/>
      </w:r>
      <w:bookmarkStart w:id="7" w:name="_Toc34924468"/>
      <w:r w:rsidR="002F314C" w:rsidRPr="00B778A6">
        <w:rPr>
          <w:rFonts w:ascii="Times New Roman" w:hAnsi="Times New Roman"/>
          <w:lang w:val="lt-LT"/>
        </w:rPr>
        <w:lastRenderedPageBreak/>
        <w:t>2. PROJEKTO TURINYS</w:t>
      </w:r>
      <w:bookmarkEnd w:id="7"/>
    </w:p>
    <w:p w:rsidR="002F314C" w:rsidRPr="00B778A6" w:rsidRDefault="002F314C" w:rsidP="0019616D">
      <w:pPr>
        <w:pStyle w:val="ColorfulList-Accent11"/>
        <w:ind w:left="0" w:firstLine="709"/>
        <w:jc w:val="both"/>
        <w:rPr>
          <w:bCs/>
          <w:color w:val="000000"/>
        </w:rPr>
      </w:pPr>
    </w:p>
    <w:p w:rsidR="00593A94" w:rsidRPr="00B778A6" w:rsidRDefault="00593A94" w:rsidP="00593A94">
      <w:pPr>
        <w:pStyle w:val="ColorfulList-Accent11"/>
        <w:ind w:left="0" w:firstLine="720"/>
        <w:jc w:val="both"/>
        <w:rPr>
          <w:szCs w:val="24"/>
        </w:rPr>
      </w:pPr>
      <w:r w:rsidRPr="00B778A6">
        <w:rPr>
          <w:szCs w:val="24"/>
        </w:rPr>
        <w:t xml:space="preserve">Šioje dalyje </w:t>
      </w:r>
      <w:r w:rsidR="008E4BF1" w:rsidRPr="00B778A6">
        <w:rPr>
          <w:szCs w:val="24"/>
        </w:rPr>
        <w:t>formuojamas projekto tikslas ir uždaviniai, įvertinamos projekto sąsajos su kitais įgyvendintais arba būsimais projektais, nustatomos pro</w:t>
      </w:r>
      <w:r w:rsidR="00981800" w:rsidRPr="00B778A6">
        <w:rPr>
          <w:szCs w:val="24"/>
        </w:rPr>
        <w:t xml:space="preserve">jekto ribos, tikslinės grupės, </w:t>
      </w:r>
      <w:r w:rsidR="008E4BF1" w:rsidRPr="00B778A6">
        <w:rPr>
          <w:szCs w:val="24"/>
        </w:rPr>
        <w:t>atliekamas projekto organizacijos pristatymas</w:t>
      </w:r>
      <w:r w:rsidRPr="00B778A6">
        <w:rPr>
          <w:szCs w:val="24"/>
        </w:rPr>
        <w:t xml:space="preserve">, </w:t>
      </w:r>
      <w:r w:rsidR="008E4BF1" w:rsidRPr="00B778A6">
        <w:rPr>
          <w:szCs w:val="24"/>
        </w:rPr>
        <w:t xml:space="preserve">numatomi laukiami </w:t>
      </w:r>
      <w:r w:rsidRPr="00B778A6">
        <w:rPr>
          <w:szCs w:val="24"/>
        </w:rPr>
        <w:t>projekto rezultatai.</w:t>
      </w:r>
    </w:p>
    <w:p w:rsidR="00593A94" w:rsidRPr="00B778A6" w:rsidRDefault="00593A94" w:rsidP="0019616D">
      <w:pPr>
        <w:pStyle w:val="ColorfulList-Accent11"/>
        <w:ind w:left="0" w:firstLine="709"/>
        <w:jc w:val="both"/>
        <w:rPr>
          <w:bCs/>
          <w:color w:val="000000"/>
        </w:rPr>
      </w:pPr>
    </w:p>
    <w:p w:rsidR="002F314C" w:rsidRPr="00B778A6" w:rsidRDefault="002F314C" w:rsidP="0056012B">
      <w:pPr>
        <w:pStyle w:val="Heading2"/>
        <w:rPr>
          <w:rFonts w:ascii="Times New Roman" w:hAnsi="Times New Roman"/>
        </w:rPr>
      </w:pPr>
      <w:bookmarkStart w:id="8" w:name="_Toc34924469"/>
      <w:r w:rsidRPr="00B778A6">
        <w:rPr>
          <w:rFonts w:ascii="Times New Roman" w:hAnsi="Times New Roman"/>
          <w:lang w:val="lt-LT"/>
        </w:rPr>
        <w:t>2.1. Projekto tikslas</w:t>
      </w:r>
      <w:r w:rsidR="00037097" w:rsidRPr="00B778A6">
        <w:rPr>
          <w:rFonts w:ascii="Times New Roman" w:hAnsi="Times New Roman"/>
          <w:lang w:val="lt-LT"/>
        </w:rPr>
        <w:t xml:space="preserve"> ir uždaviniai</w:t>
      </w:r>
      <w:bookmarkEnd w:id="8"/>
    </w:p>
    <w:p w:rsidR="002F314C" w:rsidRPr="00B778A6" w:rsidRDefault="002F314C" w:rsidP="004C0F1D">
      <w:pPr>
        <w:ind w:firstLine="720"/>
        <w:contextualSpacing/>
        <w:jc w:val="both"/>
        <w:rPr>
          <w:lang w:eastAsia="en-US"/>
        </w:rPr>
      </w:pPr>
    </w:p>
    <w:p w:rsidR="00F12A68" w:rsidRPr="00B778A6" w:rsidRDefault="00F12A68" w:rsidP="00F12A68">
      <w:pPr>
        <w:ind w:firstLine="720"/>
        <w:jc w:val="both"/>
        <w:rPr>
          <w:b/>
          <w:lang w:eastAsia="en-US"/>
        </w:rPr>
      </w:pPr>
      <w:r w:rsidRPr="00B778A6">
        <w:rPr>
          <w:b/>
        </w:rPr>
        <w:t>Projekto „</w:t>
      </w:r>
      <w:r w:rsidR="00411565" w:rsidRPr="00B778A6">
        <w:rPr>
          <w:b/>
          <w:lang w:eastAsia="en-US"/>
        </w:rPr>
        <w:t>Lopšelio-</w:t>
      </w:r>
      <w:r w:rsidR="00BB502B" w:rsidRPr="00B778A6">
        <w:rPr>
          <w:b/>
          <w:lang w:eastAsia="en-US"/>
        </w:rPr>
        <w:t>darželio Gintarėlis modernizavimas</w:t>
      </w:r>
      <w:r w:rsidRPr="00B778A6">
        <w:rPr>
          <w:b/>
          <w:lang w:eastAsia="en-US"/>
        </w:rPr>
        <w:t>“ tikslas:</w:t>
      </w:r>
    </w:p>
    <w:p w:rsidR="00664B6F" w:rsidRPr="00B778A6" w:rsidRDefault="00BB502B" w:rsidP="00664B6F">
      <w:pPr>
        <w:numPr>
          <w:ilvl w:val="0"/>
          <w:numId w:val="4"/>
        </w:numPr>
        <w:jc w:val="both"/>
        <w:rPr>
          <w:lang w:eastAsia="en-US"/>
        </w:rPr>
      </w:pPr>
      <w:r w:rsidRPr="00B778A6">
        <w:rPr>
          <w:lang w:eastAsia="en-US"/>
        </w:rPr>
        <w:t>Optimizuoti Prienų rajono savivaldybės ir jos įstaigų teikiamų viešųjų paslaugų kaštus</w:t>
      </w:r>
      <w:r w:rsidR="00664B6F" w:rsidRPr="00B778A6">
        <w:rPr>
          <w:lang w:eastAsia="en-US"/>
        </w:rPr>
        <w:t>.</w:t>
      </w:r>
    </w:p>
    <w:p w:rsidR="00664B6F" w:rsidRPr="00B778A6" w:rsidRDefault="00664B6F" w:rsidP="00664B6F">
      <w:pPr>
        <w:ind w:firstLine="709"/>
        <w:jc w:val="both"/>
        <w:rPr>
          <w:lang w:eastAsia="en-US"/>
        </w:rPr>
      </w:pPr>
      <w:r w:rsidRPr="00B778A6">
        <w:t>Projekto tikslas atitinka fondų fondo „Savivaldybių pastatų fondas“ finansinę priemonės „Paskolos savivaldybių pastatų modernizavimui, finansuojamos iš Europos regioninės plėtros fondo“ tikslą „Atnaujinti savivaldybių viešuosius pastatus, siekiant, kad pastatai atitiktų bent minimalius energinio naudingumo reikalavimus, t. y. ne žemesnę kaip C energinio naudingumo klasę“.</w:t>
      </w:r>
    </w:p>
    <w:p w:rsidR="00664B6F" w:rsidRPr="00B778A6" w:rsidRDefault="00664B6F" w:rsidP="00664B6F">
      <w:pPr>
        <w:pStyle w:val="Default"/>
        <w:jc w:val="both"/>
        <w:rPr>
          <w:rFonts w:eastAsia="Calibri"/>
        </w:rPr>
      </w:pPr>
    </w:p>
    <w:p w:rsidR="00664B6F" w:rsidRPr="00B778A6" w:rsidRDefault="00664B6F" w:rsidP="00664B6F">
      <w:pPr>
        <w:ind w:firstLine="709"/>
        <w:jc w:val="both"/>
        <w:rPr>
          <w:b/>
          <w:lang w:eastAsia="en-US"/>
        </w:rPr>
      </w:pPr>
      <w:r w:rsidRPr="00B778A6">
        <w:rPr>
          <w:b/>
          <w:lang w:eastAsia="en-US"/>
        </w:rPr>
        <w:t>Projekto uždavinys:</w:t>
      </w:r>
    </w:p>
    <w:p w:rsidR="00664B6F" w:rsidRPr="00B778A6" w:rsidRDefault="00BB502B" w:rsidP="00664B6F">
      <w:pPr>
        <w:numPr>
          <w:ilvl w:val="0"/>
          <w:numId w:val="4"/>
        </w:numPr>
        <w:contextualSpacing/>
        <w:jc w:val="both"/>
        <w:rPr>
          <w:lang w:eastAsia="en-US"/>
        </w:rPr>
      </w:pPr>
      <w:r w:rsidRPr="00B778A6">
        <w:rPr>
          <w:lang w:eastAsia="en-US"/>
        </w:rPr>
        <w:t>Optimizuoti Prienų rajono savivaldybės įstaigų veiklai naudojamas patalpas</w:t>
      </w:r>
      <w:r w:rsidR="00664B6F" w:rsidRPr="00B778A6">
        <w:rPr>
          <w:lang w:eastAsia="en-US"/>
        </w:rPr>
        <w:t>.</w:t>
      </w:r>
    </w:p>
    <w:p w:rsidR="00664B6F" w:rsidRPr="00B778A6" w:rsidRDefault="00664B6F" w:rsidP="00664B6F">
      <w:pPr>
        <w:ind w:firstLine="709"/>
        <w:jc w:val="both"/>
        <w:rPr>
          <w:b/>
          <w:lang w:eastAsia="en-US"/>
        </w:rPr>
      </w:pPr>
    </w:p>
    <w:p w:rsidR="00664B6F" w:rsidRPr="00B778A6" w:rsidRDefault="00664B6F" w:rsidP="00664B6F">
      <w:pPr>
        <w:ind w:firstLine="709"/>
        <w:jc w:val="both"/>
        <w:rPr>
          <w:b/>
          <w:lang w:eastAsia="en-US"/>
        </w:rPr>
      </w:pPr>
      <w:r w:rsidRPr="00B778A6">
        <w:rPr>
          <w:b/>
          <w:lang w:eastAsia="en-US"/>
        </w:rPr>
        <w:t xml:space="preserve">Projekto veiklos: </w:t>
      </w:r>
    </w:p>
    <w:p w:rsidR="00664B6F" w:rsidRPr="00B778A6" w:rsidRDefault="00411565" w:rsidP="00664B6F">
      <w:pPr>
        <w:numPr>
          <w:ilvl w:val="0"/>
          <w:numId w:val="22"/>
        </w:numPr>
        <w:autoSpaceDE w:val="0"/>
        <w:autoSpaceDN w:val="0"/>
        <w:adjustRightInd w:val="0"/>
        <w:jc w:val="both"/>
      </w:pPr>
      <w:r w:rsidRPr="00B778A6">
        <w:t>Lopšelio-</w:t>
      </w:r>
      <w:r w:rsidR="00BB502B" w:rsidRPr="00B778A6">
        <w:t>darželio Gintarėlis pastato energetinio efektyvumo pagerinimas</w:t>
      </w:r>
      <w:r w:rsidR="00664B6F" w:rsidRPr="00B778A6">
        <w:rPr>
          <w:lang w:eastAsia="en-US"/>
        </w:rPr>
        <w:t>.</w:t>
      </w:r>
    </w:p>
    <w:p w:rsidR="00664B6F" w:rsidRPr="00B778A6" w:rsidRDefault="00664B6F" w:rsidP="00664B6F">
      <w:pPr>
        <w:autoSpaceDE w:val="0"/>
        <w:autoSpaceDN w:val="0"/>
        <w:adjustRightInd w:val="0"/>
        <w:ind w:firstLine="709"/>
        <w:jc w:val="both"/>
        <w:rPr>
          <w:color w:val="000000"/>
        </w:rPr>
      </w:pPr>
      <w:r w:rsidRPr="00B778A6">
        <w:rPr>
          <w:color w:val="000000"/>
        </w:rPr>
        <w:t>Projekto veikla atitinka fondų fondo „Savivaldybių pastatų fondas“ finansinę priemonės „Paskolos savivaldybių pastatų modernizavimui, finansuojamos iš Europos regioninės plėtros fondo“ veiklą „Savivaldybių viešųjų pastatų atnaujinimas, didinant energijos vartojimo efektyvumą“.</w:t>
      </w:r>
    </w:p>
    <w:p w:rsidR="002F314C" w:rsidRPr="00B778A6" w:rsidRDefault="002F314C" w:rsidP="0056012B">
      <w:pPr>
        <w:pStyle w:val="Heading2"/>
        <w:rPr>
          <w:rFonts w:ascii="Times New Roman" w:hAnsi="Times New Roman"/>
        </w:rPr>
      </w:pPr>
      <w:bookmarkStart w:id="9" w:name="_Toc34924470"/>
      <w:r w:rsidRPr="00B778A6">
        <w:rPr>
          <w:rFonts w:ascii="Times New Roman" w:hAnsi="Times New Roman"/>
          <w:lang w:val="lt-LT"/>
        </w:rPr>
        <w:t>2.2. Projekto sąsaj</w:t>
      </w:r>
      <w:r w:rsidR="00037097" w:rsidRPr="00B778A6">
        <w:rPr>
          <w:rFonts w:ascii="Times New Roman" w:hAnsi="Times New Roman"/>
          <w:lang w:val="lt-LT"/>
        </w:rPr>
        <w:t>os</w:t>
      </w:r>
      <w:r w:rsidRPr="00B778A6">
        <w:rPr>
          <w:rFonts w:ascii="Times New Roman" w:hAnsi="Times New Roman"/>
          <w:lang w:val="lt-LT"/>
        </w:rPr>
        <w:t xml:space="preserve"> su kitais projektais</w:t>
      </w:r>
      <w:bookmarkEnd w:id="9"/>
    </w:p>
    <w:p w:rsidR="009367E3" w:rsidRPr="00B778A6" w:rsidRDefault="009367E3" w:rsidP="002F314C">
      <w:pPr>
        <w:pStyle w:val="ColorfulList-Accent11"/>
        <w:ind w:left="0"/>
        <w:jc w:val="both"/>
        <w:rPr>
          <w:szCs w:val="24"/>
        </w:rPr>
      </w:pPr>
    </w:p>
    <w:p w:rsidR="002F314C" w:rsidRPr="00B778A6" w:rsidRDefault="00C070A7" w:rsidP="009367E3">
      <w:pPr>
        <w:pStyle w:val="ColorfulList-Accent11"/>
        <w:ind w:left="0" w:firstLine="709"/>
        <w:jc w:val="both"/>
        <w:rPr>
          <w:szCs w:val="24"/>
        </w:rPr>
      </w:pPr>
      <w:r w:rsidRPr="00B778A6">
        <w:rPr>
          <w:szCs w:val="24"/>
        </w:rPr>
        <w:t>Projektas</w:t>
      </w:r>
      <w:r w:rsidR="009367E3" w:rsidRPr="00B778A6">
        <w:rPr>
          <w:szCs w:val="24"/>
        </w:rPr>
        <w:t xml:space="preserve"> nėra tiesiogiai susijęs </w:t>
      </w:r>
      <w:r w:rsidR="00A13CA7" w:rsidRPr="00B778A6">
        <w:rPr>
          <w:szCs w:val="24"/>
        </w:rPr>
        <w:t xml:space="preserve">su </w:t>
      </w:r>
      <w:r w:rsidRPr="00B778A6">
        <w:rPr>
          <w:szCs w:val="24"/>
        </w:rPr>
        <w:t xml:space="preserve">kokiu nors </w:t>
      </w:r>
      <w:r w:rsidR="009367E3" w:rsidRPr="00B778A6">
        <w:rPr>
          <w:szCs w:val="24"/>
        </w:rPr>
        <w:t>įgyvendintu</w:t>
      </w:r>
      <w:r w:rsidRPr="00B778A6">
        <w:rPr>
          <w:szCs w:val="24"/>
        </w:rPr>
        <w:t xml:space="preserve"> ar planuojamu įgyvendinti</w:t>
      </w:r>
      <w:r w:rsidR="009367E3" w:rsidRPr="00B778A6">
        <w:rPr>
          <w:szCs w:val="24"/>
        </w:rPr>
        <w:t xml:space="preserve"> projektu. </w:t>
      </w:r>
    </w:p>
    <w:p w:rsidR="00652C4E" w:rsidRPr="00B778A6" w:rsidRDefault="00652C4E" w:rsidP="009367E3">
      <w:pPr>
        <w:ind w:firstLine="709"/>
        <w:contextualSpacing/>
        <w:jc w:val="both"/>
        <w:rPr>
          <w:bCs/>
          <w:iCs/>
        </w:rPr>
      </w:pPr>
    </w:p>
    <w:p w:rsidR="00FD1BF7" w:rsidRPr="00B778A6" w:rsidRDefault="002F314C" w:rsidP="0056012B">
      <w:pPr>
        <w:pStyle w:val="Heading2"/>
        <w:rPr>
          <w:rFonts w:ascii="Times New Roman" w:hAnsi="Times New Roman"/>
        </w:rPr>
      </w:pPr>
      <w:bookmarkStart w:id="10" w:name="_Toc34924471"/>
      <w:r w:rsidRPr="00B778A6">
        <w:rPr>
          <w:rFonts w:ascii="Times New Roman" w:hAnsi="Times New Roman"/>
          <w:lang w:val="lt-LT"/>
        </w:rPr>
        <w:t>2.3</w:t>
      </w:r>
      <w:r w:rsidR="00B54573" w:rsidRPr="00B778A6">
        <w:rPr>
          <w:rFonts w:ascii="Times New Roman" w:hAnsi="Times New Roman"/>
          <w:lang w:val="lt-LT"/>
        </w:rPr>
        <w:t xml:space="preserve">. Projekto </w:t>
      </w:r>
      <w:r w:rsidR="00037097" w:rsidRPr="00B778A6">
        <w:rPr>
          <w:rFonts w:ascii="Times New Roman" w:hAnsi="Times New Roman"/>
          <w:lang w:val="lt-LT"/>
        </w:rPr>
        <w:t xml:space="preserve">tikslinės grupės ir </w:t>
      </w:r>
      <w:r w:rsidR="00B54573" w:rsidRPr="00B778A6">
        <w:rPr>
          <w:rFonts w:ascii="Times New Roman" w:hAnsi="Times New Roman"/>
          <w:lang w:val="lt-LT"/>
        </w:rPr>
        <w:t>ribos</w:t>
      </w:r>
      <w:bookmarkEnd w:id="10"/>
    </w:p>
    <w:p w:rsidR="00CB1886" w:rsidRPr="00B778A6" w:rsidRDefault="00CB1886" w:rsidP="00CB1886"/>
    <w:p w:rsidR="00037097" w:rsidRPr="00B778A6" w:rsidRDefault="00955B11" w:rsidP="00037097">
      <w:pPr>
        <w:autoSpaceDE w:val="0"/>
        <w:autoSpaceDN w:val="0"/>
        <w:adjustRightInd w:val="0"/>
        <w:ind w:firstLine="720"/>
        <w:jc w:val="both"/>
        <w:rPr>
          <w:color w:val="000000"/>
        </w:rPr>
      </w:pPr>
      <w:r w:rsidRPr="00B778A6">
        <w:rPr>
          <w:color w:val="000000"/>
        </w:rPr>
        <w:t>P</w:t>
      </w:r>
      <w:r w:rsidR="00037097" w:rsidRPr="00B778A6">
        <w:rPr>
          <w:color w:val="000000"/>
        </w:rPr>
        <w:t xml:space="preserve">rojekto vykdytojas – </w:t>
      </w:r>
      <w:r w:rsidR="0033067A" w:rsidRPr="00B778A6">
        <w:rPr>
          <w:color w:val="000000"/>
        </w:rPr>
        <w:t>Prienų</w:t>
      </w:r>
      <w:r w:rsidR="00037097" w:rsidRPr="00B778A6">
        <w:rPr>
          <w:color w:val="000000"/>
        </w:rPr>
        <w:t xml:space="preserve"> rajono savivaldybės administracija.</w:t>
      </w:r>
    </w:p>
    <w:p w:rsidR="00037097" w:rsidRPr="00B778A6" w:rsidRDefault="00037097" w:rsidP="00037097">
      <w:pPr>
        <w:autoSpaceDE w:val="0"/>
        <w:autoSpaceDN w:val="0"/>
        <w:adjustRightInd w:val="0"/>
        <w:ind w:firstLine="720"/>
        <w:jc w:val="both"/>
        <w:rPr>
          <w:color w:val="000000"/>
        </w:rPr>
      </w:pPr>
      <w:r w:rsidRPr="00B778A6">
        <w:rPr>
          <w:color w:val="000000"/>
        </w:rPr>
        <w:t xml:space="preserve">Tikslinių gupių detalizavimas pateikiamas </w:t>
      </w:r>
      <w:r w:rsidR="007A5021" w:rsidRPr="00B778A6">
        <w:rPr>
          <w:color w:val="000000"/>
        </w:rPr>
        <w:t>2.3</w:t>
      </w:r>
      <w:r w:rsidRPr="00B778A6">
        <w:rPr>
          <w:color w:val="000000"/>
        </w:rPr>
        <w:t>.1. lentelėje.</w:t>
      </w:r>
    </w:p>
    <w:p w:rsidR="00037097" w:rsidRPr="00B778A6" w:rsidRDefault="00037097" w:rsidP="00037097">
      <w:pPr>
        <w:autoSpaceDE w:val="0"/>
        <w:autoSpaceDN w:val="0"/>
        <w:adjustRightInd w:val="0"/>
        <w:ind w:firstLine="720"/>
        <w:jc w:val="both"/>
        <w:rPr>
          <w:color w:val="000000"/>
        </w:rPr>
      </w:pPr>
    </w:p>
    <w:p w:rsidR="00037097" w:rsidRPr="00B778A6" w:rsidRDefault="007A5021" w:rsidP="00037097">
      <w:pPr>
        <w:pStyle w:val="ListParagraph"/>
        <w:ind w:left="0"/>
        <w:jc w:val="center"/>
        <w:rPr>
          <w:b/>
          <w:szCs w:val="24"/>
        </w:rPr>
      </w:pPr>
      <w:r w:rsidRPr="00B778A6">
        <w:rPr>
          <w:b/>
          <w:szCs w:val="24"/>
        </w:rPr>
        <w:t>2.3</w:t>
      </w:r>
      <w:r w:rsidR="00037097" w:rsidRPr="00B778A6">
        <w:rPr>
          <w:b/>
          <w:szCs w:val="24"/>
        </w:rPr>
        <w:t xml:space="preserve">.1. </w:t>
      </w:r>
      <w:r w:rsidR="00C3088C">
        <w:rPr>
          <w:b/>
          <w:szCs w:val="24"/>
        </w:rPr>
        <w:t>l</w:t>
      </w:r>
      <w:r w:rsidR="00C3088C" w:rsidRPr="00B778A6">
        <w:rPr>
          <w:b/>
          <w:szCs w:val="24"/>
        </w:rPr>
        <w:t>entelė</w:t>
      </w:r>
      <w:r w:rsidR="00037097" w:rsidRPr="00B778A6">
        <w:rPr>
          <w:b/>
          <w:szCs w:val="24"/>
        </w:rPr>
        <w:t>. Tikslinių grupių detalizavimas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7371"/>
      </w:tblGrid>
      <w:tr w:rsidR="00664B6F" w:rsidRPr="00B778A6" w:rsidTr="00664B6F">
        <w:tc>
          <w:tcPr>
            <w:tcW w:w="2268" w:type="dxa"/>
            <w:shd w:val="clear" w:color="auto" w:fill="D9D9D9"/>
            <w:vAlign w:val="center"/>
          </w:tcPr>
          <w:p w:rsidR="00664B6F" w:rsidRPr="00B778A6" w:rsidRDefault="00664B6F" w:rsidP="00F87DE2">
            <w:pPr>
              <w:autoSpaceDE w:val="0"/>
              <w:autoSpaceDN w:val="0"/>
              <w:adjustRightInd w:val="0"/>
              <w:jc w:val="center"/>
              <w:rPr>
                <w:b/>
                <w:color w:val="000000"/>
                <w:sz w:val="22"/>
                <w:szCs w:val="22"/>
              </w:rPr>
            </w:pPr>
            <w:r w:rsidRPr="00B778A6">
              <w:rPr>
                <w:b/>
                <w:color w:val="000000"/>
                <w:sz w:val="22"/>
                <w:szCs w:val="22"/>
              </w:rPr>
              <w:t>Tikslinės grupės detalizavimas</w:t>
            </w:r>
          </w:p>
        </w:tc>
        <w:tc>
          <w:tcPr>
            <w:tcW w:w="7371" w:type="dxa"/>
            <w:shd w:val="clear" w:color="auto" w:fill="D9D9D9"/>
            <w:vAlign w:val="center"/>
          </w:tcPr>
          <w:p w:rsidR="00664B6F" w:rsidRPr="00B778A6" w:rsidRDefault="00664B6F" w:rsidP="002646D3">
            <w:pPr>
              <w:autoSpaceDE w:val="0"/>
              <w:autoSpaceDN w:val="0"/>
              <w:adjustRightInd w:val="0"/>
              <w:jc w:val="center"/>
              <w:rPr>
                <w:b/>
                <w:color w:val="000000"/>
                <w:sz w:val="22"/>
                <w:szCs w:val="22"/>
              </w:rPr>
            </w:pPr>
            <w:r w:rsidRPr="00B778A6">
              <w:rPr>
                <w:b/>
                <w:color w:val="000000"/>
                <w:sz w:val="22"/>
                <w:szCs w:val="22"/>
              </w:rPr>
              <w:t>Poreikiai</w:t>
            </w:r>
          </w:p>
        </w:tc>
      </w:tr>
      <w:tr w:rsidR="006C1971" w:rsidRPr="00B778A6" w:rsidTr="00664B6F">
        <w:tc>
          <w:tcPr>
            <w:tcW w:w="2268" w:type="dxa"/>
            <w:shd w:val="clear" w:color="auto" w:fill="auto"/>
          </w:tcPr>
          <w:p w:rsidR="006C1971" w:rsidRPr="00B778A6" w:rsidDel="0033067A" w:rsidRDefault="00AE4827" w:rsidP="00664B6F">
            <w:pPr>
              <w:autoSpaceDE w:val="0"/>
              <w:autoSpaceDN w:val="0"/>
              <w:adjustRightInd w:val="0"/>
              <w:rPr>
                <w:sz w:val="22"/>
                <w:szCs w:val="22"/>
                <w:lang w:eastAsia="en-US"/>
              </w:rPr>
            </w:pPr>
            <w:r w:rsidRPr="00B778A6">
              <w:rPr>
                <w:color w:val="000000"/>
                <w:sz w:val="22"/>
                <w:szCs w:val="22"/>
              </w:rPr>
              <w:t>V</w:t>
            </w:r>
            <w:r w:rsidR="006C1971" w:rsidRPr="00B778A6">
              <w:rPr>
                <w:color w:val="000000"/>
                <w:sz w:val="22"/>
                <w:szCs w:val="22"/>
              </w:rPr>
              <w:t>aikai iki 7 metų amžiaus</w:t>
            </w:r>
          </w:p>
        </w:tc>
        <w:tc>
          <w:tcPr>
            <w:tcW w:w="7371" w:type="dxa"/>
            <w:shd w:val="clear" w:color="auto" w:fill="auto"/>
          </w:tcPr>
          <w:p w:rsidR="006C1971" w:rsidRPr="00B778A6" w:rsidRDefault="006C1971" w:rsidP="006C1971">
            <w:pPr>
              <w:autoSpaceDE w:val="0"/>
              <w:autoSpaceDN w:val="0"/>
              <w:adjustRightInd w:val="0"/>
              <w:jc w:val="both"/>
              <w:rPr>
                <w:color w:val="000000"/>
                <w:sz w:val="22"/>
                <w:szCs w:val="22"/>
              </w:rPr>
            </w:pPr>
            <w:r w:rsidRPr="00B778A6">
              <w:rPr>
                <w:color w:val="000000"/>
                <w:sz w:val="22"/>
                <w:szCs w:val="22"/>
              </w:rPr>
              <w:t xml:space="preserve">Pagrindinis tikslinės grupės poreikis </w:t>
            </w:r>
            <w:r w:rsidR="00D3494A">
              <w:rPr>
                <w:color w:val="000000"/>
                <w:sz w:val="22"/>
                <w:szCs w:val="22"/>
              </w:rPr>
              <w:t>–</w:t>
            </w:r>
            <w:r w:rsidRPr="00B778A6">
              <w:rPr>
                <w:color w:val="000000"/>
                <w:sz w:val="22"/>
                <w:szCs w:val="22"/>
              </w:rPr>
              <w:t xml:space="preserve"> higienos reikalavimus atitinkanti ir patraukli ikimokyklinio ir priešmokyklinio ugdymo aplinka.</w:t>
            </w:r>
          </w:p>
        </w:tc>
      </w:tr>
      <w:tr w:rsidR="006C1971" w:rsidRPr="00B778A6" w:rsidTr="00664B6F">
        <w:tc>
          <w:tcPr>
            <w:tcW w:w="2268" w:type="dxa"/>
            <w:shd w:val="clear" w:color="auto" w:fill="auto"/>
          </w:tcPr>
          <w:p w:rsidR="006C1971" w:rsidRPr="00B778A6" w:rsidDel="0033067A" w:rsidRDefault="00AE4827" w:rsidP="00664B6F">
            <w:pPr>
              <w:autoSpaceDE w:val="0"/>
              <w:autoSpaceDN w:val="0"/>
              <w:adjustRightInd w:val="0"/>
              <w:rPr>
                <w:sz w:val="22"/>
                <w:szCs w:val="22"/>
                <w:lang w:eastAsia="en-US"/>
              </w:rPr>
            </w:pPr>
            <w:r w:rsidRPr="00B778A6">
              <w:rPr>
                <w:color w:val="000000"/>
                <w:sz w:val="22"/>
                <w:szCs w:val="22"/>
              </w:rPr>
              <w:t>S</w:t>
            </w:r>
            <w:r w:rsidR="006C1971" w:rsidRPr="00B778A6">
              <w:rPr>
                <w:color w:val="000000"/>
                <w:sz w:val="22"/>
                <w:szCs w:val="22"/>
              </w:rPr>
              <w:t>uaugusieji (vaikų tėvai (globėjai) ir įstaigos darbuotojai</w:t>
            </w:r>
          </w:p>
        </w:tc>
        <w:tc>
          <w:tcPr>
            <w:tcW w:w="7371" w:type="dxa"/>
            <w:shd w:val="clear" w:color="auto" w:fill="auto"/>
          </w:tcPr>
          <w:p w:rsidR="006C1971" w:rsidRPr="00B778A6" w:rsidRDefault="006C1971" w:rsidP="006C1971">
            <w:pPr>
              <w:autoSpaceDE w:val="0"/>
              <w:autoSpaceDN w:val="0"/>
              <w:adjustRightInd w:val="0"/>
              <w:jc w:val="both"/>
              <w:rPr>
                <w:color w:val="000000"/>
                <w:sz w:val="22"/>
                <w:szCs w:val="22"/>
              </w:rPr>
            </w:pPr>
            <w:r w:rsidRPr="00B778A6">
              <w:rPr>
                <w:color w:val="000000"/>
                <w:sz w:val="22"/>
                <w:szCs w:val="22"/>
              </w:rPr>
              <w:t>Tėvų: higienos reikalavimus atitinkanti ir patraukli ikimokyklinio ir priešmokyklinio ugdymo aplinka.</w:t>
            </w:r>
          </w:p>
          <w:p w:rsidR="006C1971" w:rsidRPr="00B778A6" w:rsidRDefault="006C1971" w:rsidP="006C1971">
            <w:pPr>
              <w:autoSpaceDE w:val="0"/>
              <w:autoSpaceDN w:val="0"/>
              <w:adjustRightInd w:val="0"/>
              <w:jc w:val="both"/>
              <w:rPr>
                <w:color w:val="000000"/>
                <w:sz w:val="22"/>
                <w:szCs w:val="22"/>
              </w:rPr>
            </w:pPr>
            <w:r w:rsidRPr="00B778A6">
              <w:rPr>
                <w:color w:val="000000"/>
                <w:sz w:val="22"/>
                <w:szCs w:val="22"/>
              </w:rPr>
              <w:t xml:space="preserve">Įstaigos darbuotojų: </w:t>
            </w:r>
          </w:p>
          <w:p w:rsidR="006C1971" w:rsidRPr="00B778A6" w:rsidRDefault="006C1971" w:rsidP="00B778A6">
            <w:pPr>
              <w:numPr>
                <w:ilvl w:val="0"/>
                <w:numId w:val="24"/>
              </w:numPr>
              <w:autoSpaceDE w:val="0"/>
              <w:autoSpaceDN w:val="0"/>
              <w:adjustRightInd w:val="0"/>
              <w:ind w:left="459"/>
              <w:jc w:val="both"/>
              <w:rPr>
                <w:color w:val="000000"/>
                <w:sz w:val="22"/>
                <w:szCs w:val="22"/>
              </w:rPr>
            </w:pPr>
            <w:r w:rsidRPr="00B778A6">
              <w:rPr>
                <w:color w:val="000000"/>
                <w:sz w:val="22"/>
                <w:szCs w:val="22"/>
              </w:rPr>
              <w:t>Šiltos patalpos, tinkamas mikroklimatas.</w:t>
            </w:r>
          </w:p>
          <w:p w:rsidR="006C1971" w:rsidRPr="00B778A6" w:rsidRDefault="006C1971" w:rsidP="00B778A6">
            <w:pPr>
              <w:numPr>
                <w:ilvl w:val="0"/>
                <w:numId w:val="24"/>
              </w:numPr>
              <w:autoSpaceDE w:val="0"/>
              <w:autoSpaceDN w:val="0"/>
              <w:adjustRightInd w:val="0"/>
              <w:ind w:left="459"/>
              <w:jc w:val="both"/>
              <w:rPr>
                <w:color w:val="000000"/>
                <w:sz w:val="22"/>
                <w:szCs w:val="22"/>
              </w:rPr>
            </w:pPr>
            <w:r w:rsidRPr="00B778A6">
              <w:rPr>
                <w:color w:val="000000"/>
                <w:sz w:val="22"/>
                <w:szCs w:val="22"/>
              </w:rPr>
              <w:t>Sumažintos išlaidos pastato suvartojamai energijai.</w:t>
            </w:r>
          </w:p>
        </w:tc>
      </w:tr>
    </w:tbl>
    <w:p w:rsidR="00037097" w:rsidRPr="00B778A6" w:rsidRDefault="00037097" w:rsidP="0067083E">
      <w:pPr>
        <w:autoSpaceDE w:val="0"/>
        <w:autoSpaceDN w:val="0"/>
        <w:adjustRightInd w:val="0"/>
        <w:ind w:firstLine="709"/>
        <w:jc w:val="both"/>
        <w:rPr>
          <w:color w:val="000000"/>
        </w:rPr>
      </w:pPr>
      <w:r w:rsidRPr="00B778A6">
        <w:rPr>
          <w:color w:val="000000"/>
        </w:rPr>
        <w:lastRenderedPageBreak/>
        <w:t>Apibendrinus lentelėje pateiktą informaciją galima teigti, kad pagrindinis tikslinių grupių poreikis – pagerintos pastato</w:t>
      </w:r>
      <w:r w:rsidR="008F2C76" w:rsidRPr="00B778A6">
        <w:rPr>
          <w:color w:val="000000"/>
        </w:rPr>
        <w:t xml:space="preserve">, esančio </w:t>
      </w:r>
      <w:r w:rsidR="00AE4827" w:rsidRPr="00B778A6">
        <w:rPr>
          <w:color w:val="000000"/>
        </w:rPr>
        <w:t>Statybininkų g. 17, Prienai</w:t>
      </w:r>
      <w:r w:rsidR="008F2C76" w:rsidRPr="00B778A6">
        <w:rPr>
          <w:color w:val="000000"/>
        </w:rPr>
        <w:t>,</w:t>
      </w:r>
      <w:r w:rsidRPr="00B778A6">
        <w:rPr>
          <w:color w:val="000000"/>
        </w:rPr>
        <w:t xml:space="preserve"> energetinės savybės. </w:t>
      </w:r>
      <w:r w:rsidR="0033067A" w:rsidRPr="00B778A6">
        <w:rPr>
          <w:color w:val="000000"/>
        </w:rPr>
        <w:t>Prienų</w:t>
      </w:r>
      <w:r w:rsidRPr="00B778A6">
        <w:rPr>
          <w:color w:val="000000"/>
        </w:rPr>
        <w:t xml:space="preserve"> rajono savivaldybės administracija, siekdama patenkinti tikslinių grupių poreikius, inicijuoja projektą „</w:t>
      </w:r>
      <w:r w:rsidR="00411565" w:rsidRPr="00B778A6">
        <w:rPr>
          <w:color w:val="000000"/>
        </w:rPr>
        <w:t>Lopšelio-</w:t>
      </w:r>
      <w:r w:rsidR="00AE4827" w:rsidRPr="00B778A6">
        <w:rPr>
          <w:color w:val="000000"/>
        </w:rPr>
        <w:t>darželio Gintarėlis modernizavimas</w:t>
      </w:r>
      <w:r w:rsidRPr="00B778A6">
        <w:rPr>
          <w:color w:val="000000"/>
        </w:rPr>
        <w:t>“.</w:t>
      </w:r>
      <w:r w:rsidR="00D3494A">
        <w:rPr>
          <w:color w:val="000000"/>
        </w:rPr>
        <w:t xml:space="preserve"> </w:t>
      </w:r>
      <w:r w:rsidRPr="00B778A6">
        <w:rPr>
          <w:color w:val="000000"/>
        </w:rPr>
        <w:t>Įgyvendinus projektą</w:t>
      </w:r>
      <w:r w:rsidRPr="00B778A6">
        <w:t>, projekto vykdytojas ir tiesioginės naudos gavėjas gaus finansinę naudą – sumažės pastat</w:t>
      </w:r>
      <w:r w:rsidR="008F2C76" w:rsidRPr="00B778A6">
        <w:t>ų</w:t>
      </w:r>
      <w:r w:rsidRPr="00B778A6">
        <w:rPr>
          <w:color w:val="000000"/>
        </w:rPr>
        <w:t xml:space="preserve"> išlaikymo sąnaudos.</w:t>
      </w:r>
      <w:r w:rsidR="008F2C76" w:rsidRPr="00B778A6">
        <w:rPr>
          <w:color w:val="000000"/>
        </w:rPr>
        <w:t xml:space="preserve"> </w:t>
      </w:r>
      <w:r w:rsidR="00AE4827" w:rsidRPr="00B778A6">
        <w:rPr>
          <w:color w:val="000000"/>
        </w:rPr>
        <w:t>D</w:t>
      </w:r>
      <w:r w:rsidR="008F2C76" w:rsidRPr="00B778A6">
        <w:rPr>
          <w:color w:val="000000"/>
        </w:rPr>
        <w:t xml:space="preserve">arbuotojams pagerės jų darbo sąlygos, </w:t>
      </w:r>
      <w:r w:rsidR="002D4B66" w:rsidRPr="00B778A6">
        <w:rPr>
          <w:color w:val="000000"/>
        </w:rPr>
        <w:t>gyventojams – paslaugų kokybė.</w:t>
      </w:r>
    </w:p>
    <w:p w:rsidR="00CB1886" w:rsidRPr="00B778A6" w:rsidRDefault="00905C70" w:rsidP="00CB1886">
      <w:pPr>
        <w:pStyle w:val="ColorfulList-Accent11"/>
        <w:ind w:left="0" w:firstLine="709"/>
        <w:jc w:val="both"/>
      </w:pPr>
      <w:r w:rsidRPr="00B778A6">
        <w:t>Projekto</w:t>
      </w:r>
      <w:r w:rsidR="00CB1886" w:rsidRPr="00B778A6">
        <w:t xml:space="preserve"> ribos teritorine ir veiklų prasme apima </w:t>
      </w:r>
      <w:r w:rsidR="0033067A" w:rsidRPr="00B778A6">
        <w:t>Prienų</w:t>
      </w:r>
      <w:r w:rsidR="00CB1886" w:rsidRPr="00B778A6">
        <w:t xml:space="preserve"> </w:t>
      </w:r>
      <w:r w:rsidR="00411565" w:rsidRPr="00B778A6">
        <w:rPr>
          <w:color w:val="000000"/>
        </w:rPr>
        <w:t>Lopšelio-d</w:t>
      </w:r>
      <w:r w:rsidR="00AE4827" w:rsidRPr="00B778A6">
        <w:rPr>
          <w:color w:val="000000"/>
        </w:rPr>
        <w:t xml:space="preserve">arželio Gintarėlis </w:t>
      </w:r>
      <w:r w:rsidR="00CB1886" w:rsidRPr="00B778A6">
        <w:t>pastatą (</w:t>
      </w:r>
      <w:r w:rsidR="00BE4C10" w:rsidRPr="00B778A6">
        <w:t>Statybininkų g. 17, Prienai</w:t>
      </w:r>
      <w:r w:rsidR="00CB1886" w:rsidRPr="00B778A6">
        <w:t xml:space="preserve">). </w:t>
      </w:r>
    </w:p>
    <w:p w:rsidR="00CB1886" w:rsidRPr="00B778A6" w:rsidRDefault="00CB1886" w:rsidP="00CB1886">
      <w:pPr>
        <w:pStyle w:val="ColorfulList-Accent11"/>
        <w:ind w:left="0" w:firstLine="709"/>
        <w:jc w:val="both"/>
      </w:pPr>
    </w:p>
    <w:p w:rsidR="00CB1886" w:rsidRPr="00B778A6" w:rsidRDefault="007E2858" w:rsidP="00664B6F">
      <w:pPr>
        <w:pStyle w:val="ColorfulList-Accent11"/>
        <w:ind w:left="0"/>
        <w:jc w:val="center"/>
      </w:pPr>
      <w:r>
        <w:pict>
          <v:shape id="_x0000_i1029" type="#_x0000_t75" style="width:194.1pt;height:257.95pt">
            <v:imagedata r:id="rId19" o:title="001"/>
          </v:shape>
        </w:pict>
      </w:r>
      <w:r>
        <w:pict>
          <v:shape id="_x0000_i1030" type="#_x0000_t75" style="width:193.45pt;height:257.95pt">
            <v:imagedata r:id="rId20" o:title="002"/>
          </v:shape>
        </w:pict>
      </w:r>
      <w:r w:rsidR="007544D8" w:rsidRPr="00B778A6">
        <w:rPr>
          <w:rFonts w:eastAsia="Times New Roman"/>
          <w:snapToGrid w:val="0"/>
          <w:color w:val="000000"/>
          <w:w w:val="0"/>
          <w:sz w:val="0"/>
          <w:szCs w:val="0"/>
          <w:u w:color="000000"/>
          <w:bdr w:val="none" w:sz="0" w:space="0" w:color="000000"/>
          <w:shd w:val="clear" w:color="000000" w:fill="000000"/>
        </w:rPr>
        <w:t xml:space="preserve"> </w:t>
      </w:r>
    </w:p>
    <w:p w:rsidR="00CB1886" w:rsidRPr="00B778A6" w:rsidRDefault="00CB1886" w:rsidP="00664B6F">
      <w:pPr>
        <w:contextualSpacing/>
        <w:jc w:val="center"/>
        <w:rPr>
          <w:b/>
        </w:rPr>
      </w:pPr>
      <w:r w:rsidRPr="00B778A6">
        <w:rPr>
          <w:b/>
        </w:rPr>
        <w:t>2.3.</w:t>
      </w:r>
      <w:r w:rsidR="001C1419" w:rsidRPr="00B778A6">
        <w:rPr>
          <w:b/>
        </w:rPr>
        <w:t>1</w:t>
      </w:r>
      <w:r w:rsidR="00664B6F" w:rsidRPr="00B778A6">
        <w:rPr>
          <w:b/>
        </w:rPr>
        <w:t>. P</w:t>
      </w:r>
      <w:r w:rsidRPr="00B778A6">
        <w:rPr>
          <w:b/>
        </w:rPr>
        <w:t>av. Projekto ribų schema (teritorine ir veiklų prasme)</w:t>
      </w:r>
    </w:p>
    <w:p w:rsidR="00CB1886" w:rsidRPr="00B778A6" w:rsidRDefault="00CB1886" w:rsidP="00664B6F">
      <w:pPr>
        <w:contextualSpacing/>
        <w:jc w:val="center"/>
        <w:rPr>
          <w:i/>
          <w:sz w:val="20"/>
        </w:rPr>
      </w:pPr>
      <w:r w:rsidRPr="00B778A6">
        <w:rPr>
          <w:i/>
          <w:sz w:val="20"/>
        </w:rPr>
        <w:t>Šaltinis: www.geoportal.lt; www.regia.lt</w:t>
      </w:r>
    </w:p>
    <w:p w:rsidR="00CB1886" w:rsidRPr="00B778A6" w:rsidRDefault="00CB1886" w:rsidP="00CB1886">
      <w:pPr>
        <w:ind w:firstLine="709"/>
        <w:contextualSpacing/>
        <w:jc w:val="both"/>
        <w:rPr>
          <w:szCs w:val="20"/>
        </w:rPr>
      </w:pPr>
    </w:p>
    <w:p w:rsidR="00CB1886" w:rsidRPr="00B778A6" w:rsidRDefault="00CB1886" w:rsidP="00CB1886">
      <w:pPr>
        <w:ind w:firstLine="709"/>
        <w:jc w:val="both"/>
      </w:pPr>
      <w:r w:rsidRPr="00B778A6">
        <w:t xml:space="preserve">Nors projekto veiklos bus vykdomos konkretaus pastato ribose, projekto ribos pagal poveikio teritoriją apima ne tik </w:t>
      </w:r>
      <w:r w:rsidR="0033067A" w:rsidRPr="00B778A6">
        <w:t>Prienų</w:t>
      </w:r>
      <w:r w:rsidRPr="00B778A6">
        <w:t xml:space="preserve"> miestą, bet ir visą </w:t>
      </w:r>
      <w:r w:rsidR="0033067A" w:rsidRPr="00B778A6">
        <w:t>Prienų</w:t>
      </w:r>
      <w:r w:rsidRPr="00B778A6">
        <w:t xml:space="preserve"> rajoną.</w:t>
      </w:r>
      <w:r w:rsidR="00373B29" w:rsidRPr="00B778A6">
        <w:t xml:space="preserve"> Įgyvendinus projektą ir žymiai sumažinus pastato suvartojamos energijos sąnaudas, sumažės ir </w:t>
      </w:r>
      <w:r w:rsidR="0033067A" w:rsidRPr="00B778A6">
        <w:t>Prienų</w:t>
      </w:r>
      <w:r w:rsidR="00373B29" w:rsidRPr="00B778A6">
        <w:t xml:space="preserve"> rajono biudžeto našta. </w:t>
      </w:r>
      <w:r w:rsidR="00C41EF0" w:rsidRPr="00B778A6">
        <w:t xml:space="preserve">Sutaupytos lėšos galėtų būti skirtos kitoms </w:t>
      </w:r>
      <w:r w:rsidR="00B92CA4" w:rsidRPr="00B778A6">
        <w:t xml:space="preserve">prioritetinėms </w:t>
      </w:r>
      <w:r w:rsidR="00C41EF0" w:rsidRPr="00B778A6">
        <w:t>sritims ir projektams finansuoti.</w:t>
      </w:r>
    </w:p>
    <w:p w:rsidR="00BA1377" w:rsidRPr="00B778A6" w:rsidRDefault="00BA1377" w:rsidP="00BA1377">
      <w:pPr>
        <w:pStyle w:val="ColorfulList-Accent11"/>
        <w:ind w:left="0" w:firstLine="709"/>
        <w:jc w:val="both"/>
        <w:rPr>
          <w:szCs w:val="24"/>
        </w:rPr>
      </w:pPr>
    </w:p>
    <w:p w:rsidR="00BA1377" w:rsidRPr="00B778A6" w:rsidRDefault="0001670F" w:rsidP="00BA1377">
      <w:pPr>
        <w:pStyle w:val="ColorfulList-Accent11"/>
        <w:ind w:left="0"/>
        <w:jc w:val="both"/>
        <w:rPr>
          <w:szCs w:val="24"/>
        </w:rPr>
      </w:pPr>
      <w:r w:rsidRPr="0001670F">
        <w:rPr>
          <w:b/>
          <w:szCs w:val="24"/>
          <w:lang w:eastAsia="lt-LT"/>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027" type="#_x0000_t93" style="position:absolute;left:0;text-align:left;margin-left:206.7pt;margin-top:120.3pt;width:53.25pt;height:24pt;z-index:1" fillcolor="#6f6"/>
        </w:pict>
      </w:r>
      <w:r w:rsidR="00BA1377" w:rsidRPr="00B778A6">
        <w:rPr>
          <w:szCs w:val="24"/>
        </w:rPr>
        <w:t xml:space="preserve">       </w:t>
      </w:r>
      <w:r w:rsidR="007E2858">
        <w:pict>
          <v:shape id="_x0000_i1031" type="#_x0000_t75" alt="Žemėlapis" style="width:202.85pt;height:163.4pt">
            <v:imagedata r:id="rId21" r:href="rId22"/>
          </v:shape>
        </w:pict>
      </w:r>
      <w:r w:rsidR="00BA1377" w:rsidRPr="00B778A6">
        <w:rPr>
          <w:szCs w:val="24"/>
          <w:bdr w:val="single" w:sz="4" w:space="0" w:color="auto"/>
        </w:rPr>
        <w:t xml:space="preserve">        </w:t>
      </w:r>
      <w:r w:rsidR="007E2858">
        <w:pict>
          <v:shape id="_x0000_i1032" type="#_x0000_t75" style="width:224.75pt;height:154.65pt">
            <v:imagedata r:id="rId23" r:href="rId24"/>
          </v:shape>
        </w:pict>
      </w:r>
    </w:p>
    <w:p w:rsidR="00BA1377" w:rsidRPr="00B778A6" w:rsidRDefault="00BA1377" w:rsidP="00BA1377">
      <w:pPr>
        <w:pStyle w:val="ColorfulList-Accent11"/>
        <w:ind w:left="0"/>
        <w:jc w:val="center"/>
        <w:rPr>
          <w:b/>
          <w:szCs w:val="24"/>
        </w:rPr>
      </w:pPr>
      <w:r w:rsidRPr="00B778A6">
        <w:rPr>
          <w:b/>
          <w:szCs w:val="24"/>
        </w:rPr>
        <w:t>2.3.</w:t>
      </w:r>
      <w:r w:rsidR="001C1419" w:rsidRPr="00B778A6">
        <w:rPr>
          <w:b/>
          <w:szCs w:val="24"/>
        </w:rPr>
        <w:t>2</w:t>
      </w:r>
      <w:r w:rsidRPr="00B778A6">
        <w:rPr>
          <w:b/>
          <w:szCs w:val="24"/>
        </w:rPr>
        <w:t>. Pav. Projekto ribų schema (poveikio prasme)</w:t>
      </w:r>
    </w:p>
    <w:p w:rsidR="00BA1377" w:rsidRPr="00B778A6" w:rsidRDefault="00BA1377" w:rsidP="00BA1377">
      <w:pPr>
        <w:pStyle w:val="ColorfulList-Accent11"/>
        <w:ind w:left="0"/>
        <w:jc w:val="center"/>
        <w:rPr>
          <w:i/>
          <w:sz w:val="20"/>
          <w:szCs w:val="24"/>
        </w:rPr>
      </w:pPr>
      <w:r w:rsidRPr="00B778A6">
        <w:rPr>
          <w:i/>
          <w:sz w:val="20"/>
          <w:szCs w:val="24"/>
        </w:rPr>
        <w:t>Šaltiniai: https://upload.wikimedia.org/wikipedia</w:t>
      </w:r>
    </w:p>
    <w:p w:rsidR="00BA1377" w:rsidRPr="00B778A6" w:rsidRDefault="00BA1377" w:rsidP="00BA1377">
      <w:pPr>
        <w:pStyle w:val="ColorfulList-Accent11"/>
        <w:ind w:left="0"/>
        <w:jc w:val="center"/>
        <w:rPr>
          <w:szCs w:val="24"/>
        </w:rPr>
      </w:pPr>
    </w:p>
    <w:p w:rsidR="00BA1377" w:rsidRPr="00B778A6" w:rsidRDefault="00B92CA4" w:rsidP="00905C70">
      <w:pPr>
        <w:ind w:firstLine="709"/>
        <w:jc w:val="both"/>
      </w:pPr>
      <w:r w:rsidRPr="00B778A6">
        <w:lastRenderedPageBreak/>
        <w:t>Kadangi projektu „</w:t>
      </w:r>
      <w:r w:rsidR="00411565" w:rsidRPr="00B778A6">
        <w:t>Lopšelio-</w:t>
      </w:r>
      <w:r w:rsidR="00AE4827" w:rsidRPr="00B778A6">
        <w:t>darželio Gintarėlis modernizavimas</w:t>
      </w:r>
      <w:r w:rsidRPr="00B778A6">
        <w:t xml:space="preserve">“ yra siekiama ne tik sutaupyti </w:t>
      </w:r>
      <w:r w:rsidR="0033067A" w:rsidRPr="00B778A6">
        <w:t>Prienų</w:t>
      </w:r>
      <w:r w:rsidRPr="00B778A6">
        <w:t xml:space="preserve"> rajono biudžeto lėšų, bet siekiama p</w:t>
      </w:r>
      <w:r w:rsidRPr="00B778A6">
        <w:rPr>
          <w:lang w:eastAsia="en-US"/>
        </w:rPr>
        <w:t>risidėti prie į atmosferą išmetamų šiltnamio efektą sukeliančių dujų (CO</w:t>
      </w:r>
      <w:r w:rsidRPr="00B778A6">
        <w:rPr>
          <w:vertAlign w:val="subscript"/>
          <w:lang w:eastAsia="en-US"/>
        </w:rPr>
        <w:t>2</w:t>
      </w:r>
      <w:r w:rsidRPr="00B778A6">
        <w:rPr>
          <w:lang w:eastAsia="en-US"/>
        </w:rPr>
        <w:t xml:space="preserve">) kiekio mažinimo ir klimato kaitos švelninimo, </w:t>
      </w:r>
      <w:r w:rsidRPr="00B778A6">
        <w:t>todėl galimas projekto ribų praplėtimas viso pasaulio atžvilgiu.</w:t>
      </w:r>
    </w:p>
    <w:p w:rsidR="00FD1BF7" w:rsidRPr="00B778A6" w:rsidRDefault="002F314C" w:rsidP="00BC12D8">
      <w:pPr>
        <w:pStyle w:val="Heading2"/>
        <w:rPr>
          <w:rFonts w:ascii="Times New Roman" w:hAnsi="Times New Roman"/>
        </w:rPr>
      </w:pPr>
      <w:bookmarkStart w:id="11" w:name="_Toc34924472"/>
      <w:r w:rsidRPr="00B778A6">
        <w:rPr>
          <w:rFonts w:ascii="Times New Roman" w:hAnsi="Times New Roman"/>
          <w:lang w:val="lt-LT"/>
        </w:rPr>
        <w:t>2</w:t>
      </w:r>
      <w:r w:rsidR="00B54573" w:rsidRPr="00B778A6">
        <w:rPr>
          <w:rFonts w:ascii="Times New Roman" w:hAnsi="Times New Roman"/>
          <w:lang w:val="lt-LT"/>
        </w:rPr>
        <w:t>.</w:t>
      </w:r>
      <w:r w:rsidR="007A5021" w:rsidRPr="00B778A6">
        <w:rPr>
          <w:rFonts w:ascii="Times New Roman" w:hAnsi="Times New Roman"/>
          <w:lang w:val="lt-LT"/>
        </w:rPr>
        <w:t>4</w:t>
      </w:r>
      <w:r w:rsidR="00B54573" w:rsidRPr="00B778A6">
        <w:rPr>
          <w:rFonts w:ascii="Times New Roman" w:hAnsi="Times New Roman"/>
          <w:lang w:val="lt-LT"/>
        </w:rPr>
        <w:t xml:space="preserve">. </w:t>
      </w:r>
      <w:r w:rsidR="00FD1BF7" w:rsidRPr="00B778A6">
        <w:rPr>
          <w:rFonts w:ascii="Times New Roman" w:hAnsi="Times New Roman"/>
          <w:lang w:val="lt-LT"/>
        </w:rPr>
        <w:t>Pro</w:t>
      </w:r>
      <w:r w:rsidR="001671DD" w:rsidRPr="00B778A6">
        <w:rPr>
          <w:rFonts w:ascii="Times New Roman" w:hAnsi="Times New Roman"/>
          <w:lang w:val="lt-LT"/>
        </w:rPr>
        <w:t>jekto organizacij</w:t>
      </w:r>
      <w:r w:rsidRPr="00B778A6">
        <w:rPr>
          <w:rFonts w:ascii="Times New Roman" w:hAnsi="Times New Roman"/>
          <w:lang w:val="lt-LT"/>
        </w:rPr>
        <w:t>a</w:t>
      </w:r>
      <w:bookmarkEnd w:id="11"/>
    </w:p>
    <w:p w:rsidR="00B63837" w:rsidRPr="00B778A6" w:rsidRDefault="00B63837" w:rsidP="003713FE">
      <w:pPr>
        <w:jc w:val="both"/>
        <w:rPr>
          <w:lang w:eastAsia="en-US"/>
        </w:rPr>
      </w:pPr>
    </w:p>
    <w:p w:rsidR="00AD4BC4" w:rsidRPr="00B778A6" w:rsidRDefault="00AD4BC4" w:rsidP="00AD4BC4">
      <w:pPr>
        <w:ind w:firstLine="720"/>
        <w:jc w:val="both"/>
        <w:rPr>
          <w:b/>
          <w:lang w:eastAsia="en-US"/>
        </w:rPr>
      </w:pPr>
      <w:r w:rsidRPr="00B778A6">
        <w:rPr>
          <w:b/>
          <w:lang w:eastAsia="en-US"/>
        </w:rPr>
        <w:t>Projekto pareiškėjas</w:t>
      </w:r>
    </w:p>
    <w:p w:rsidR="00B62EAA" w:rsidRPr="00B778A6" w:rsidRDefault="00B62EAA" w:rsidP="00B62EAA">
      <w:pPr>
        <w:ind w:firstLine="720"/>
        <w:jc w:val="both"/>
        <w:rPr>
          <w:lang w:eastAsia="en-US"/>
        </w:rPr>
      </w:pPr>
      <w:r w:rsidRPr="00B778A6">
        <w:rPr>
          <w:lang w:eastAsia="en-US"/>
        </w:rPr>
        <w:t>Projekto „</w:t>
      </w:r>
      <w:r w:rsidR="00411565" w:rsidRPr="00B778A6">
        <w:rPr>
          <w:lang w:eastAsia="en-US"/>
        </w:rPr>
        <w:t>Lopšelio-</w:t>
      </w:r>
      <w:r w:rsidR="00AE4827" w:rsidRPr="00B778A6">
        <w:rPr>
          <w:lang w:eastAsia="en-US"/>
        </w:rPr>
        <w:t>darželio Gintarėlis modernizavimas</w:t>
      </w:r>
      <w:r w:rsidRPr="00B778A6">
        <w:rPr>
          <w:lang w:eastAsia="en-US"/>
        </w:rPr>
        <w:t xml:space="preserve">“ vykdytojas – </w:t>
      </w:r>
      <w:r w:rsidR="0033067A" w:rsidRPr="00B778A6">
        <w:rPr>
          <w:lang w:eastAsia="en-US"/>
        </w:rPr>
        <w:t>Prienų</w:t>
      </w:r>
      <w:r w:rsidRPr="00B778A6">
        <w:rPr>
          <w:lang w:eastAsia="en-US"/>
        </w:rPr>
        <w:t xml:space="preserve"> rajono savivaldybės administracija.</w:t>
      </w:r>
    </w:p>
    <w:p w:rsidR="00242DD4" w:rsidRPr="00B778A6" w:rsidRDefault="00242DD4" w:rsidP="00242DD4">
      <w:pPr>
        <w:ind w:firstLine="720"/>
        <w:jc w:val="both"/>
        <w:rPr>
          <w:highlight w:val="yellow"/>
          <w:lang w:eastAsia="en-US"/>
        </w:rPr>
      </w:pPr>
      <w:r w:rsidRPr="00B778A6">
        <w:rPr>
          <w:lang w:eastAsia="en-US"/>
        </w:rPr>
        <w:t>Prienų rajono savivaldybės administracija yra ribotos civilinės atsakomybės viešasis juridinis asmuo – Prienų rajono savivaldybės biudžetinė įstaiga, visiškai išlaikoma iš Prienų rajono savivaldybės biudžeto, atliekanti viešojo administravimo funkcijas ir įgyvendinanti savivaldybės funkcijas. Įstaiga savo veikloje vadovaujasi Prienų rajono savivaldybės tarybos patvirtintais Prienų rajono savivaldybės administracijos veiklos nuostatais. Vadovaujantis minėtu dokumentu, įstaiga rengia ilgalaikių ir trumpalaikių švietimo, socialinių, kultūrinių, ūkinių, investicinių, demografinių, ekologinių ir kitų programų projektus. 2007-2013 m. Prienų rajono savivaldybės administracija įgyvendino 25 vnt. dalinai ES lėšomis finansuotus projektus, kurių bendra vertė virš 11,3 mln. EUR. Įstaiga ir jos specialistai turi didelę patirtį projektų valdyme. Įstaigoje už projektus tiesiogiai atsakingas Investicijų skyrius, kai kuriais atvejais įsigyjamos papildomos konsultacinės paslaugos projekto valdymui. Akivaizdu, kad pagal savo veiklos kompetenciją įstaiga yra atsakinga už švietimo infrastruktūros priežiūrą ir tvarkymą, taip pat už atitinkamos infrastruktūros gerinimo projektų įgyvendinimą.</w:t>
      </w:r>
    </w:p>
    <w:p w:rsidR="00B62EAA" w:rsidRPr="00B778A6" w:rsidRDefault="00B62EAA" w:rsidP="00B62EAA">
      <w:pPr>
        <w:jc w:val="both"/>
      </w:pPr>
    </w:p>
    <w:p w:rsidR="00B62EAA" w:rsidRPr="00B778A6" w:rsidRDefault="00B62EAA" w:rsidP="00B62EAA">
      <w:pPr>
        <w:jc w:val="center"/>
        <w:rPr>
          <w:b/>
        </w:rPr>
      </w:pPr>
      <w:r w:rsidRPr="00B778A6">
        <w:rPr>
          <w:b/>
        </w:rPr>
        <w:t>2.</w:t>
      </w:r>
      <w:r w:rsidR="002978CD" w:rsidRPr="00B778A6">
        <w:rPr>
          <w:b/>
        </w:rPr>
        <w:t>4</w:t>
      </w:r>
      <w:r w:rsidR="00664B6F" w:rsidRPr="00B778A6">
        <w:rPr>
          <w:b/>
        </w:rPr>
        <w:t xml:space="preserve">.1. </w:t>
      </w:r>
      <w:r w:rsidR="00C3088C">
        <w:rPr>
          <w:b/>
        </w:rPr>
        <w:t>l</w:t>
      </w:r>
      <w:r w:rsidR="00C3088C" w:rsidRPr="00B778A6">
        <w:rPr>
          <w:b/>
        </w:rPr>
        <w:t>entelė</w:t>
      </w:r>
      <w:r w:rsidRPr="00B778A6">
        <w:rPr>
          <w:b/>
        </w:rPr>
        <w:t>. Projekto organizacijos rekvizitai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6520"/>
      </w:tblGrid>
      <w:tr w:rsidR="00B62EAA" w:rsidRPr="00B778A6" w:rsidTr="00DF1DC0">
        <w:trPr>
          <w:trHeight w:val="57"/>
        </w:trPr>
        <w:tc>
          <w:tcPr>
            <w:tcW w:w="3119" w:type="dxa"/>
            <w:shd w:val="clear" w:color="auto" w:fill="D9D9D9"/>
          </w:tcPr>
          <w:p w:rsidR="00B62EAA" w:rsidRPr="00B778A6" w:rsidRDefault="00B62EAA" w:rsidP="001217EB">
            <w:pPr>
              <w:rPr>
                <w:b/>
                <w:sz w:val="22"/>
                <w:szCs w:val="22"/>
              </w:rPr>
            </w:pPr>
            <w:r w:rsidRPr="00B778A6">
              <w:rPr>
                <w:b/>
                <w:sz w:val="22"/>
                <w:szCs w:val="22"/>
              </w:rPr>
              <w:t>Pavadinimas</w:t>
            </w:r>
          </w:p>
        </w:tc>
        <w:tc>
          <w:tcPr>
            <w:tcW w:w="6520" w:type="dxa"/>
            <w:shd w:val="clear" w:color="auto" w:fill="auto"/>
            <w:vAlign w:val="center"/>
          </w:tcPr>
          <w:p w:rsidR="00B62EAA" w:rsidRPr="00B778A6" w:rsidRDefault="0033067A" w:rsidP="003B3451">
            <w:pPr>
              <w:rPr>
                <w:sz w:val="22"/>
                <w:szCs w:val="22"/>
              </w:rPr>
            </w:pPr>
            <w:r w:rsidRPr="00B778A6">
              <w:rPr>
                <w:sz w:val="22"/>
                <w:szCs w:val="22"/>
              </w:rPr>
              <w:t>Prienų</w:t>
            </w:r>
            <w:r w:rsidR="00B62EAA" w:rsidRPr="00B778A6">
              <w:rPr>
                <w:sz w:val="22"/>
                <w:szCs w:val="22"/>
              </w:rPr>
              <w:t xml:space="preserve"> rajono savivaldybės administracija</w:t>
            </w:r>
          </w:p>
        </w:tc>
      </w:tr>
      <w:tr w:rsidR="00B62EAA" w:rsidRPr="00B778A6" w:rsidTr="00DF1DC0">
        <w:trPr>
          <w:trHeight w:val="57"/>
        </w:trPr>
        <w:tc>
          <w:tcPr>
            <w:tcW w:w="3119" w:type="dxa"/>
            <w:shd w:val="clear" w:color="auto" w:fill="D9D9D9"/>
          </w:tcPr>
          <w:p w:rsidR="00B62EAA" w:rsidRPr="00B778A6" w:rsidRDefault="00B62EAA" w:rsidP="001217EB">
            <w:pPr>
              <w:rPr>
                <w:b/>
                <w:sz w:val="22"/>
                <w:szCs w:val="22"/>
              </w:rPr>
            </w:pPr>
            <w:r w:rsidRPr="00B778A6">
              <w:rPr>
                <w:b/>
                <w:sz w:val="22"/>
                <w:szCs w:val="22"/>
              </w:rPr>
              <w:t>Kodas</w:t>
            </w:r>
          </w:p>
        </w:tc>
        <w:tc>
          <w:tcPr>
            <w:tcW w:w="6520" w:type="dxa"/>
            <w:shd w:val="clear" w:color="auto" w:fill="auto"/>
            <w:vAlign w:val="center"/>
          </w:tcPr>
          <w:p w:rsidR="00B62EAA" w:rsidRPr="00B778A6" w:rsidRDefault="00B62EAA" w:rsidP="003B3451">
            <w:pPr>
              <w:rPr>
                <w:sz w:val="22"/>
                <w:szCs w:val="22"/>
              </w:rPr>
            </w:pPr>
            <w:r w:rsidRPr="00B778A6">
              <w:rPr>
                <w:sz w:val="22"/>
                <w:szCs w:val="22"/>
              </w:rPr>
              <w:t>188773873</w:t>
            </w:r>
          </w:p>
        </w:tc>
      </w:tr>
      <w:tr w:rsidR="00B62EAA" w:rsidRPr="00B778A6" w:rsidTr="00DF1DC0">
        <w:trPr>
          <w:trHeight w:val="57"/>
        </w:trPr>
        <w:tc>
          <w:tcPr>
            <w:tcW w:w="3119" w:type="dxa"/>
            <w:shd w:val="clear" w:color="auto" w:fill="D9D9D9"/>
          </w:tcPr>
          <w:p w:rsidR="00B62EAA" w:rsidRPr="00B778A6" w:rsidRDefault="00B62EAA" w:rsidP="001217EB">
            <w:pPr>
              <w:rPr>
                <w:b/>
                <w:sz w:val="22"/>
                <w:szCs w:val="22"/>
              </w:rPr>
            </w:pPr>
            <w:r w:rsidRPr="00B778A6">
              <w:rPr>
                <w:b/>
                <w:sz w:val="22"/>
                <w:szCs w:val="22"/>
              </w:rPr>
              <w:t>Veiklos vykdymo adresas</w:t>
            </w:r>
          </w:p>
        </w:tc>
        <w:tc>
          <w:tcPr>
            <w:tcW w:w="6520" w:type="dxa"/>
            <w:shd w:val="clear" w:color="auto" w:fill="auto"/>
            <w:vAlign w:val="center"/>
          </w:tcPr>
          <w:p w:rsidR="00B62EAA" w:rsidRPr="00B778A6" w:rsidRDefault="00E81471" w:rsidP="00B778A6">
            <w:pPr>
              <w:rPr>
                <w:sz w:val="22"/>
                <w:szCs w:val="22"/>
              </w:rPr>
            </w:pPr>
            <w:r w:rsidRPr="00B778A6">
              <w:rPr>
                <w:sz w:val="22"/>
                <w:szCs w:val="22"/>
              </w:rPr>
              <w:t>Statybininkų g. 17</w:t>
            </w:r>
            <w:r w:rsidR="00B62EAA" w:rsidRPr="00B778A6">
              <w:rPr>
                <w:sz w:val="22"/>
                <w:szCs w:val="22"/>
              </w:rPr>
              <w:t xml:space="preserve">, </w:t>
            </w:r>
            <w:r w:rsidR="005B15B7" w:rsidRPr="00B778A6">
              <w:rPr>
                <w:sz w:val="22"/>
                <w:szCs w:val="22"/>
              </w:rPr>
              <w:t>Prienai</w:t>
            </w:r>
          </w:p>
        </w:tc>
      </w:tr>
      <w:tr w:rsidR="00B62EAA" w:rsidRPr="00B778A6" w:rsidTr="00DF1DC0">
        <w:trPr>
          <w:trHeight w:val="57"/>
        </w:trPr>
        <w:tc>
          <w:tcPr>
            <w:tcW w:w="3119" w:type="dxa"/>
            <w:shd w:val="clear" w:color="auto" w:fill="D9D9D9"/>
          </w:tcPr>
          <w:p w:rsidR="00B62EAA" w:rsidRPr="00B778A6" w:rsidRDefault="00B62EAA" w:rsidP="001217EB">
            <w:pPr>
              <w:rPr>
                <w:b/>
                <w:sz w:val="22"/>
                <w:szCs w:val="22"/>
              </w:rPr>
            </w:pPr>
            <w:r w:rsidRPr="00B778A6">
              <w:rPr>
                <w:b/>
                <w:sz w:val="22"/>
                <w:szCs w:val="22"/>
              </w:rPr>
              <w:t>Darbuotojų skaičius</w:t>
            </w:r>
          </w:p>
        </w:tc>
        <w:tc>
          <w:tcPr>
            <w:tcW w:w="6520" w:type="dxa"/>
            <w:shd w:val="clear" w:color="auto" w:fill="auto"/>
            <w:vAlign w:val="center"/>
          </w:tcPr>
          <w:p w:rsidR="00B62EAA" w:rsidRPr="00B778A6" w:rsidRDefault="00242DD4" w:rsidP="002646D3">
            <w:pPr>
              <w:rPr>
                <w:sz w:val="22"/>
                <w:szCs w:val="22"/>
              </w:rPr>
            </w:pPr>
            <w:r w:rsidRPr="00B778A6">
              <w:rPr>
                <w:sz w:val="22"/>
                <w:szCs w:val="22"/>
              </w:rPr>
              <w:t>154</w:t>
            </w:r>
          </w:p>
        </w:tc>
      </w:tr>
      <w:tr w:rsidR="00B62EAA" w:rsidRPr="00B778A6" w:rsidTr="00DF1DC0">
        <w:trPr>
          <w:trHeight w:val="57"/>
        </w:trPr>
        <w:tc>
          <w:tcPr>
            <w:tcW w:w="3119" w:type="dxa"/>
            <w:shd w:val="clear" w:color="auto" w:fill="D9D9D9"/>
          </w:tcPr>
          <w:p w:rsidR="00B62EAA" w:rsidRPr="00B778A6" w:rsidRDefault="00B62EAA" w:rsidP="001217EB">
            <w:pPr>
              <w:rPr>
                <w:b/>
                <w:sz w:val="22"/>
                <w:szCs w:val="22"/>
              </w:rPr>
            </w:pPr>
            <w:r w:rsidRPr="00B778A6">
              <w:rPr>
                <w:b/>
                <w:sz w:val="22"/>
                <w:szCs w:val="22"/>
              </w:rPr>
              <w:t>Teikiamos viešosios paslaugos</w:t>
            </w:r>
          </w:p>
        </w:tc>
        <w:tc>
          <w:tcPr>
            <w:tcW w:w="6520" w:type="dxa"/>
            <w:shd w:val="clear" w:color="auto" w:fill="auto"/>
            <w:vAlign w:val="center"/>
          </w:tcPr>
          <w:p w:rsidR="00B62EAA" w:rsidRPr="00B778A6" w:rsidRDefault="00B62EAA" w:rsidP="003B3451">
            <w:pPr>
              <w:rPr>
                <w:sz w:val="22"/>
                <w:szCs w:val="22"/>
              </w:rPr>
            </w:pPr>
            <w:r w:rsidRPr="00B778A6">
              <w:rPr>
                <w:sz w:val="22"/>
                <w:szCs w:val="22"/>
              </w:rPr>
              <w:t>Pagal vietos savivaldos įstatymą</w:t>
            </w:r>
          </w:p>
        </w:tc>
      </w:tr>
      <w:tr w:rsidR="00B62EAA" w:rsidRPr="00B778A6" w:rsidTr="00DF1DC0">
        <w:trPr>
          <w:trHeight w:val="57"/>
        </w:trPr>
        <w:tc>
          <w:tcPr>
            <w:tcW w:w="3119" w:type="dxa"/>
            <w:shd w:val="clear" w:color="auto" w:fill="D9D9D9"/>
          </w:tcPr>
          <w:p w:rsidR="00B62EAA" w:rsidRPr="00B778A6" w:rsidRDefault="00B62EAA" w:rsidP="001217EB">
            <w:pPr>
              <w:ind w:right="33"/>
              <w:rPr>
                <w:b/>
                <w:sz w:val="22"/>
                <w:szCs w:val="22"/>
              </w:rPr>
            </w:pPr>
            <w:r w:rsidRPr="00B778A6">
              <w:rPr>
                <w:b/>
                <w:sz w:val="22"/>
                <w:szCs w:val="22"/>
              </w:rPr>
              <w:t>Atsakomybė už viešąją paslaugą, kurios kokybei gerinti skirtas projektas</w:t>
            </w:r>
          </w:p>
        </w:tc>
        <w:tc>
          <w:tcPr>
            <w:tcW w:w="6520" w:type="dxa"/>
            <w:shd w:val="clear" w:color="auto" w:fill="auto"/>
            <w:vAlign w:val="center"/>
          </w:tcPr>
          <w:p w:rsidR="00B62EAA" w:rsidRPr="00B778A6" w:rsidRDefault="004E5BA8" w:rsidP="0067083E">
            <w:pPr>
              <w:autoSpaceDE w:val="0"/>
              <w:autoSpaceDN w:val="0"/>
              <w:adjustRightInd w:val="0"/>
              <w:jc w:val="both"/>
              <w:rPr>
                <w:color w:val="000000"/>
                <w:sz w:val="22"/>
                <w:szCs w:val="22"/>
              </w:rPr>
            </w:pPr>
            <w:r w:rsidRPr="00B778A6">
              <w:rPr>
                <w:color w:val="000000"/>
                <w:sz w:val="22"/>
                <w:szCs w:val="22"/>
              </w:rPr>
              <w:t>Viešoji paslauga (pagal LR vietos savivaldos įstatym</w:t>
            </w:r>
            <w:r w:rsidR="00E24A5B">
              <w:rPr>
                <w:color w:val="000000"/>
                <w:sz w:val="22"/>
                <w:szCs w:val="22"/>
              </w:rPr>
              <w:t>ą</w:t>
            </w:r>
            <w:r w:rsidRPr="00B778A6">
              <w:rPr>
                <w:color w:val="000000"/>
                <w:sz w:val="22"/>
                <w:szCs w:val="22"/>
              </w:rPr>
              <w:t xml:space="preserve">): </w:t>
            </w:r>
            <w:r w:rsidR="001F0139" w:rsidRPr="00B778A6">
              <w:rPr>
                <w:sz w:val="22"/>
                <w:szCs w:val="22"/>
              </w:rPr>
              <w:t>ikimokyklinio ugdymo, vaikų ir suaugusiųjų neformaliojo švietimo organizavimas, vaikų ir jaunimo užimtumo organizavimas (6 str. 8 p.)</w:t>
            </w:r>
          </w:p>
        </w:tc>
      </w:tr>
    </w:tbl>
    <w:p w:rsidR="00B62EAA" w:rsidRDefault="00B62EAA" w:rsidP="003713FE">
      <w:pPr>
        <w:jc w:val="both"/>
        <w:rPr>
          <w:lang w:eastAsia="en-US"/>
        </w:rPr>
      </w:pPr>
    </w:p>
    <w:p w:rsidR="00C3088C" w:rsidRPr="00B778A6" w:rsidRDefault="00C3088C" w:rsidP="003713FE">
      <w:pPr>
        <w:jc w:val="both"/>
        <w:rPr>
          <w:lang w:eastAsia="en-US"/>
        </w:rPr>
      </w:pPr>
    </w:p>
    <w:p w:rsidR="00AD4BC4" w:rsidRPr="00B778A6" w:rsidRDefault="00AD4BC4" w:rsidP="00AD4BC4">
      <w:pPr>
        <w:ind w:firstLine="720"/>
        <w:jc w:val="both"/>
        <w:rPr>
          <w:b/>
          <w:lang w:eastAsia="en-US"/>
        </w:rPr>
      </w:pPr>
      <w:r w:rsidRPr="00B778A6">
        <w:rPr>
          <w:b/>
          <w:lang w:eastAsia="en-US"/>
        </w:rPr>
        <w:t>Projekto partneriai ir bendradarbiavimo pagrindimas</w:t>
      </w:r>
    </w:p>
    <w:p w:rsidR="00AD4BC4" w:rsidRPr="00B778A6" w:rsidRDefault="00AD4BC4" w:rsidP="00AD4BC4">
      <w:pPr>
        <w:ind w:firstLine="720"/>
        <w:jc w:val="both"/>
        <w:rPr>
          <w:lang w:eastAsia="en-US"/>
        </w:rPr>
      </w:pPr>
      <w:r w:rsidRPr="00B778A6">
        <w:rPr>
          <w:lang w:eastAsia="en-US"/>
        </w:rPr>
        <w:t>Projektas įgyvendinamas be partnerių.</w:t>
      </w:r>
    </w:p>
    <w:p w:rsidR="00AD4BC4" w:rsidRPr="00B778A6" w:rsidRDefault="00AD4BC4" w:rsidP="00AD4BC4">
      <w:pPr>
        <w:ind w:firstLine="720"/>
        <w:jc w:val="both"/>
        <w:rPr>
          <w:lang w:eastAsia="en-US"/>
        </w:rPr>
      </w:pPr>
    </w:p>
    <w:p w:rsidR="00AD4BC4" w:rsidRPr="00B778A6" w:rsidRDefault="00AD4BC4" w:rsidP="00AD4BC4">
      <w:pPr>
        <w:ind w:firstLine="720"/>
        <w:jc w:val="both"/>
        <w:rPr>
          <w:b/>
          <w:lang w:eastAsia="en-US"/>
        </w:rPr>
      </w:pPr>
      <w:r w:rsidRPr="00B778A6">
        <w:rPr>
          <w:b/>
          <w:lang w:eastAsia="en-US"/>
        </w:rPr>
        <w:t>Projekto vieta projekto organizacijoje</w:t>
      </w:r>
    </w:p>
    <w:p w:rsidR="00AD4BC4" w:rsidRPr="00B778A6" w:rsidRDefault="0033067A" w:rsidP="00AD4BC4">
      <w:pPr>
        <w:ind w:firstLine="720"/>
        <w:jc w:val="both"/>
        <w:rPr>
          <w:lang w:eastAsia="en-US"/>
        </w:rPr>
      </w:pPr>
      <w:r w:rsidRPr="00B778A6">
        <w:rPr>
          <w:lang w:eastAsia="en-US"/>
        </w:rPr>
        <w:t>Prienų</w:t>
      </w:r>
      <w:r w:rsidR="00AD4BC4" w:rsidRPr="00B778A6">
        <w:rPr>
          <w:lang w:eastAsia="en-US"/>
        </w:rPr>
        <w:t xml:space="preserve"> rajono savivaldybės administracija pagal savo veiklos kompetenciją yra atsakinga už </w:t>
      </w:r>
      <w:r w:rsidR="004E5BA8" w:rsidRPr="00B778A6">
        <w:rPr>
          <w:lang w:eastAsia="en-US"/>
        </w:rPr>
        <w:t>viešojo administravimo</w:t>
      </w:r>
      <w:r w:rsidR="00FF3191" w:rsidRPr="00B778A6">
        <w:rPr>
          <w:lang w:eastAsia="en-US"/>
        </w:rPr>
        <w:t xml:space="preserve"> infrastruktūros priežiūrą ir tvarkymą, taip pat už atitinkamos infrastruktūros gerinimo projektų įgyvendinimą.</w:t>
      </w:r>
      <w:r w:rsidR="00AD4BC4" w:rsidRPr="00B778A6">
        <w:rPr>
          <w:lang w:eastAsia="en-US"/>
        </w:rPr>
        <w:t xml:space="preserve"> Kadangi savivaldybės biudžeto lėšos yra labai ribotos, savivaldybė vien savo lėšomis </w:t>
      </w:r>
      <w:r w:rsidR="00FF3191" w:rsidRPr="00B778A6">
        <w:rPr>
          <w:lang w:eastAsia="en-US"/>
        </w:rPr>
        <w:t>nėra pajėgi įgyvendinti projektų</w:t>
      </w:r>
      <w:r w:rsidR="00AD4BC4" w:rsidRPr="00B778A6">
        <w:rPr>
          <w:lang w:eastAsia="en-US"/>
        </w:rPr>
        <w:t>,</w:t>
      </w:r>
      <w:r w:rsidR="00FF3191" w:rsidRPr="00B778A6">
        <w:rPr>
          <w:lang w:eastAsia="en-US"/>
        </w:rPr>
        <w:t xml:space="preserve"> kurie</w:t>
      </w:r>
      <w:r w:rsidR="00AD4BC4" w:rsidRPr="00B778A6">
        <w:rPr>
          <w:lang w:eastAsia="en-US"/>
        </w:rPr>
        <w:t xml:space="preserve"> iš esmės pagerintų </w:t>
      </w:r>
      <w:r w:rsidR="00FF3191" w:rsidRPr="00B778A6">
        <w:rPr>
          <w:lang w:eastAsia="en-US"/>
        </w:rPr>
        <w:t>viešųjų pastatų energijos vartojimo efektyvumą</w:t>
      </w:r>
      <w:r w:rsidR="00AD4BC4" w:rsidRPr="00B778A6">
        <w:rPr>
          <w:lang w:eastAsia="en-US"/>
        </w:rPr>
        <w:t>. Proj</w:t>
      </w:r>
      <w:r w:rsidR="00FF3191" w:rsidRPr="00B778A6">
        <w:rPr>
          <w:lang w:eastAsia="en-US"/>
        </w:rPr>
        <w:t>ekto metu numatyta įgyvendinti veikla</w:t>
      </w:r>
      <w:r w:rsidR="00AD4BC4" w:rsidRPr="00B778A6">
        <w:rPr>
          <w:lang w:eastAsia="en-US"/>
        </w:rPr>
        <w:t xml:space="preserve"> tiesiogiai prisidės prie įvardintos problematikos sprendimo, todėl projekto finansavimas yra tikslingas ir efektyvus. Įgyvendinus projektą</w:t>
      </w:r>
      <w:r w:rsidR="00B20472" w:rsidRPr="00B778A6">
        <w:rPr>
          <w:lang w:eastAsia="en-US"/>
        </w:rPr>
        <w:t>,</w:t>
      </w:r>
      <w:r w:rsidR="00AD4BC4" w:rsidRPr="00B778A6">
        <w:rPr>
          <w:lang w:eastAsia="en-US"/>
        </w:rPr>
        <w:t xml:space="preserve"> bus prisidedama prie </w:t>
      </w:r>
      <w:r w:rsidR="004E5BA8" w:rsidRPr="00B778A6">
        <w:rPr>
          <w:lang w:eastAsia="en-US"/>
        </w:rPr>
        <w:t xml:space="preserve">veiklos optimizavimo, </w:t>
      </w:r>
      <w:r w:rsidR="00FF3191" w:rsidRPr="00B778A6">
        <w:rPr>
          <w:lang w:eastAsia="en-US"/>
        </w:rPr>
        <w:t>pastato mikroklimato gerinimo, energijos taupymo ir tuo pačiu prie klimato kaitos mažinimo.</w:t>
      </w:r>
    </w:p>
    <w:p w:rsidR="00BA64F8" w:rsidRPr="00B778A6" w:rsidRDefault="002F314C" w:rsidP="004E6210">
      <w:pPr>
        <w:pStyle w:val="Heading2"/>
        <w:rPr>
          <w:rFonts w:ascii="Times New Roman" w:hAnsi="Times New Roman"/>
        </w:rPr>
      </w:pPr>
      <w:bookmarkStart w:id="12" w:name="_Toc34924473"/>
      <w:r w:rsidRPr="00B778A6">
        <w:rPr>
          <w:rFonts w:ascii="Times New Roman" w:hAnsi="Times New Roman"/>
          <w:lang w:val="lt-LT"/>
        </w:rPr>
        <w:t>2.</w:t>
      </w:r>
      <w:r w:rsidR="002978CD" w:rsidRPr="00B778A6">
        <w:rPr>
          <w:rFonts w:ascii="Times New Roman" w:hAnsi="Times New Roman"/>
          <w:lang w:val="lt-LT"/>
        </w:rPr>
        <w:t>5</w:t>
      </w:r>
      <w:r w:rsidRPr="00B778A6">
        <w:rPr>
          <w:rFonts w:ascii="Times New Roman" w:hAnsi="Times New Roman"/>
          <w:lang w:val="lt-LT"/>
        </w:rPr>
        <w:t>. Projekto siekiami rezultatai</w:t>
      </w:r>
      <w:bookmarkEnd w:id="12"/>
    </w:p>
    <w:p w:rsidR="00BA64F8" w:rsidRPr="00B778A6" w:rsidRDefault="00BA64F8" w:rsidP="00BA64F8">
      <w:pPr>
        <w:ind w:firstLine="720"/>
        <w:jc w:val="both"/>
        <w:rPr>
          <w:lang w:eastAsia="en-US"/>
        </w:rPr>
      </w:pPr>
    </w:p>
    <w:p w:rsidR="001724E4" w:rsidRPr="00B778A6" w:rsidRDefault="001724E4" w:rsidP="00A17248">
      <w:pPr>
        <w:jc w:val="both"/>
        <w:rPr>
          <w:lang w:eastAsia="en-US"/>
        </w:rPr>
      </w:pPr>
      <w:r w:rsidRPr="00B778A6">
        <w:rPr>
          <w:lang w:eastAsia="en-US"/>
        </w:rPr>
        <w:lastRenderedPageBreak/>
        <w:t>Projekto rezultatai</w:t>
      </w:r>
      <w:r w:rsidR="00BF5758" w:rsidRPr="00B778A6">
        <w:rPr>
          <w:lang w:eastAsia="en-US"/>
        </w:rPr>
        <w:t>:</w:t>
      </w:r>
    </w:p>
    <w:p w:rsidR="00C64F32" w:rsidRPr="00B778A6" w:rsidRDefault="00C64F32" w:rsidP="00C64F32">
      <w:pPr>
        <w:numPr>
          <w:ilvl w:val="0"/>
          <w:numId w:val="1"/>
        </w:numPr>
        <w:jc w:val="both"/>
      </w:pPr>
      <w:r w:rsidRPr="00B778A6">
        <w:rPr>
          <w:b/>
        </w:rPr>
        <w:t>Rezultato kriterijus</w:t>
      </w:r>
      <w:r w:rsidRPr="00B778A6">
        <w:t xml:space="preserve"> „Bendras atnaujintuose viešuosiuose pastatuose sutaupytas metinės pirminės energijos kiekis“ </w:t>
      </w:r>
      <w:r w:rsidR="00183DE9" w:rsidRPr="00B778A6">
        <w:t>–</w:t>
      </w:r>
      <w:r w:rsidRPr="00B778A6">
        <w:t xml:space="preserve"> </w:t>
      </w:r>
      <w:r w:rsidR="00695DE6">
        <w:rPr>
          <w:b/>
        </w:rPr>
        <w:t>188,05</w:t>
      </w:r>
      <w:r w:rsidR="00883632" w:rsidRPr="00B778A6">
        <w:rPr>
          <w:b/>
        </w:rPr>
        <w:t xml:space="preserve"> MWh</w:t>
      </w:r>
      <w:r w:rsidRPr="00B778A6">
        <w:t>.</w:t>
      </w:r>
    </w:p>
    <w:p w:rsidR="00C64F32" w:rsidRPr="00B778A6" w:rsidRDefault="00C64F32" w:rsidP="00883632">
      <w:pPr>
        <w:numPr>
          <w:ilvl w:val="0"/>
          <w:numId w:val="1"/>
        </w:numPr>
        <w:jc w:val="both"/>
      </w:pPr>
      <w:r w:rsidRPr="00B778A6">
        <w:rPr>
          <w:b/>
        </w:rPr>
        <w:t>Produkto kriterijus</w:t>
      </w:r>
      <w:r w:rsidRPr="00B778A6">
        <w:t xml:space="preserve"> „Bendras atnaujintas savivaldybėms nuosavybės teise priklausančių viešųjų pastatų plotas, kai pasiekiama mažiausi</w:t>
      </w:r>
      <w:r w:rsidR="00883632" w:rsidRPr="00B778A6">
        <w:t xml:space="preserve">ai </w:t>
      </w:r>
      <w:r w:rsidR="00BC4A54">
        <w:t>C</w:t>
      </w:r>
      <w:r w:rsidR="00695DE6" w:rsidRPr="00B778A6">
        <w:t xml:space="preserve"> </w:t>
      </w:r>
      <w:r w:rsidR="00883632" w:rsidRPr="00B778A6">
        <w:t>energinio naudingumo klasė</w:t>
      </w:r>
      <w:r w:rsidRPr="00B778A6">
        <w:t xml:space="preserve">“ – </w:t>
      </w:r>
      <w:r w:rsidR="009E369B" w:rsidRPr="00B778A6">
        <w:rPr>
          <w:b/>
        </w:rPr>
        <w:t>1683,40</w:t>
      </w:r>
      <w:r w:rsidRPr="00B778A6">
        <w:rPr>
          <w:b/>
        </w:rPr>
        <w:t xml:space="preserve"> </w:t>
      </w:r>
      <w:r w:rsidR="00105030">
        <w:rPr>
          <w:b/>
        </w:rPr>
        <w:t>m</w:t>
      </w:r>
      <w:r w:rsidR="00105030" w:rsidRPr="0067083E">
        <w:rPr>
          <w:b/>
          <w:vertAlign w:val="superscript"/>
        </w:rPr>
        <w:t>2</w:t>
      </w:r>
      <w:r w:rsidR="004E5BA8" w:rsidRPr="00B778A6">
        <w:t>.</w:t>
      </w:r>
    </w:p>
    <w:p w:rsidR="00C64F32" w:rsidRPr="00B778A6" w:rsidRDefault="00C64F32" w:rsidP="00C64F32">
      <w:pPr>
        <w:numPr>
          <w:ilvl w:val="0"/>
          <w:numId w:val="1"/>
        </w:numPr>
        <w:jc w:val="both"/>
      </w:pPr>
      <w:r w:rsidRPr="00B778A6">
        <w:rPr>
          <w:b/>
        </w:rPr>
        <w:t xml:space="preserve">Produkto kriterijus </w:t>
      </w:r>
      <w:r w:rsidRPr="00B778A6">
        <w:t>„Bendras į atmosferą neišmestų šiltnamio efektą sukeliančių dujų kiekis</w:t>
      </w:r>
      <w:r w:rsidR="004E5BA8" w:rsidRPr="00B778A6">
        <w:t xml:space="preserve"> per metus</w:t>
      </w:r>
      <w:r w:rsidRPr="00B778A6">
        <w:t xml:space="preserve">“ – </w:t>
      </w:r>
      <w:r w:rsidR="00575050">
        <w:rPr>
          <w:b/>
        </w:rPr>
        <w:t>468</w:t>
      </w:r>
      <w:r w:rsidR="00575050" w:rsidRPr="00B778A6">
        <w:rPr>
          <w:b/>
        </w:rPr>
        <w:t xml:space="preserve"> </w:t>
      </w:r>
      <w:r w:rsidR="00C83A72" w:rsidRPr="00B778A6">
        <w:rPr>
          <w:b/>
        </w:rPr>
        <w:t>tCO</w:t>
      </w:r>
      <w:r w:rsidR="00C83A72" w:rsidRPr="00B778A6">
        <w:rPr>
          <w:b/>
          <w:vertAlign w:val="subscript"/>
        </w:rPr>
        <w:t>2e</w:t>
      </w:r>
      <w:r w:rsidRPr="00B778A6">
        <w:t>.</w:t>
      </w:r>
    </w:p>
    <w:p w:rsidR="00DF1CC0" w:rsidRPr="00B778A6" w:rsidRDefault="003420ED" w:rsidP="00776CEE">
      <w:pPr>
        <w:numPr>
          <w:ilvl w:val="0"/>
          <w:numId w:val="1"/>
        </w:numPr>
        <w:jc w:val="both"/>
        <w:rPr>
          <w:lang w:eastAsia="en-US"/>
        </w:rPr>
      </w:pPr>
      <w:r w:rsidRPr="00B778A6">
        <w:rPr>
          <w:lang w:eastAsia="en-US"/>
        </w:rPr>
        <w:t>Prienų lopšelis</w:t>
      </w:r>
      <w:r w:rsidR="00411565" w:rsidRPr="00B778A6">
        <w:rPr>
          <w:lang w:eastAsia="en-US"/>
        </w:rPr>
        <w:t>-</w:t>
      </w:r>
      <w:r w:rsidRPr="00B778A6">
        <w:rPr>
          <w:lang w:eastAsia="en-US"/>
        </w:rPr>
        <w:t>darželis „Gintarėlis“</w:t>
      </w:r>
      <w:r w:rsidR="00776CEE" w:rsidRPr="00B778A6">
        <w:rPr>
          <w:lang w:eastAsia="en-US"/>
        </w:rPr>
        <w:t xml:space="preserve">, įgyvendinus projektą, kasmet sutaupys iki </w:t>
      </w:r>
      <w:r w:rsidR="00695DE6" w:rsidRPr="0067083E">
        <w:rPr>
          <w:b/>
          <w:lang w:eastAsia="en-US"/>
        </w:rPr>
        <w:t>1258</w:t>
      </w:r>
      <w:r w:rsidR="00695DE6">
        <w:rPr>
          <w:b/>
          <w:lang w:eastAsia="en-US"/>
        </w:rPr>
        <w:t>0</w:t>
      </w:r>
      <w:r w:rsidR="00695DE6" w:rsidRPr="0067083E">
        <w:rPr>
          <w:b/>
          <w:lang w:eastAsia="en-US"/>
        </w:rPr>
        <w:t xml:space="preserve"> </w:t>
      </w:r>
      <w:r w:rsidR="00C83A72" w:rsidRPr="0067083E">
        <w:rPr>
          <w:b/>
          <w:lang w:eastAsia="en-US"/>
        </w:rPr>
        <w:t>EUR</w:t>
      </w:r>
      <w:r w:rsidR="00776CEE" w:rsidRPr="00B778A6">
        <w:rPr>
          <w:lang w:eastAsia="en-US"/>
        </w:rPr>
        <w:t xml:space="preserve"> rajono biudžeto lėšų </w:t>
      </w:r>
      <w:r w:rsidR="009E369B" w:rsidRPr="00B778A6">
        <w:rPr>
          <w:lang w:eastAsia="en-US"/>
        </w:rPr>
        <w:t xml:space="preserve">pastato </w:t>
      </w:r>
      <w:r w:rsidR="001465A0" w:rsidRPr="00B778A6">
        <w:rPr>
          <w:lang w:eastAsia="en-US"/>
        </w:rPr>
        <w:t>šildymui ir elektrai</w:t>
      </w:r>
      <w:r w:rsidR="00776CEE" w:rsidRPr="00B778A6">
        <w:rPr>
          <w:lang w:eastAsia="en-US"/>
        </w:rPr>
        <w:t>.</w:t>
      </w:r>
    </w:p>
    <w:p w:rsidR="00245EE5" w:rsidRPr="00B778A6" w:rsidRDefault="00550887" w:rsidP="002F314C">
      <w:pPr>
        <w:pStyle w:val="Heading1"/>
        <w:rPr>
          <w:rFonts w:ascii="Times New Roman" w:hAnsi="Times New Roman"/>
        </w:rPr>
      </w:pPr>
      <w:r w:rsidRPr="00B778A6">
        <w:rPr>
          <w:rFonts w:ascii="Times New Roman" w:hAnsi="Times New Roman"/>
          <w:lang w:val="lt-LT"/>
        </w:rPr>
        <w:br w:type="page"/>
      </w:r>
      <w:bookmarkStart w:id="13" w:name="_Toc34924474"/>
      <w:r w:rsidR="002F314C" w:rsidRPr="00B778A6">
        <w:rPr>
          <w:rFonts w:ascii="Times New Roman" w:hAnsi="Times New Roman"/>
          <w:lang w:val="lt-LT"/>
        </w:rPr>
        <w:lastRenderedPageBreak/>
        <w:t>3</w:t>
      </w:r>
      <w:r w:rsidR="00FD1BF7" w:rsidRPr="00B778A6">
        <w:rPr>
          <w:rFonts w:ascii="Times New Roman" w:hAnsi="Times New Roman"/>
          <w:lang w:val="lt-LT"/>
        </w:rPr>
        <w:t xml:space="preserve">. </w:t>
      </w:r>
      <w:r w:rsidR="002F314C" w:rsidRPr="00B778A6">
        <w:rPr>
          <w:rFonts w:ascii="Times New Roman" w:hAnsi="Times New Roman"/>
          <w:lang w:val="lt-LT"/>
        </w:rPr>
        <w:t>GALIMYBĖS IR ALTERNATYVOS</w:t>
      </w:r>
      <w:bookmarkEnd w:id="13"/>
    </w:p>
    <w:p w:rsidR="002F314C" w:rsidRPr="00B778A6" w:rsidRDefault="002F314C" w:rsidP="002F314C"/>
    <w:p w:rsidR="007B7F96" w:rsidRPr="00B778A6" w:rsidRDefault="007B7F96" w:rsidP="00306AED">
      <w:pPr>
        <w:ind w:firstLine="720"/>
        <w:jc w:val="both"/>
        <w:rPr>
          <w:lang w:eastAsia="en-US"/>
        </w:rPr>
      </w:pPr>
      <w:r w:rsidRPr="00B778A6">
        <w:rPr>
          <w:lang w:eastAsia="en-US"/>
        </w:rPr>
        <w:t xml:space="preserve">Šioje dalyje </w:t>
      </w:r>
      <w:r w:rsidR="00203944" w:rsidRPr="00B778A6">
        <w:rPr>
          <w:lang w:eastAsia="en-US"/>
        </w:rPr>
        <w:t xml:space="preserve">apžvelgiama esama situacija, </w:t>
      </w:r>
      <w:r w:rsidRPr="00B778A6">
        <w:rPr>
          <w:lang w:eastAsia="en-US"/>
        </w:rPr>
        <w:t>nustatomos galimos veiklos projekto tikslui pas</w:t>
      </w:r>
      <w:r w:rsidR="00EF2D5F" w:rsidRPr="00B778A6">
        <w:rPr>
          <w:lang w:eastAsia="en-US"/>
        </w:rPr>
        <w:t>iekti ir uždaviniams išspręsti</w:t>
      </w:r>
      <w:r w:rsidRPr="00B778A6">
        <w:rPr>
          <w:lang w:eastAsia="en-US"/>
        </w:rPr>
        <w:t>, analizuojamos projekto alternatyvos bei atliekamas optimalios projekto įgyvendinimo alternatyvos pasirinkimas.</w:t>
      </w:r>
    </w:p>
    <w:p w:rsidR="00F77C2D" w:rsidRPr="00B778A6" w:rsidRDefault="00F77C2D" w:rsidP="00306AED">
      <w:pPr>
        <w:ind w:firstLine="720"/>
        <w:jc w:val="both"/>
        <w:rPr>
          <w:lang w:eastAsia="en-US"/>
        </w:rPr>
      </w:pPr>
    </w:p>
    <w:p w:rsidR="0094124E" w:rsidRPr="00B778A6" w:rsidRDefault="002F314C" w:rsidP="00B54573">
      <w:pPr>
        <w:pStyle w:val="Heading2"/>
        <w:rPr>
          <w:rFonts w:ascii="Times New Roman" w:hAnsi="Times New Roman"/>
        </w:rPr>
      </w:pPr>
      <w:bookmarkStart w:id="14" w:name="_Toc34924475"/>
      <w:r w:rsidRPr="00B778A6">
        <w:rPr>
          <w:rFonts w:ascii="Times New Roman" w:hAnsi="Times New Roman"/>
          <w:lang w:val="lt-LT"/>
        </w:rPr>
        <w:t>3</w:t>
      </w:r>
      <w:r w:rsidR="00B54573" w:rsidRPr="00B778A6">
        <w:rPr>
          <w:rFonts w:ascii="Times New Roman" w:hAnsi="Times New Roman"/>
          <w:lang w:val="lt-LT"/>
        </w:rPr>
        <w:t xml:space="preserve">.1. </w:t>
      </w:r>
      <w:r w:rsidR="0094124E" w:rsidRPr="00B778A6">
        <w:rPr>
          <w:rFonts w:ascii="Times New Roman" w:hAnsi="Times New Roman"/>
          <w:lang w:val="lt-LT"/>
        </w:rPr>
        <w:t>Esama situacija</w:t>
      </w:r>
      <w:bookmarkEnd w:id="14"/>
    </w:p>
    <w:p w:rsidR="00550887" w:rsidRPr="00B778A6" w:rsidRDefault="00550887" w:rsidP="006D6FC7">
      <w:pPr>
        <w:jc w:val="both"/>
      </w:pPr>
    </w:p>
    <w:p w:rsidR="004D3F6E" w:rsidRPr="00B778A6" w:rsidRDefault="0033067A" w:rsidP="004D3F6E">
      <w:pPr>
        <w:ind w:firstLine="720"/>
        <w:jc w:val="both"/>
      </w:pPr>
      <w:r w:rsidRPr="00B778A6">
        <w:t>Prienų</w:t>
      </w:r>
      <w:r w:rsidR="00A317EC" w:rsidRPr="00B778A6">
        <w:t xml:space="preserve"> </w:t>
      </w:r>
      <w:r w:rsidR="004D3F6E" w:rsidRPr="00B778A6">
        <w:t>lopšelis</w:t>
      </w:r>
      <w:r w:rsidR="00411565" w:rsidRPr="00B778A6">
        <w:t>-</w:t>
      </w:r>
      <w:r w:rsidR="004D3F6E" w:rsidRPr="00B778A6">
        <w:t>darželis Gintarėlis veiklą vykdo 1975 m. statytame pastate, esančiame Statybininkų g. 17, Prienai. Pagrindiniai duomenys apie pastatą:</w:t>
      </w:r>
    </w:p>
    <w:p w:rsidR="004D3F6E" w:rsidRPr="00B778A6" w:rsidRDefault="004D3F6E" w:rsidP="00B778A6">
      <w:pPr>
        <w:jc w:val="both"/>
      </w:pPr>
    </w:p>
    <w:p w:rsidR="004D3F6E" w:rsidRPr="00B778A6" w:rsidRDefault="004D3F6E" w:rsidP="004D3F6E">
      <w:pPr>
        <w:jc w:val="center"/>
        <w:rPr>
          <w:b/>
        </w:rPr>
      </w:pPr>
      <w:r w:rsidRPr="00B778A6">
        <w:rPr>
          <w:b/>
        </w:rPr>
        <w:t xml:space="preserve">3.1.1. </w:t>
      </w:r>
      <w:r w:rsidR="00B778A6">
        <w:rPr>
          <w:b/>
        </w:rPr>
        <w:t>l</w:t>
      </w:r>
      <w:r w:rsidRPr="00B778A6">
        <w:rPr>
          <w:b/>
        </w:rPr>
        <w:t>entelė. Pastato duomenys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9"/>
        <w:gridCol w:w="4820"/>
      </w:tblGrid>
      <w:tr w:rsidR="004D3F6E" w:rsidRPr="00507F2E" w:rsidTr="00534993">
        <w:tc>
          <w:tcPr>
            <w:tcW w:w="4819" w:type="dxa"/>
            <w:shd w:val="clear" w:color="auto" w:fill="D9D9D9"/>
          </w:tcPr>
          <w:p w:rsidR="004D3F6E" w:rsidRPr="00507F2E" w:rsidRDefault="004D3F6E" w:rsidP="00507F2E">
            <w:pPr>
              <w:jc w:val="both"/>
              <w:rPr>
                <w:b/>
                <w:sz w:val="22"/>
                <w:szCs w:val="22"/>
              </w:rPr>
            </w:pPr>
            <w:r w:rsidRPr="00507F2E">
              <w:rPr>
                <w:b/>
                <w:sz w:val="22"/>
                <w:szCs w:val="22"/>
              </w:rPr>
              <w:t>Rodiklis</w:t>
            </w:r>
          </w:p>
        </w:tc>
        <w:tc>
          <w:tcPr>
            <w:tcW w:w="4820" w:type="dxa"/>
            <w:shd w:val="clear" w:color="auto" w:fill="D9D9D9"/>
          </w:tcPr>
          <w:p w:rsidR="004D3F6E" w:rsidRPr="00507F2E" w:rsidRDefault="004D3F6E" w:rsidP="00507F2E">
            <w:pPr>
              <w:jc w:val="both"/>
              <w:rPr>
                <w:b/>
                <w:sz w:val="22"/>
                <w:szCs w:val="22"/>
              </w:rPr>
            </w:pPr>
            <w:r w:rsidRPr="00507F2E">
              <w:rPr>
                <w:b/>
                <w:sz w:val="22"/>
                <w:szCs w:val="22"/>
              </w:rPr>
              <w:t>Duomenys</w:t>
            </w:r>
          </w:p>
        </w:tc>
      </w:tr>
      <w:tr w:rsidR="004D3F6E" w:rsidRPr="00507F2E" w:rsidTr="00534993">
        <w:tc>
          <w:tcPr>
            <w:tcW w:w="4819" w:type="dxa"/>
            <w:shd w:val="clear" w:color="auto" w:fill="auto"/>
          </w:tcPr>
          <w:p w:rsidR="004D3F6E" w:rsidRPr="00507F2E" w:rsidRDefault="004D3F6E" w:rsidP="0067083E">
            <w:pPr>
              <w:rPr>
                <w:sz w:val="22"/>
                <w:szCs w:val="22"/>
              </w:rPr>
            </w:pPr>
            <w:r w:rsidRPr="00507F2E">
              <w:rPr>
                <w:sz w:val="22"/>
                <w:szCs w:val="22"/>
              </w:rPr>
              <w:t>Unikalus Nr.</w:t>
            </w:r>
          </w:p>
        </w:tc>
        <w:tc>
          <w:tcPr>
            <w:tcW w:w="4820" w:type="dxa"/>
            <w:shd w:val="clear" w:color="auto" w:fill="auto"/>
          </w:tcPr>
          <w:p w:rsidR="004D3F6E" w:rsidRPr="00507F2E" w:rsidRDefault="004D3F6E" w:rsidP="0067083E">
            <w:pPr>
              <w:pStyle w:val="Default"/>
              <w:rPr>
                <w:sz w:val="22"/>
                <w:szCs w:val="22"/>
              </w:rPr>
            </w:pPr>
            <w:r w:rsidRPr="00507F2E">
              <w:rPr>
                <w:sz w:val="22"/>
                <w:szCs w:val="22"/>
              </w:rPr>
              <w:t xml:space="preserve">6997-5003-0019 </w:t>
            </w:r>
          </w:p>
        </w:tc>
      </w:tr>
      <w:tr w:rsidR="004D3F6E" w:rsidRPr="00507F2E" w:rsidTr="00534993">
        <w:tc>
          <w:tcPr>
            <w:tcW w:w="4819" w:type="dxa"/>
            <w:shd w:val="clear" w:color="auto" w:fill="auto"/>
          </w:tcPr>
          <w:p w:rsidR="004D3F6E" w:rsidRPr="00507F2E" w:rsidRDefault="004D3F6E" w:rsidP="0067083E">
            <w:pPr>
              <w:pStyle w:val="Default"/>
              <w:rPr>
                <w:sz w:val="22"/>
                <w:szCs w:val="22"/>
              </w:rPr>
            </w:pPr>
            <w:r w:rsidRPr="00507F2E">
              <w:rPr>
                <w:sz w:val="22"/>
                <w:szCs w:val="22"/>
              </w:rPr>
              <w:t xml:space="preserve">Patalpų bendrasis plotas </w:t>
            </w:r>
          </w:p>
        </w:tc>
        <w:tc>
          <w:tcPr>
            <w:tcW w:w="4820" w:type="dxa"/>
            <w:shd w:val="clear" w:color="auto" w:fill="auto"/>
          </w:tcPr>
          <w:p w:rsidR="004D3F6E" w:rsidRPr="00507F2E" w:rsidRDefault="004D3F6E" w:rsidP="0067083E">
            <w:pPr>
              <w:pStyle w:val="Default"/>
              <w:rPr>
                <w:sz w:val="22"/>
                <w:szCs w:val="22"/>
              </w:rPr>
            </w:pPr>
            <w:r w:rsidRPr="00507F2E">
              <w:rPr>
                <w:sz w:val="22"/>
                <w:szCs w:val="22"/>
              </w:rPr>
              <w:t>2014,82 m</w:t>
            </w:r>
            <w:r w:rsidRPr="0067083E">
              <w:rPr>
                <w:sz w:val="22"/>
                <w:szCs w:val="22"/>
                <w:vertAlign w:val="superscript"/>
              </w:rPr>
              <w:t>2</w:t>
            </w:r>
            <w:r w:rsidRPr="00507F2E">
              <w:rPr>
                <w:sz w:val="22"/>
                <w:szCs w:val="22"/>
              </w:rPr>
              <w:t xml:space="preserve"> </w:t>
            </w:r>
          </w:p>
        </w:tc>
      </w:tr>
      <w:tr w:rsidR="004D3F6E" w:rsidRPr="00507F2E" w:rsidTr="00534993">
        <w:tc>
          <w:tcPr>
            <w:tcW w:w="4819" w:type="dxa"/>
            <w:shd w:val="clear" w:color="auto" w:fill="auto"/>
          </w:tcPr>
          <w:p w:rsidR="004D3F6E" w:rsidRPr="00507F2E" w:rsidRDefault="004D3F6E" w:rsidP="0067083E">
            <w:pPr>
              <w:pStyle w:val="Default"/>
              <w:rPr>
                <w:sz w:val="22"/>
                <w:szCs w:val="22"/>
              </w:rPr>
            </w:pPr>
            <w:r w:rsidRPr="00507F2E">
              <w:rPr>
                <w:sz w:val="22"/>
                <w:szCs w:val="22"/>
              </w:rPr>
              <w:t>Bendrasis šildomų patalpų plotas (įskaitant šild. laiptines)</w:t>
            </w:r>
          </w:p>
        </w:tc>
        <w:tc>
          <w:tcPr>
            <w:tcW w:w="4820" w:type="dxa"/>
            <w:shd w:val="clear" w:color="auto" w:fill="auto"/>
          </w:tcPr>
          <w:p w:rsidR="004D3F6E" w:rsidRPr="00507F2E" w:rsidRDefault="004D3F6E" w:rsidP="0067083E">
            <w:pPr>
              <w:pStyle w:val="Default"/>
              <w:rPr>
                <w:sz w:val="22"/>
                <w:szCs w:val="22"/>
              </w:rPr>
            </w:pPr>
            <w:r w:rsidRPr="00507F2E">
              <w:rPr>
                <w:bCs/>
                <w:sz w:val="22"/>
                <w:szCs w:val="22"/>
              </w:rPr>
              <w:t>1683,40 m</w:t>
            </w:r>
            <w:r w:rsidRPr="0067083E">
              <w:rPr>
                <w:bCs/>
                <w:sz w:val="22"/>
                <w:szCs w:val="22"/>
                <w:vertAlign w:val="superscript"/>
              </w:rPr>
              <w:t xml:space="preserve">2 </w:t>
            </w:r>
          </w:p>
        </w:tc>
      </w:tr>
      <w:tr w:rsidR="004D3F6E" w:rsidRPr="00507F2E" w:rsidTr="00534993">
        <w:tc>
          <w:tcPr>
            <w:tcW w:w="4819" w:type="dxa"/>
            <w:shd w:val="clear" w:color="auto" w:fill="auto"/>
          </w:tcPr>
          <w:p w:rsidR="004D3F6E" w:rsidRPr="00507F2E" w:rsidRDefault="004D3F6E" w:rsidP="0067083E">
            <w:pPr>
              <w:pStyle w:val="Default"/>
              <w:rPr>
                <w:sz w:val="22"/>
                <w:szCs w:val="22"/>
              </w:rPr>
            </w:pPr>
            <w:r w:rsidRPr="00507F2E">
              <w:rPr>
                <w:sz w:val="22"/>
                <w:szCs w:val="22"/>
              </w:rPr>
              <w:t xml:space="preserve">Pastato tūris (bendras) </w:t>
            </w:r>
          </w:p>
        </w:tc>
        <w:tc>
          <w:tcPr>
            <w:tcW w:w="4820" w:type="dxa"/>
            <w:shd w:val="clear" w:color="auto" w:fill="auto"/>
          </w:tcPr>
          <w:p w:rsidR="004D3F6E" w:rsidRPr="00507F2E" w:rsidRDefault="004D3F6E" w:rsidP="0067083E">
            <w:pPr>
              <w:pStyle w:val="Default"/>
              <w:rPr>
                <w:sz w:val="22"/>
                <w:szCs w:val="22"/>
              </w:rPr>
            </w:pPr>
            <w:r w:rsidRPr="00507F2E">
              <w:rPr>
                <w:sz w:val="22"/>
                <w:szCs w:val="22"/>
              </w:rPr>
              <w:t>7958 m</w:t>
            </w:r>
            <w:r w:rsidRPr="0067083E">
              <w:rPr>
                <w:sz w:val="22"/>
                <w:szCs w:val="22"/>
                <w:vertAlign w:val="superscript"/>
              </w:rPr>
              <w:t>3</w:t>
            </w:r>
            <w:r w:rsidRPr="00507F2E">
              <w:rPr>
                <w:sz w:val="22"/>
                <w:szCs w:val="22"/>
              </w:rPr>
              <w:t xml:space="preserve"> </w:t>
            </w:r>
          </w:p>
        </w:tc>
      </w:tr>
      <w:tr w:rsidR="004D3F6E" w:rsidRPr="00507F2E" w:rsidTr="00534993">
        <w:tc>
          <w:tcPr>
            <w:tcW w:w="4819" w:type="dxa"/>
            <w:shd w:val="clear" w:color="auto" w:fill="auto"/>
          </w:tcPr>
          <w:p w:rsidR="004D3F6E" w:rsidRPr="00507F2E" w:rsidRDefault="004D3F6E" w:rsidP="0067083E">
            <w:pPr>
              <w:pStyle w:val="Default"/>
              <w:rPr>
                <w:sz w:val="22"/>
                <w:szCs w:val="22"/>
              </w:rPr>
            </w:pPr>
            <w:r w:rsidRPr="00507F2E">
              <w:rPr>
                <w:sz w:val="22"/>
                <w:szCs w:val="22"/>
              </w:rPr>
              <w:t xml:space="preserve">Pastato energinio naudingumo klasė </w:t>
            </w:r>
          </w:p>
        </w:tc>
        <w:tc>
          <w:tcPr>
            <w:tcW w:w="4820" w:type="dxa"/>
            <w:shd w:val="clear" w:color="auto" w:fill="auto"/>
          </w:tcPr>
          <w:p w:rsidR="004D3F6E" w:rsidRPr="00507F2E" w:rsidRDefault="004D3F6E" w:rsidP="0067083E">
            <w:pPr>
              <w:pStyle w:val="Default"/>
              <w:rPr>
                <w:sz w:val="22"/>
                <w:szCs w:val="22"/>
              </w:rPr>
            </w:pPr>
            <w:r w:rsidRPr="00507F2E">
              <w:rPr>
                <w:sz w:val="22"/>
                <w:szCs w:val="22"/>
              </w:rPr>
              <w:t>F</w:t>
            </w:r>
          </w:p>
        </w:tc>
      </w:tr>
      <w:tr w:rsidR="004D3F6E" w:rsidRPr="00507F2E" w:rsidTr="00534993">
        <w:tc>
          <w:tcPr>
            <w:tcW w:w="4819" w:type="dxa"/>
            <w:shd w:val="clear" w:color="auto" w:fill="auto"/>
          </w:tcPr>
          <w:p w:rsidR="004D3F6E" w:rsidRPr="00507F2E" w:rsidRDefault="004D3F6E" w:rsidP="0067083E">
            <w:pPr>
              <w:pStyle w:val="Default"/>
              <w:rPr>
                <w:sz w:val="22"/>
                <w:szCs w:val="22"/>
              </w:rPr>
            </w:pPr>
            <w:r w:rsidRPr="00507F2E">
              <w:rPr>
                <w:sz w:val="22"/>
                <w:szCs w:val="22"/>
              </w:rPr>
              <w:t xml:space="preserve">Laikančiosios konstrukcijos </w:t>
            </w:r>
          </w:p>
        </w:tc>
        <w:tc>
          <w:tcPr>
            <w:tcW w:w="4820" w:type="dxa"/>
            <w:shd w:val="clear" w:color="auto" w:fill="auto"/>
          </w:tcPr>
          <w:p w:rsidR="004D3F6E" w:rsidRPr="00507F2E" w:rsidRDefault="004D3F6E" w:rsidP="0067083E">
            <w:pPr>
              <w:pStyle w:val="Default"/>
              <w:rPr>
                <w:sz w:val="22"/>
                <w:szCs w:val="22"/>
              </w:rPr>
            </w:pPr>
            <w:r w:rsidRPr="00507F2E">
              <w:rPr>
                <w:sz w:val="22"/>
                <w:szCs w:val="22"/>
              </w:rPr>
              <w:t xml:space="preserve">Gelžbetonio paneliai </w:t>
            </w:r>
          </w:p>
        </w:tc>
      </w:tr>
      <w:tr w:rsidR="004D3F6E" w:rsidRPr="00507F2E" w:rsidTr="00534993">
        <w:tc>
          <w:tcPr>
            <w:tcW w:w="4819" w:type="dxa"/>
            <w:shd w:val="clear" w:color="auto" w:fill="auto"/>
          </w:tcPr>
          <w:p w:rsidR="004D3F6E" w:rsidRPr="00507F2E" w:rsidRDefault="004D3F6E" w:rsidP="0067083E">
            <w:pPr>
              <w:pStyle w:val="Default"/>
              <w:rPr>
                <w:sz w:val="22"/>
                <w:szCs w:val="22"/>
              </w:rPr>
            </w:pPr>
            <w:r w:rsidRPr="00507F2E">
              <w:rPr>
                <w:sz w:val="22"/>
                <w:szCs w:val="22"/>
              </w:rPr>
              <w:t xml:space="preserve">Pertvaros </w:t>
            </w:r>
          </w:p>
        </w:tc>
        <w:tc>
          <w:tcPr>
            <w:tcW w:w="4820" w:type="dxa"/>
            <w:shd w:val="clear" w:color="auto" w:fill="auto"/>
          </w:tcPr>
          <w:p w:rsidR="004D3F6E" w:rsidRPr="00507F2E" w:rsidRDefault="004D3F6E" w:rsidP="0067083E">
            <w:pPr>
              <w:pStyle w:val="Default"/>
              <w:rPr>
                <w:sz w:val="22"/>
                <w:szCs w:val="22"/>
              </w:rPr>
            </w:pPr>
            <w:r w:rsidRPr="00507F2E">
              <w:rPr>
                <w:sz w:val="22"/>
                <w:szCs w:val="22"/>
              </w:rPr>
              <w:t xml:space="preserve">Plytų mūras </w:t>
            </w:r>
          </w:p>
        </w:tc>
      </w:tr>
      <w:tr w:rsidR="004D3F6E" w:rsidRPr="00507F2E" w:rsidTr="00534993">
        <w:tc>
          <w:tcPr>
            <w:tcW w:w="4819" w:type="dxa"/>
            <w:shd w:val="clear" w:color="auto" w:fill="auto"/>
          </w:tcPr>
          <w:p w:rsidR="004D3F6E" w:rsidRPr="00507F2E" w:rsidRDefault="004D3F6E" w:rsidP="0067083E">
            <w:pPr>
              <w:pStyle w:val="Default"/>
              <w:rPr>
                <w:sz w:val="22"/>
                <w:szCs w:val="22"/>
              </w:rPr>
            </w:pPr>
            <w:r w:rsidRPr="00507F2E">
              <w:rPr>
                <w:sz w:val="22"/>
                <w:szCs w:val="22"/>
              </w:rPr>
              <w:t xml:space="preserve">Išorinės sienos </w:t>
            </w:r>
          </w:p>
        </w:tc>
        <w:tc>
          <w:tcPr>
            <w:tcW w:w="4820" w:type="dxa"/>
            <w:shd w:val="clear" w:color="auto" w:fill="auto"/>
          </w:tcPr>
          <w:p w:rsidR="004D3F6E" w:rsidRPr="00507F2E" w:rsidRDefault="004D3F6E" w:rsidP="0067083E">
            <w:pPr>
              <w:pStyle w:val="Default"/>
              <w:rPr>
                <w:sz w:val="22"/>
                <w:szCs w:val="22"/>
              </w:rPr>
            </w:pPr>
            <w:r w:rsidRPr="00507F2E">
              <w:rPr>
                <w:sz w:val="22"/>
                <w:szCs w:val="22"/>
              </w:rPr>
              <w:t xml:space="preserve">24 cm akytbetonio blokai, tinkuotos iš vidaus, neapšiltintos </w:t>
            </w:r>
          </w:p>
        </w:tc>
      </w:tr>
      <w:tr w:rsidR="004D3F6E" w:rsidRPr="00507F2E" w:rsidTr="00534993">
        <w:tc>
          <w:tcPr>
            <w:tcW w:w="4819" w:type="dxa"/>
            <w:shd w:val="clear" w:color="auto" w:fill="auto"/>
          </w:tcPr>
          <w:p w:rsidR="004D3F6E" w:rsidRPr="00507F2E" w:rsidRDefault="004D3F6E" w:rsidP="0067083E">
            <w:pPr>
              <w:pStyle w:val="Default"/>
              <w:rPr>
                <w:sz w:val="22"/>
                <w:szCs w:val="22"/>
              </w:rPr>
            </w:pPr>
            <w:r w:rsidRPr="00507F2E">
              <w:rPr>
                <w:sz w:val="22"/>
                <w:szCs w:val="22"/>
              </w:rPr>
              <w:t xml:space="preserve">Stogas </w:t>
            </w:r>
          </w:p>
        </w:tc>
        <w:tc>
          <w:tcPr>
            <w:tcW w:w="4820" w:type="dxa"/>
            <w:shd w:val="clear" w:color="auto" w:fill="auto"/>
          </w:tcPr>
          <w:p w:rsidR="004D3F6E" w:rsidRPr="00507F2E" w:rsidRDefault="004D3F6E" w:rsidP="0067083E">
            <w:pPr>
              <w:pStyle w:val="Default"/>
              <w:rPr>
                <w:sz w:val="22"/>
                <w:szCs w:val="22"/>
              </w:rPr>
            </w:pPr>
            <w:r w:rsidRPr="00507F2E">
              <w:rPr>
                <w:sz w:val="22"/>
                <w:szCs w:val="22"/>
              </w:rPr>
              <w:t xml:space="preserve">Šlaitinis ir plokščias (galerijoje), papildomai neapšiltintas </w:t>
            </w:r>
          </w:p>
        </w:tc>
      </w:tr>
      <w:tr w:rsidR="004D3F6E" w:rsidRPr="00507F2E" w:rsidTr="00534993">
        <w:tc>
          <w:tcPr>
            <w:tcW w:w="4819" w:type="dxa"/>
            <w:shd w:val="clear" w:color="auto" w:fill="auto"/>
          </w:tcPr>
          <w:p w:rsidR="004D3F6E" w:rsidRPr="00507F2E" w:rsidRDefault="004D3F6E" w:rsidP="0067083E">
            <w:pPr>
              <w:pStyle w:val="Default"/>
              <w:rPr>
                <w:sz w:val="22"/>
                <w:szCs w:val="22"/>
              </w:rPr>
            </w:pPr>
            <w:r w:rsidRPr="00507F2E">
              <w:rPr>
                <w:sz w:val="22"/>
                <w:szCs w:val="22"/>
              </w:rPr>
              <w:t xml:space="preserve">Langai </w:t>
            </w:r>
          </w:p>
        </w:tc>
        <w:tc>
          <w:tcPr>
            <w:tcW w:w="4820" w:type="dxa"/>
            <w:shd w:val="clear" w:color="auto" w:fill="auto"/>
          </w:tcPr>
          <w:p w:rsidR="004D3F6E" w:rsidRPr="00507F2E" w:rsidRDefault="004D3F6E" w:rsidP="0067083E">
            <w:pPr>
              <w:pStyle w:val="Default"/>
              <w:rPr>
                <w:sz w:val="22"/>
                <w:szCs w:val="22"/>
              </w:rPr>
            </w:pPr>
            <w:r w:rsidRPr="00507F2E">
              <w:rPr>
                <w:sz w:val="22"/>
                <w:szCs w:val="22"/>
              </w:rPr>
              <w:t xml:space="preserve">Plastikinio rėmo su 1-ubu stiklo paketu </w:t>
            </w:r>
          </w:p>
        </w:tc>
      </w:tr>
    </w:tbl>
    <w:p w:rsidR="00A317EC" w:rsidRPr="00B778A6" w:rsidRDefault="00A317EC" w:rsidP="00B778A6">
      <w:pPr>
        <w:jc w:val="both"/>
      </w:pPr>
    </w:p>
    <w:p w:rsidR="004D3F6E" w:rsidRPr="00B778A6" w:rsidRDefault="004D3F6E" w:rsidP="00A317EC">
      <w:pPr>
        <w:jc w:val="both"/>
      </w:pPr>
    </w:p>
    <w:p w:rsidR="004D3F6E" w:rsidRPr="00B778A6" w:rsidRDefault="007E2858" w:rsidP="00B778A6">
      <w:pPr>
        <w:jc w:val="center"/>
      </w:pPr>
      <w:r>
        <w:pict>
          <v:shape id="_x0000_i1033" type="#_x0000_t75" style="width:318.05pt;height:239.15pt">
            <v:imagedata r:id="rId8" o:title="aaa"/>
          </v:shape>
        </w:pict>
      </w:r>
    </w:p>
    <w:p w:rsidR="004D3F6E" w:rsidRPr="00B778A6" w:rsidRDefault="004D3F6E" w:rsidP="00B778A6">
      <w:pPr>
        <w:jc w:val="center"/>
        <w:rPr>
          <w:b/>
        </w:rPr>
      </w:pPr>
      <w:r w:rsidRPr="00B778A6">
        <w:rPr>
          <w:b/>
        </w:rPr>
        <w:t xml:space="preserve">3.1.1. </w:t>
      </w:r>
      <w:r w:rsidR="00B778A6">
        <w:rPr>
          <w:b/>
        </w:rPr>
        <w:t>p</w:t>
      </w:r>
      <w:r w:rsidRPr="00B778A6">
        <w:rPr>
          <w:b/>
        </w:rPr>
        <w:t>av. Pastato foto</w:t>
      </w:r>
    </w:p>
    <w:p w:rsidR="004D3F6E" w:rsidRPr="00B778A6" w:rsidRDefault="004D3F6E" w:rsidP="00A317EC">
      <w:pPr>
        <w:jc w:val="both"/>
      </w:pPr>
    </w:p>
    <w:p w:rsidR="00A943C7" w:rsidRPr="00B778A6" w:rsidRDefault="00A943C7" w:rsidP="00A317EC">
      <w:pPr>
        <w:jc w:val="both"/>
      </w:pPr>
    </w:p>
    <w:p w:rsidR="009F166A" w:rsidRPr="00B778A6" w:rsidRDefault="003420ED" w:rsidP="00A34779">
      <w:pPr>
        <w:ind w:firstLine="720"/>
        <w:jc w:val="both"/>
      </w:pPr>
      <w:r w:rsidRPr="00B778A6">
        <w:lastRenderedPageBreak/>
        <w:t xml:space="preserve">Lentelėje pateikiami duomenys apie </w:t>
      </w:r>
      <w:r w:rsidR="00411565" w:rsidRPr="00B778A6">
        <w:t>Prienų lopšelio-</w:t>
      </w:r>
      <w:r w:rsidR="009F166A" w:rsidRPr="00B778A6">
        <w:t>darželi</w:t>
      </w:r>
      <w:r w:rsidR="00B778A6">
        <w:t>o</w:t>
      </w:r>
      <w:r w:rsidR="009F166A" w:rsidRPr="00B778A6">
        <w:t xml:space="preserve"> Gintarėlis </w:t>
      </w:r>
      <w:r w:rsidRPr="00B778A6">
        <w:t>pajamas ir išlaidas.</w:t>
      </w:r>
    </w:p>
    <w:p w:rsidR="009F166A" w:rsidRPr="00B778A6" w:rsidRDefault="009F166A" w:rsidP="00A34779">
      <w:pPr>
        <w:ind w:firstLine="720"/>
        <w:jc w:val="both"/>
      </w:pPr>
    </w:p>
    <w:p w:rsidR="003420ED" w:rsidRPr="00B778A6" w:rsidRDefault="003420ED" w:rsidP="003420ED">
      <w:pPr>
        <w:jc w:val="center"/>
        <w:rPr>
          <w:b/>
        </w:rPr>
      </w:pPr>
      <w:r w:rsidRPr="00B778A6">
        <w:rPr>
          <w:b/>
        </w:rPr>
        <w:t xml:space="preserve">3.1.2. </w:t>
      </w:r>
      <w:r w:rsidR="00B778A6">
        <w:rPr>
          <w:b/>
        </w:rPr>
        <w:t>l</w:t>
      </w:r>
      <w:r w:rsidRPr="00B778A6">
        <w:rPr>
          <w:b/>
        </w:rPr>
        <w:t>entelė. Įstaigos finansiniai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2"/>
        <w:gridCol w:w="1360"/>
        <w:gridCol w:w="1360"/>
        <w:gridCol w:w="1360"/>
        <w:gridCol w:w="1360"/>
        <w:gridCol w:w="1362"/>
      </w:tblGrid>
      <w:tr w:rsidR="003420ED" w:rsidRPr="00507F2E" w:rsidTr="00507F2E">
        <w:tc>
          <w:tcPr>
            <w:tcW w:w="1549" w:type="pct"/>
            <w:shd w:val="clear" w:color="auto" w:fill="D9D9D9"/>
          </w:tcPr>
          <w:p w:rsidR="003420ED" w:rsidRPr="00507F2E" w:rsidRDefault="003420ED" w:rsidP="00B778A6">
            <w:pPr>
              <w:rPr>
                <w:b/>
                <w:sz w:val="22"/>
                <w:szCs w:val="22"/>
                <w:lang w:eastAsia="en-US"/>
              </w:rPr>
            </w:pPr>
            <w:r w:rsidRPr="00507F2E">
              <w:rPr>
                <w:b/>
                <w:sz w:val="22"/>
                <w:szCs w:val="22"/>
                <w:lang w:eastAsia="en-US"/>
              </w:rPr>
              <w:t>EILUTĖ/METAI</w:t>
            </w:r>
          </w:p>
        </w:tc>
        <w:tc>
          <w:tcPr>
            <w:tcW w:w="690" w:type="pct"/>
            <w:shd w:val="clear" w:color="auto" w:fill="D9D9D9"/>
          </w:tcPr>
          <w:p w:rsidR="003420ED" w:rsidRPr="00507F2E" w:rsidRDefault="003420ED" w:rsidP="00507F2E">
            <w:pPr>
              <w:jc w:val="center"/>
              <w:rPr>
                <w:b/>
                <w:sz w:val="22"/>
                <w:szCs w:val="22"/>
                <w:lang w:eastAsia="en-US"/>
              </w:rPr>
            </w:pPr>
            <w:r w:rsidRPr="00507F2E">
              <w:rPr>
                <w:b/>
                <w:sz w:val="22"/>
                <w:szCs w:val="22"/>
              </w:rPr>
              <w:t>2017</w:t>
            </w:r>
          </w:p>
        </w:tc>
        <w:tc>
          <w:tcPr>
            <w:tcW w:w="690" w:type="pct"/>
            <w:shd w:val="clear" w:color="auto" w:fill="D9D9D9"/>
          </w:tcPr>
          <w:p w:rsidR="003420ED" w:rsidRPr="00507F2E" w:rsidRDefault="003420ED" w:rsidP="00507F2E">
            <w:pPr>
              <w:jc w:val="center"/>
              <w:rPr>
                <w:b/>
                <w:sz w:val="22"/>
                <w:szCs w:val="22"/>
                <w:lang w:eastAsia="en-US"/>
              </w:rPr>
            </w:pPr>
            <w:r w:rsidRPr="00507F2E">
              <w:rPr>
                <w:b/>
                <w:sz w:val="22"/>
                <w:szCs w:val="22"/>
              </w:rPr>
              <w:t>2018</w:t>
            </w:r>
          </w:p>
        </w:tc>
        <w:tc>
          <w:tcPr>
            <w:tcW w:w="690" w:type="pct"/>
            <w:shd w:val="clear" w:color="auto" w:fill="D9D9D9"/>
          </w:tcPr>
          <w:p w:rsidR="003420ED" w:rsidRPr="00507F2E" w:rsidRDefault="003420ED" w:rsidP="00507F2E">
            <w:pPr>
              <w:jc w:val="center"/>
              <w:rPr>
                <w:b/>
                <w:sz w:val="22"/>
                <w:szCs w:val="22"/>
                <w:lang w:eastAsia="en-US"/>
              </w:rPr>
            </w:pPr>
            <w:r w:rsidRPr="00507F2E">
              <w:rPr>
                <w:b/>
                <w:sz w:val="22"/>
                <w:szCs w:val="22"/>
              </w:rPr>
              <w:t>2019</w:t>
            </w:r>
          </w:p>
        </w:tc>
        <w:tc>
          <w:tcPr>
            <w:tcW w:w="690" w:type="pct"/>
            <w:shd w:val="clear" w:color="auto" w:fill="D9D9D9"/>
          </w:tcPr>
          <w:p w:rsidR="003420ED" w:rsidRPr="00507F2E" w:rsidRDefault="003420ED" w:rsidP="00507F2E">
            <w:pPr>
              <w:jc w:val="center"/>
              <w:rPr>
                <w:b/>
                <w:sz w:val="22"/>
                <w:szCs w:val="22"/>
                <w:lang w:eastAsia="en-US"/>
              </w:rPr>
            </w:pPr>
            <w:r w:rsidRPr="00507F2E">
              <w:rPr>
                <w:b/>
                <w:sz w:val="22"/>
                <w:szCs w:val="22"/>
              </w:rPr>
              <w:t>2020</w:t>
            </w:r>
          </w:p>
        </w:tc>
        <w:tc>
          <w:tcPr>
            <w:tcW w:w="691" w:type="pct"/>
            <w:shd w:val="clear" w:color="auto" w:fill="D9D9D9"/>
          </w:tcPr>
          <w:p w:rsidR="003420ED" w:rsidRPr="00507F2E" w:rsidRDefault="003420ED" w:rsidP="00507F2E">
            <w:pPr>
              <w:jc w:val="center"/>
              <w:rPr>
                <w:b/>
                <w:sz w:val="22"/>
                <w:szCs w:val="22"/>
                <w:lang w:eastAsia="en-US"/>
              </w:rPr>
            </w:pPr>
            <w:r w:rsidRPr="00507F2E">
              <w:rPr>
                <w:b/>
                <w:sz w:val="22"/>
                <w:szCs w:val="22"/>
              </w:rPr>
              <w:t>2021</w:t>
            </w:r>
          </w:p>
        </w:tc>
      </w:tr>
      <w:tr w:rsidR="003420ED" w:rsidRPr="00507F2E" w:rsidTr="00507F2E">
        <w:tc>
          <w:tcPr>
            <w:tcW w:w="5000" w:type="pct"/>
            <w:gridSpan w:val="6"/>
            <w:shd w:val="clear" w:color="auto" w:fill="auto"/>
          </w:tcPr>
          <w:p w:rsidR="003420ED" w:rsidRPr="00507F2E" w:rsidRDefault="003420ED" w:rsidP="00B778A6">
            <w:pPr>
              <w:rPr>
                <w:b/>
                <w:sz w:val="22"/>
                <w:szCs w:val="22"/>
                <w:lang w:eastAsia="en-US"/>
              </w:rPr>
            </w:pPr>
            <w:r w:rsidRPr="00507F2E">
              <w:rPr>
                <w:b/>
                <w:sz w:val="22"/>
                <w:szCs w:val="22"/>
                <w:lang w:eastAsia="en-US"/>
              </w:rPr>
              <w:t>IŠLAIDOS, tūkst. EUR</w:t>
            </w:r>
          </w:p>
        </w:tc>
      </w:tr>
      <w:tr w:rsidR="003420ED" w:rsidRPr="00507F2E" w:rsidTr="00507F2E">
        <w:tc>
          <w:tcPr>
            <w:tcW w:w="1549" w:type="pct"/>
            <w:shd w:val="clear" w:color="auto" w:fill="auto"/>
          </w:tcPr>
          <w:p w:rsidR="003420ED" w:rsidRPr="00507F2E" w:rsidRDefault="003420ED" w:rsidP="003420ED">
            <w:pPr>
              <w:rPr>
                <w:sz w:val="22"/>
                <w:szCs w:val="22"/>
                <w:lang w:eastAsia="en-US"/>
              </w:rPr>
            </w:pPr>
            <w:r w:rsidRPr="00507F2E">
              <w:rPr>
                <w:sz w:val="22"/>
                <w:szCs w:val="22"/>
                <w:lang w:eastAsia="en-US"/>
              </w:rPr>
              <w:t>Bendros įstaigos išlaidos (SB+VB+BĮP)</w:t>
            </w:r>
          </w:p>
        </w:tc>
        <w:tc>
          <w:tcPr>
            <w:tcW w:w="690" w:type="pct"/>
            <w:shd w:val="clear" w:color="auto" w:fill="auto"/>
          </w:tcPr>
          <w:p w:rsidR="003420ED" w:rsidRPr="00507F2E" w:rsidRDefault="003420ED" w:rsidP="00507F2E">
            <w:pPr>
              <w:jc w:val="center"/>
              <w:rPr>
                <w:b/>
                <w:sz w:val="22"/>
                <w:szCs w:val="22"/>
                <w:lang w:eastAsia="en-US"/>
              </w:rPr>
            </w:pPr>
            <w:r w:rsidRPr="00507F2E">
              <w:rPr>
                <w:b/>
                <w:sz w:val="22"/>
                <w:szCs w:val="22"/>
                <w:lang w:eastAsia="en-US"/>
              </w:rPr>
              <w:t>312,7</w:t>
            </w:r>
          </w:p>
        </w:tc>
        <w:tc>
          <w:tcPr>
            <w:tcW w:w="690" w:type="pct"/>
            <w:shd w:val="clear" w:color="auto" w:fill="auto"/>
          </w:tcPr>
          <w:p w:rsidR="003420ED" w:rsidRPr="00507F2E" w:rsidRDefault="003420ED" w:rsidP="00507F2E">
            <w:pPr>
              <w:jc w:val="center"/>
              <w:rPr>
                <w:b/>
                <w:sz w:val="22"/>
                <w:szCs w:val="22"/>
                <w:lang w:eastAsia="en-US"/>
              </w:rPr>
            </w:pPr>
            <w:r w:rsidRPr="00507F2E">
              <w:rPr>
                <w:b/>
                <w:sz w:val="22"/>
                <w:szCs w:val="22"/>
                <w:lang w:eastAsia="en-US"/>
              </w:rPr>
              <w:t>356,5</w:t>
            </w:r>
          </w:p>
        </w:tc>
        <w:tc>
          <w:tcPr>
            <w:tcW w:w="690" w:type="pct"/>
            <w:shd w:val="clear" w:color="auto" w:fill="auto"/>
          </w:tcPr>
          <w:p w:rsidR="003420ED" w:rsidRPr="00507F2E" w:rsidRDefault="003420ED" w:rsidP="00507F2E">
            <w:pPr>
              <w:jc w:val="center"/>
              <w:rPr>
                <w:b/>
                <w:sz w:val="22"/>
                <w:szCs w:val="22"/>
                <w:lang w:eastAsia="en-US"/>
              </w:rPr>
            </w:pPr>
            <w:r w:rsidRPr="00507F2E">
              <w:rPr>
                <w:b/>
                <w:sz w:val="22"/>
                <w:szCs w:val="22"/>
                <w:lang w:eastAsia="en-US"/>
              </w:rPr>
              <w:t>399,1</w:t>
            </w:r>
          </w:p>
        </w:tc>
        <w:tc>
          <w:tcPr>
            <w:tcW w:w="690" w:type="pct"/>
            <w:shd w:val="clear" w:color="auto" w:fill="auto"/>
          </w:tcPr>
          <w:p w:rsidR="003420ED" w:rsidRPr="00507F2E" w:rsidRDefault="003420ED" w:rsidP="00507F2E">
            <w:pPr>
              <w:jc w:val="center"/>
              <w:rPr>
                <w:b/>
                <w:sz w:val="22"/>
                <w:szCs w:val="22"/>
                <w:lang w:eastAsia="en-US"/>
              </w:rPr>
            </w:pPr>
            <w:r w:rsidRPr="00507F2E">
              <w:rPr>
                <w:b/>
                <w:sz w:val="22"/>
                <w:szCs w:val="22"/>
                <w:lang w:eastAsia="en-US"/>
              </w:rPr>
              <w:t>447,6</w:t>
            </w:r>
          </w:p>
        </w:tc>
        <w:tc>
          <w:tcPr>
            <w:tcW w:w="691" w:type="pct"/>
            <w:shd w:val="clear" w:color="auto" w:fill="auto"/>
          </w:tcPr>
          <w:p w:rsidR="003420ED" w:rsidRPr="00507F2E" w:rsidRDefault="003420ED" w:rsidP="00507F2E">
            <w:pPr>
              <w:jc w:val="center"/>
              <w:rPr>
                <w:b/>
                <w:sz w:val="22"/>
                <w:szCs w:val="22"/>
                <w:lang w:eastAsia="en-US"/>
              </w:rPr>
            </w:pPr>
            <w:r w:rsidRPr="00507F2E">
              <w:rPr>
                <w:b/>
                <w:sz w:val="22"/>
                <w:szCs w:val="22"/>
                <w:lang w:eastAsia="en-US"/>
              </w:rPr>
              <w:t>527,1</w:t>
            </w:r>
          </w:p>
        </w:tc>
      </w:tr>
      <w:tr w:rsidR="003420ED" w:rsidRPr="00507F2E" w:rsidTr="00507F2E">
        <w:tc>
          <w:tcPr>
            <w:tcW w:w="1549" w:type="pct"/>
            <w:shd w:val="clear" w:color="auto" w:fill="auto"/>
          </w:tcPr>
          <w:p w:rsidR="003420ED" w:rsidRPr="00507F2E" w:rsidRDefault="003420ED" w:rsidP="00507F2E">
            <w:pPr>
              <w:ind w:firstLine="426"/>
              <w:rPr>
                <w:sz w:val="22"/>
                <w:szCs w:val="22"/>
                <w:lang w:eastAsia="en-US"/>
              </w:rPr>
            </w:pPr>
            <w:r w:rsidRPr="00507F2E">
              <w:rPr>
                <w:sz w:val="22"/>
                <w:szCs w:val="22"/>
                <w:lang w:eastAsia="en-US"/>
              </w:rPr>
              <w:t>Iš jų: atlyginimui ir susijusiems mokesčiams</w:t>
            </w:r>
          </w:p>
        </w:tc>
        <w:tc>
          <w:tcPr>
            <w:tcW w:w="690" w:type="pct"/>
            <w:shd w:val="clear" w:color="auto" w:fill="auto"/>
          </w:tcPr>
          <w:p w:rsidR="003420ED" w:rsidRPr="00507F2E" w:rsidRDefault="003420ED" w:rsidP="00507F2E">
            <w:pPr>
              <w:jc w:val="center"/>
              <w:rPr>
                <w:bCs/>
                <w:sz w:val="22"/>
                <w:szCs w:val="22"/>
                <w:lang w:eastAsia="en-US"/>
              </w:rPr>
            </w:pPr>
            <w:r w:rsidRPr="00507F2E">
              <w:rPr>
                <w:bCs/>
                <w:sz w:val="22"/>
                <w:szCs w:val="22"/>
                <w:lang w:eastAsia="en-US"/>
              </w:rPr>
              <w:t>222,1</w:t>
            </w:r>
          </w:p>
        </w:tc>
        <w:tc>
          <w:tcPr>
            <w:tcW w:w="690" w:type="pct"/>
            <w:shd w:val="clear" w:color="auto" w:fill="auto"/>
          </w:tcPr>
          <w:p w:rsidR="003420ED" w:rsidRPr="00507F2E" w:rsidRDefault="003420ED" w:rsidP="00507F2E">
            <w:pPr>
              <w:jc w:val="center"/>
              <w:rPr>
                <w:bCs/>
                <w:sz w:val="22"/>
                <w:szCs w:val="22"/>
                <w:lang w:eastAsia="en-US"/>
              </w:rPr>
            </w:pPr>
            <w:r w:rsidRPr="00507F2E">
              <w:rPr>
                <w:bCs/>
                <w:sz w:val="22"/>
                <w:szCs w:val="22"/>
                <w:lang w:eastAsia="en-US"/>
              </w:rPr>
              <w:t>254,9</w:t>
            </w:r>
          </w:p>
        </w:tc>
        <w:tc>
          <w:tcPr>
            <w:tcW w:w="690" w:type="pct"/>
            <w:shd w:val="clear" w:color="auto" w:fill="auto"/>
          </w:tcPr>
          <w:p w:rsidR="003420ED" w:rsidRPr="00507F2E" w:rsidRDefault="003420ED" w:rsidP="00507F2E">
            <w:pPr>
              <w:jc w:val="center"/>
              <w:rPr>
                <w:bCs/>
                <w:sz w:val="22"/>
                <w:szCs w:val="22"/>
                <w:lang w:eastAsia="en-US"/>
              </w:rPr>
            </w:pPr>
            <w:r w:rsidRPr="00507F2E">
              <w:rPr>
                <w:bCs/>
                <w:sz w:val="22"/>
                <w:szCs w:val="22"/>
                <w:lang w:eastAsia="en-US"/>
              </w:rPr>
              <w:t>284,7</w:t>
            </w:r>
          </w:p>
        </w:tc>
        <w:tc>
          <w:tcPr>
            <w:tcW w:w="690" w:type="pct"/>
            <w:shd w:val="clear" w:color="auto" w:fill="auto"/>
          </w:tcPr>
          <w:p w:rsidR="003420ED" w:rsidRPr="00507F2E" w:rsidRDefault="003420ED" w:rsidP="00507F2E">
            <w:pPr>
              <w:jc w:val="center"/>
              <w:rPr>
                <w:bCs/>
                <w:sz w:val="22"/>
                <w:szCs w:val="22"/>
                <w:lang w:eastAsia="en-US"/>
              </w:rPr>
            </w:pPr>
            <w:r w:rsidRPr="00507F2E">
              <w:rPr>
                <w:bCs/>
                <w:sz w:val="22"/>
                <w:szCs w:val="22"/>
                <w:lang w:eastAsia="en-US"/>
              </w:rPr>
              <w:t>330,0</w:t>
            </w:r>
          </w:p>
        </w:tc>
        <w:tc>
          <w:tcPr>
            <w:tcW w:w="691" w:type="pct"/>
            <w:shd w:val="clear" w:color="auto" w:fill="auto"/>
          </w:tcPr>
          <w:p w:rsidR="003420ED" w:rsidRPr="00507F2E" w:rsidRDefault="003420ED" w:rsidP="00507F2E">
            <w:pPr>
              <w:jc w:val="center"/>
              <w:rPr>
                <w:bCs/>
                <w:sz w:val="22"/>
                <w:szCs w:val="22"/>
                <w:lang w:eastAsia="en-US"/>
              </w:rPr>
            </w:pPr>
            <w:r w:rsidRPr="00507F2E">
              <w:rPr>
                <w:bCs/>
                <w:sz w:val="22"/>
                <w:szCs w:val="22"/>
                <w:lang w:eastAsia="en-US"/>
              </w:rPr>
              <w:t>420,0</w:t>
            </w:r>
          </w:p>
        </w:tc>
      </w:tr>
      <w:tr w:rsidR="003420ED" w:rsidRPr="00507F2E" w:rsidTr="00507F2E">
        <w:tc>
          <w:tcPr>
            <w:tcW w:w="1549" w:type="pct"/>
            <w:shd w:val="clear" w:color="auto" w:fill="auto"/>
          </w:tcPr>
          <w:p w:rsidR="003420ED" w:rsidRPr="00507F2E" w:rsidRDefault="003420ED" w:rsidP="00507F2E">
            <w:pPr>
              <w:ind w:firstLine="426"/>
              <w:rPr>
                <w:sz w:val="22"/>
                <w:szCs w:val="22"/>
                <w:lang w:eastAsia="en-US"/>
              </w:rPr>
            </w:pPr>
            <w:r w:rsidRPr="00507F2E">
              <w:rPr>
                <w:sz w:val="22"/>
                <w:szCs w:val="22"/>
                <w:lang w:eastAsia="en-US"/>
              </w:rPr>
              <w:t>Iš jų: maitinimui</w:t>
            </w:r>
          </w:p>
        </w:tc>
        <w:tc>
          <w:tcPr>
            <w:tcW w:w="690" w:type="pct"/>
            <w:shd w:val="clear" w:color="auto" w:fill="auto"/>
          </w:tcPr>
          <w:p w:rsidR="003420ED" w:rsidRPr="00507F2E" w:rsidRDefault="003420ED" w:rsidP="00507F2E">
            <w:pPr>
              <w:jc w:val="center"/>
              <w:rPr>
                <w:bCs/>
                <w:sz w:val="22"/>
                <w:szCs w:val="22"/>
                <w:lang w:eastAsia="en-US"/>
              </w:rPr>
            </w:pPr>
            <w:r w:rsidRPr="00507F2E">
              <w:rPr>
                <w:bCs/>
                <w:sz w:val="22"/>
                <w:szCs w:val="22"/>
                <w:lang w:eastAsia="en-US"/>
              </w:rPr>
              <w:t>40,4</w:t>
            </w:r>
          </w:p>
        </w:tc>
        <w:tc>
          <w:tcPr>
            <w:tcW w:w="690" w:type="pct"/>
            <w:shd w:val="clear" w:color="auto" w:fill="auto"/>
          </w:tcPr>
          <w:p w:rsidR="003420ED" w:rsidRPr="00507F2E" w:rsidRDefault="003420ED" w:rsidP="00507F2E">
            <w:pPr>
              <w:jc w:val="center"/>
              <w:rPr>
                <w:bCs/>
                <w:sz w:val="22"/>
                <w:szCs w:val="22"/>
                <w:lang w:eastAsia="en-US"/>
              </w:rPr>
            </w:pPr>
            <w:r w:rsidRPr="00507F2E">
              <w:rPr>
                <w:bCs/>
                <w:sz w:val="22"/>
                <w:szCs w:val="22"/>
                <w:lang w:eastAsia="en-US"/>
              </w:rPr>
              <w:t>44,7</w:t>
            </w:r>
          </w:p>
        </w:tc>
        <w:tc>
          <w:tcPr>
            <w:tcW w:w="690" w:type="pct"/>
            <w:shd w:val="clear" w:color="auto" w:fill="auto"/>
          </w:tcPr>
          <w:p w:rsidR="003420ED" w:rsidRPr="00507F2E" w:rsidRDefault="003420ED" w:rsidP="00507F2E">
            <w:pPr>
              <w:jc w:val="center"/>
              <w:rPr>
                <w:bCs/>
                <w:sz w:val="22"/>
                <w:szCs w:val="22"/>
                <w:lang w:eastAsia="en-US"/>
              </w:rPr>
            </w:pPr>
            <w:r w:rsidRPr="00507F2E">
              <w:rPr>
                <w:bCs/>
                <w:sz w:val="22"/>
                <w:szCs w:val="22"/>
                <w:lang w:eastAsia="en-US"/>
              </w:rPr>
              <w:t>51,1</w:t>
            </w:r>
          </w:p>
        </w:tc>
        <w:tc>
          <w:tcPr>
            <w:tcW w:w="690" w:type="pct"/>
            <w:shd w:val="clear" w:color="auto" w:fill="auto"/>
          </w:tcPr>
          <w:p w:rsidR="003420ED" w:rsidRPr="00507F2E" w:rsidRDefault="003420ED" w:rsidP="00507F2E">
            <w:pPr>
              <w:jc w:val="center"/>
              <w:rPr>
                <w:bCs/>
                <w:sz w:val="22"/>
                <w:szCs w:val="22"/>
                <w:lang w:eastAsia="en-US"/>
              </w:rPr>
            </w:pPr>
            <w:r w:rsidRPr="00507F2E">
              <w:rPr>
                <w:bCs/>
                <w:sz w:val="22"/>
                <w:szCs w:val="22"/>
                <w:lang w:eastAsia="en-US"/>
              </w:rPr>
              <w:t>43,6</w:t>
            </w:r>
          </w:p>
        </w:tc>
        <w:tc>
          <w:tcPr>
            <w:tcW w:w="691" w:type="pct"/>
            <w:shd w:val="clear" w:color="auto" w:fill="auto"/>
          </w:tcPr>
          <w:p w:rsidR="003420ED" w:rsidRPr="00507F2E" w:rsidRDefault="003420ED" w:rsidP="00507F2E">
            <w:pPr>
              <w:jc w:val="center"/>
              <w:rPr>
                <w:bCs/>
                <w:sz w:val="22"/>
                <w:szCs w:val="22"/>
                <w:lang w:eastAsia="en-US"/>
              </w:rPr>
            </w:pPr>
            <w:r w:rsidRPr="00507F2E">
              <w:rPr>
                <w:bCs/>
                <w:sz w:val="22"/>
                <w:szCs w:val="22"/>
                <w:lang w:eastAsia="en-US"/>
              </w:rPr>
              <w:t>43,5</w:t>
            </w:r>
          </w:p>
        </w:tc>
      </w:tr>
      <w:tr w:rsidR="003420ED" w:rsidRPr="00507F2E" w:rsidTr="00507F2E">
        <w:tc>
          <w:tcPr>
            <w:tcW w:w="1549" w:type="pct"/>
            <w:shd w:val="clear" w:color="auto" w:fill="auto"/>
          </w:tcPr>
          <w:p w:rsidR="003420ED" w:rsidRPr="00507F2E" w:rsidRDefault="003420ED" w:rsidP="00507F2E">
            <w:pPr>
              <w:ind w:firstLine="426"/>
              <w:rPr>
                <w:sz w:val="22"/>
                <w:szCs w:val="22"/>
                <w:lang w:eastAsia="en-US"/>
              </w:rPr>
            </w:pPr>
            <w:r w:rsidRPr="00507F2E">
              <w:rPr>
                <w:sz w:val="22"/>
                <w:szCs w:val="22"/>
                <w:lang w:eastAsia="en-US"/>
              </w:rPr>
              <w:t>Iš jų: remonto, rekonstrukcijos ir pan. darbams</w:t>
            </w:r>
          </w:p>
        </w:tc>
        <w:tc>
          <w:tcPr>
            <w:tcW w:w="690" w:type="pct"/>
            <w:shd w:val="clear" w:color="auto" w:fill="auto"/>
          </w:tcPr>
          <w:p w:rsidR="003420ED" w:rsidRPr="00507F2E" w:rsidRDefault="003420ED" w:rsidP="00507F2E">
            <w:pPr>
              <w:jc w:val="center"/>
              <w:rPr>
                <w:sz w:val="22"/>
                <w:szCs w:val="22"/>
                <w:lang w:eastAsia="en-US"/>
              </w:rPr>
            </w:pPr>
            <w:r w:rsidRPr="00507F2E">
              <w:rPr>
                <w:sz w:val="22"/>
                <w:szCs w:val="22"/>
                <w:lang w:eastAsia="en-US"/>
              </w:rPr>
              <w:t>-</w:t>
            </w:r>
          </w:p>
        </w:tc>
        <w:tc>
          <w:tcPr>
            <w:tcW w:w="690" w:type="pct"/>
            <w:shd w:val="clear" w:color="auto" w:fill="auto"/>
          </w:tcPr>
          <w:p w:rsidR="003420ED" w:rsidRPr="00507F2E" w:rsidRDefault="003420ED" w:rsidP="00507F2E">
            <w:pPr>
              <w:jc w:val="center"/>
              <w:rPr>
                <w:sz w:val="22"/>
                <w:szCs w:val="22"/>
                <w:lang w:eastAsia="en-US"/>
              </w:rPr>
            </w:pPr>
            <w:r w:rsidRPr="00507F2E">
              <w:rPr>
                <w:sz w:val="22"/>
                <w:szCs w:val="22"/>
                <w:lang w:eastAsia="en-US"/>
              </w:rPr>
              <w:t>-</w:t>
            </w:r>
          </w:p>
        </w:tc>
        <w:tc>
          <w:tcPr>
            <w:tcW w:w="690" w:type="pct"/>
            <w:shd w:val="clear" w:color="auto" w:fill="auto"/>
          </w:tcPr>
          <w:p w:rsidR="003420ED" w:rsidRPr="00507F2E" w:rsidRDefault="003420ED" w:rsidP="00507F2E">
            <w:pPr>
              <w:jc w:val="center"/>
              <w:rPr>
                <w:sz w:val="22"/>
                <w:szCs w:val="22"/>
                <w:lang w:eastAsia="en-US"/>
              </w:rPr>
            </w:pPr>
            <w:r w:rsidRPr="00507F2E">
              <w:rPr>
                <w:sz w:val="22"/>
                <w:szCs w:val="22"/>
                <w:lang w:eastAsia="en-US"/>
              </w:rPr>
              <w:t>-</w:t>
            </w:r>
          </w:p>
        </w:tc>
        <w:tc>
          <w:tcPr>
            <w:tcW w:w="690" w:type="pct"/>
            <w:shd w:val="clear" w:color="auto" w:fill="auto"/>
          </w:tcPr>
          <w:p w:rsidR="003420ED" w:rsidRPr="00507F2E" w:rsidRDefault="003420ED" w:rsidP="00507F2E">
            <w:pPr>
              <w:jc w:val="center"/>
              <w:rPr>
                <w:sz w:val="22"/>
                <w:szCs w:val="22"/>
                <w:lang w:eastAsia="en-US"/>
              </w:rPr>
            </w:pPr>
            <w:r w:rsidRPr="00507F2E">
              <w:rPr>
                <w:sz w:val="22"/>
                <w:szCs w:val="22"/>
                <w:lang w:eastAsia="en-US"/>
              </w:rPr>
              <w:t>4,2</w:t>
            </w:r>
          </w:p>
        </w:tc>
        <w:tc>
          <w:tcPr>
            <w:tcW w:w="691" w:type="pct"/>
            <w:shd w:val="clear" w:color="auto" w:fill="auto"/>
          </w:tcPr>
          <w:p w:rsidR="003420ED" w:rsidRPr="00507F2E" w:rsidRDefault="003420ED" w:rsidP="00507F2E">
            <w:pPr>
              <w:jc w:val="center"/>
              <w:rPr>
                <w:sz w:val="22"/>
                <w:szCs w:val="22"/>
                <w:lang w:eastAsia="en-US"/>
              </w:rPr>
            </w:pPr>
            <w:r w:rsidRPr="00507F2E">
              <w:rPr>
                <w:sz w:val="22"/>
                <w:szCs w:val="22"/>
                <w:lang w:eastAsia="en-US"/>
              </w:rPr>
              <w:t>-</w:t>
            </w:r>
          </w:p>
        </w:tc>
      </w:tr>
      <w:tr w:rsidR="003420ED" w:rsidRPr="00507F2E" w:rsidTr="00507F2E">
        <w:tc>
          <w:tcPr>
            <w:tcW w:w="1549" w:type="pct"/>
            <w:shd w:val="clear" w:color="auto" w:fill="auto"/>
          </w:tcPr>
          <w:p w:rsidR="003420ED" w:rsidRPr="00507F2E" w:rsidRDefault="003420ED" w:rsidP="00507F2E">
            <w:pPr>
              <w:ind w:firstLine="426"/>
              <w:rPr>
                <w:sz w:val="22"/>
                <w:szCs w:val="22"/>
                <w:lang w:eastAsia="en-US"/>
              </w:rPr>
            </w:pPr>
            <w:r w:rsidRPr="00507F2E">
              <w:rPr>
                <w:sz w:val="22"/>
                <w:szCs w:val="22"/>
                <w:lang w:eastAsia="en-US"/>
              </w:rPr>
              <w:t>Iš jų: šildymui ir karšto vandens ruošimui</w:t>
            </w:r>
          </w:p>
        </w:tc>
        <w:tc>
          <w:tcPr>
            <w:tcW w:w="690" w:type="pct"/>
            <w:shd w:val="clear" w:color="auto" w:fill="auto"/>
          </w:tcPr>
          <w:p w:rsidR="003420ED" w:rsidRPr="00507F2E" w:rsidRDefault="003420ED" w:rsidP="00507F2E">
            <w:pPr>
              <w:jc w:val="center"/>
              <w:rPr>
                <w:sz w:val="22"/>
                <w:szCs w:val="22"/>
                <w:lang w:eastAsia="en-US"/>
              </w:rPr>
            </w:pPr>
            <w:r w:rsidRPr="00507F2E">
              <w:rPr>
                <w:sz w:val="22"/>
                <w:szCs w:val="22"/>
                <w:lang w:eastAsia="en-US"/>
              </w:rPr>
              <w:t>28,7</w:t>
            </w:r>
          </w:p>
        </w:tc>
        <w:tc>
          <w:tcPr>
            <w:tcW w:w="690" w:type="pct"/>
            <w:shd w:val="clear" w:color="auto" w:fill="auto"/>
          </w:tcPr>
          <w:p w:rsidR="003420ED" w:rsidRPr="00507F2E" w:rsidRDefault="003420ED" w:rsidP="00507F2E">
            <w:pPr>
              <w:jc w:val="center"/>
              <w:rPr>
                <w:sz w:val="22"/>
                <w:szCs w:val="22"/>
                <w:lang w:eastAsia="en-US"/>
              </w:rPr>
            </w:pPr>
            <w:r w:rsidRPr="00507F2E">
              <w:rPr>
                <w:sz w:val="22"/>
                <w:szCs w:val="22"/>
                <w:lang w:eastAsia="en-US"/>
              </w:rPr>
              <w:t>34,0</w:t>
            </w:r>
          </w:p>
        </w:tc>
        <w:tc>
          <w:tcPr>
            <w:tcW w:w="690" w:type="pct"/>
            <w:shd w:val="clear" w:color="auto" w:fill="auto"/>
          </w:tcPr>
          <w:p w:rsidR="003420ED" w:rsidRPr="00507F2E" w:rsidRDefault="003420ED" w:rsidP="00507F2E">
            <w:pPr>
              <w:jc w:val="center"/>
              <w:rPr>
                <w:sz w:val="22"/>
                <w:szCs w:val="22"/>
                <w:lang w:eastAsia="en-US"/>
              </w:rPr>
            </w:pPr>
            <w:r w:rsidRPr="00507F2E">
              <w:rPr>
                <w:sz w:val="22"/>
                <w:szCs w:val="22"/>
                <w:lang w:eastAsia="en-US"/>
              </w:rPr>
              <w:t>29,3</w:t>
            </w:r>
          </w:p>
        </w:tc>
        <w:tc>
          <w:tcPr>
            <w:tcW w:w="690" w:type="pct"/>
            <w:shd w:val="clear" w:color="auto" w:fill="auto"/>
          </w:tcPr>
          <w:p w:rsidR="003420ED" w:rsidRPr="00507F2E" w:rsidRDefault="003420ED" w:rsidP="00507F2E">
            <w:pPr>
              <w:jc w:val="center"/>
              <w:rPr>
                <w:sz w:val="22"/>
                <w:szCs w:val="22"/>
                <w:lang w:eastAsia="en-US"/>
              </w:rPr>
            </w:pPr>
            <w:r w:rsidRPr="00507F2E">
              <w:rPr>
                <w:sz w:val="22"/>
                <w:szCs w:val="22"/>
                <w:lang w:eastAsia="en-US"/>
              </w:rPr>
              <w:t>23,9</w:t>
            </w:r>
          </w:p>
        </w:tc>
        <w:tc>
          <w:tcPr>
            <w:tcW w:w="691" w:type="pct"/>
            <w:shd w:val="clear" w:color="auto" w:fill="auto"/>
          </w:tcPr>
          <w:p w:rsidR="003420ED" w:rsidRPr="00507F2E" w:rsidRDefault="003420ED" w:rsidP="00507F2E">
            <w:pPr>
              <w:jc w:val="center"/>
              <w:rPr>
                <w:sz w:val="22"/>
                <w:szCs w:val="22"/>
                <w:lang w:eastAsia="en-US"/>
              </w:rPr>
            </w:pPr>
            <w:r w:rsidRPr="00507F2E">
              <w:rPr>
                <w:sz w:val="22"/>
                <w:szCs w:val="22"/>
                <w:lang w:eastAsia="en-US"/>
              </w:rPr>
              <w:t>26,6</w:t>
            </w:r>
          </w:p>
        </w:tc>
      </w:tr>
      <w:tr w:rsidR="003420ED" w:rsidRPr="00507F2E" w:rsidTr="00507F2E">
        <w:tc>
          <w:tcPr>
            <w:tcW w:w="1549" w:type="pct"/>
            <w:shd w:val="clear" w:color="auto" w:fill="auto"/>
          </w:tcPr>
          <w:p w:rsidR="003420ED" w:rsidRPr="00507F2E" w:rsidRDefault="003420ED" w:rsidP="00507F2E">
            <w:pPr>
              <w:ind w:firstLine="426"/>
              <w:rPr>
                <w:sz w:val="22"/>
                <w:szCs w:val="22"/>
                <w:lang w:eastAsia="en-US"/>
              </w:rPr>
            </w:pPr>
            <w:r w:rsidRPr="00507F2E">
              <w:rPr>
                <w:sz w:val="22"/>
                <w:szCs w:val="22"/>
                <w:lang w:eastAsia="en-US"/>
              </w:rPr>
              <w:t>Iš jų: elektros energijai</w:t>
            </w:r>
          </w:p>
        </w:tc>
        <w:tc>
          <w:tcPr>
            <w:tcW w:w="690" w:type="pct"/>
            <w:shd w:val="clear" w:color="auto" w:fill="auto"/>
          </w:tcPr>
          <w:p w:rsidR="003420ED" w:rsidRPr="00507F2E" w:rsidRDefault="003420ED" w:rsidP="00507F2E">
            <w:pPr>
              <w:jc w:val="center"/>
              <w:rPr>
                <w:sz w:val="22"/>
                <w:szCs w:val="22"/>
                <w:lang w:eastAsia="en-US"/>
              </w:rPr>
            </w:pPr>
            <w:r w:rsidRPr="00507F2E">
              <w:rPr>
                <w:sz w:val="22"/>
                <w:szCs w:val="22"/>
                <w:lang w:eastAsia="en-US"/>
              </w:rPr>
              <w:t>3,8</w:t>
            </w:r>
          </w:p>
        </w:tc>
        <w:tc>
          <w:tcPr>
            <w:tcW w:w="690" w:type="pct"/>
            <w:shd w:val="clear" w:color="auto" w:fill="auto"/>
          </w:tcPr>
          <w:p w:rsidR="003420ED" w:rsidRPr="00507F2E" w:rsidRDefault="003420ED" w:rsidP="00507F2E">
            <w:pPr>
              <w:jc w:val="center"/>
              <w:rPr>
                <w:sz w:val="22"/>
                <w:szCs w:val="22"/>
                <w:lang w:eastAsia="en-US"/>
              </w:rPr>
            </w:pPr>
            <w:r w:rsidRPr="00507F2E">
              <w:rPr>
                <w:sz w:val="22"/>
                <w:szCs w:val="22"/>
                <w:lang w:eastAsia="en-US"/>
              </w:rPr>
              <w:t>3,8</w:t>
            </w:r>
          </w:p>
        </w:tc>
        <w:tc>
          <w:tcPr>
            <w:tcW w:w="690" w:type="pct"/>
            <w:shd w:val="clear" w:color="auto" w:fill="auto"/>
          </w:tcPr>
          <w:p w:rsidR="003420ED" w:rsidRPr="00507F2E" w:rsidRDefault="003420ED" w:rsidP="00507F2E">
            <w:pPr>
              <w:jc w:val="center"/>
              <w:rPr>
                <w:sz w:val="22"/>
                <w:szCs w:val="22"/>
                <w:lang w:eastAsia="en-US"/>
              </w:rPr>
            </w:pPr>
            <w:r w:rsidRPr="00507F2E">
              <w:rPr>
                <w:sz w:val="22"/>
                <w:szCs w:val="22"/>
                <w:lang w:eastAsia="en-US"/>
              </w:rPr>
              <w:t>3,2</w:t>
            </w:r>
          </w:p>
        </w:tc>
        <w:tc>
          <w:tcPr>
            <w:tcW w:w="690" w:type="pct"/>
            <w:shd w:val="clear" w:color="auto" w:fill="auto"/>
          </w:tcPr>
          <w:p w:rsidR="003420ED" w:rsidRPr="00507F2E" w:rsidRDefault="003420ED" w:rsidP="00507F2E">
            <w:pPr>
              <w:jc w:val="center"/>
              <w:rPr>
                <w:sz w:val="22"/>
                <w:szCs w:val="22"/>
                <w:lang w:eastAsia="en-US"/>
              </w:rPr>
            </w:pPr>
            <w:r w:rsidRPr="00507F2E">
              <w:rPr>
                <w:sz w:val="22"/>
                <w:szCs w:val="22"/>
                <w:lang w:eastAsia="en-US"/>
              </w:rPr>
              <w:t>2,8</w:t>
            </w:r>
          </w:p>
        </w:tc>
        <w:tc>
          <w:tcPr>
            <w:tcW w:w="691" w:type="pct"/>
            <w:shd w:val="clear" w:color="auto" w:fill="auto"/>
          </w:tcPr>
          <w:p w:rsidR="003420ED" w:rsidRPr="00507F2E" w:rsidRDefault="003420ED" w:rsidP="00507F2E">
            <w:pPr>
              <w:jc w:val="center"/>
              <w:rPr>
                <w:sz w:val="22"/>
                <w:szCs w:val="22"/>
                <w:lang w:eastAsia="en-US"/>
              </w:rPr>
            </w:pPr>
            <w:r w:rsidRPr="00507F2E">
              <w:rPr>
                <w:sz w:val="22"/>
                <w:szCs w:val="22"/>
                <w:lang w:eastAsia="en-US"/>
              </w:rPr>
              <w:t>4,6</w:t>
            </w:r>
          </w:p>
        </w:tc>
      </w:tr>
      <w:tr w:rsidR="003420ED" w:rsidRPr="00507F2E" w:rsidTr="00507F2E">
        <w:tc>
          <w:tcPr>
            <w:tcW w:w="5000" w:type="pct"/>
            <w:gridSpan w:val="6"/>
            <w:shd w:val="clear" w:color="auto" w:fill="auto"/>
          </w:tcPr>
          <w:p w:rsidR="003420ED" w:rsidRPr="00507F2E" w:rsidRDefault="003420ED" w:rsidP="003420ED">
            <w:pPr>
              <w:rPr>
                <w:sz w:val="22"/>
                <w:szCs w:val="22"/>
                <w:lang w:eastAsia="en-US"/>
              </w:rPr>
            </w:pPr>
            <w:r w:rsidRPr="00507F2E">
              <w:rPr>
                <w:b/>
                <w:sz w:val="22"/>
                <w:szCs w:val="22"/>
                <w:lang w:eastAsia="en-US"/>
              </w:rPr>
              <w:t>FINANSAVIMAS IR PAJAMOS, tūkst. EUR</w:t>
            </w:r>
          </w:p>
        </w:tc>
      </w:tr>
      <w:tr w:rsidR="003420ED" w:rsidRPr="00507F2E" w:rsidTr="00507F2E">
        <w:tc>
          <w:tcPr>
            <w:tcW w:w="1549" w:type="pct"/>
            <w:shd w:val="clear" w:color="auto" w:fill="auto"/>
          </w:tcPr>
          <w:p w:rsidR="003420ED" w:rsidRPr="00507F2E" w:rsidRDefault="003420ED" w:rsidP="003420ED">
            <w:pPr>
              <w:rPr>
                <w:sz w:val="22"/>
                <w:szCs w:val="22"/>
                <w:lang w:eastAsia="en-US"/>
              </w:rPr>
            </w:pPr>
            <w:r w:rsidRPr="00507F2E">
              <w:rPr>
                <w:sz w:val="22"/>
                <w:szCs w:val="22"/>
                <w:lang w:eastAsia="en-US"/>
              </w:rPr>
              <w:t>Bendras įstaigos finansavimas ir pajamos (SB+VB+BĮP)</w:t>
            </w:r>
          </w:p>
        </w:tc>
        <w:tc>
          <w:tcPr>
            <w:tcW w:w="690" w:type="pct"/>
            <w:shd w:val="clear" w:color="auto" w:fill="auto"/>
          </w:tcPr>
          <w:p w:rsidR="003420ED" w:rsidRPr="00507F2E" w:rsidRDefault="003420ED" w:rsidP="00507F2E">
            <w:pPr>
              <w:jc w:val="center"/>
              <w:rPr>
                <w:b/>
                <w:sz w:val="22"/>
                <w:szCs w:val="22"/>
                <w:lang w:eastAsia="en-US"/>
              </w:rPr>
            </w:pPr>
            <w:r w:rsidRPr="00507F2E">
              <w:rPr>
                <w:b/>
                <w:sz w:val="22"/>
                <w:szCs w:val="22"/>
                <w:lang w:eastAsia="en-US"/>
              </w:rPr>
              <w:t>312,7</w:t>
            </w:r>
          </w:p>
        </w:tc>
        <w:tc>
          <w:tcPr>
            <w:tcW w:w="690" w:type="pct"/>
            <w:shd w:val="clear" w:color="auto" w:fill="auto"/>
          </w:tcPr>
          <w:p w:rsidR="003420ED" w:rsidRPr="00507F2E" w:rsidRDefault="003420ED" w:rsidP="00507F2E">
            <w:pPr>
              <w:jc w:val="center"/>
              <w:rPr>
                <w:b/>
                <w:sz w:val="22"/>
                <w:szCs w:val="22"/>
                <w:lang w:eastAsia="en-US"/>
              </w:rPr>
            </w:pPr>
            <w:r w:rsidRPr="00507F2E">
              <w:rPr>
                <w:b/>
                <w:sz w:val="22"/>
                <w:szCs w:val="22"/>
                <w:lang w:eastAsia="en-US"/>
              </w:rPr>
              <w:t>356,5</w:t>
            </w:r>
          </w:p>
        </w:tc>
        <w:tc>
          <w:tcPr>
            <w:tcW w:w="690" w:type="pct"/>
            <w:shd w:val="clear" w:color="auto" w:fill="auto"/>
          </w:tcPr>
          <w:p w:rsidR="003420ED" w:rsidRPr="00507F2E" w:rsidRDefault="003420ED" w:rsidP="00507F2E">
            <w:pPr>
              <w:jc w:val="center"/>
              <w:rPr>
                <w:b/>
                <w:sz w:val="22"/>
                <w:szCs w:val="22"/>
                <w:lang w:eastAsia="en-US"/>
              </w:rPr>
            </w:pPr>
            <w:r w:rsidRPr="00507F2E">
              <w:rPr>
                <w:b/>
                <w:sz w:val="22"/>
                <w:szCs w:val="22"/>
                <w:lang w:eastAsia="en-US"/>
              </w:rPr>
              <w:t>399,1</w:t>
            </w:r>
          </w:p>
        </w:tc>
        <w:tc>
          <w:tcPr>
            <w:tcW w:w="690" w:type="pct"/>
            <w:shd w:val="clear" w:color="auto" w:fill="auto"/>
          </w:tcPr>
          <w:p w:rsidR="003420ED" w:rsidRPr="00507F2E" w:rsidRDefault="003420ED" w:rsidP="00507F2E">
            <w:pPr>
              <w:jc w:val="center"/>
              <w:rPr>
                <w:b/>
                <w:sz w:val="22"/>
                <w:szCs w:val="22"/>
                <w:lang w:eastAsia="en-US"/>
              </w:rPr>
            </w:pPr>
            <w:r w:rsidRPr="00507F2E">
              <w:rPr>
                <w:b/>
                <w:sz w:val="22"/>
                <w:szCs w:val="22"/>
                <w:lang w:eastAsia="en-US"/>
              </w:rPr>
              <w:t>447,6</w:t>
            </w:r>
          </w:p>
        </w:tc>
        <w:tc>
          <w:tcPr>
            <w:tcW w:w="691" w:type="pct"/>
            <w:shd w:val="clear" w:color="auto" w:fill="auto"/>
          </w:tcPr>
          <w:p w:rsidR="003420ED" w:rsidRPr="00507F2E" w:rsidRDefault="003420ED" w:rsidP="00507F2E">
            <w:pPr>
              <w:jc w:val="center"/>
              <w:rPr>
                <w:b/>
                <w:sz w:val="22"/>
                <w:szCs w:val="22"/>
                <w:lang w:eastAsia="en-US"/>
              </w:rPr>
            </w:pPr>
            <w:r w:rsidRPr="00507F2E">
              <w:rPr>
                <w:b/>
                <w:sz w:val="22"/>
                <w:szCs w:val="22"/>
                <w:lang w:eastAsia="en-US"/>
              </w:rPr>
              <w:t>527,1</w:t>
            </w:r>
          </w:p>
        </w:tc>
      </w:tr>
      <w:tr w:rsidR="003420ED" w:rsidRPr="00507F2E" w:rsidTr="00507F2E">
        <w:tc>
          <w:tcPr>
            <w:tcW w:w="1549" w:type="pct"/>
            <w:shd w:val="clear" w:color="auto" w:fill="auto"/>
          </w:tcPr>
          <w:p w:rsidR="003420ED" w:rsidRPr="00507F2E" w:rsidRDefault="003420ED" w:rsidP="00507F2E">
            <w:pPr>
              <w:ind w:firstLine="426"/>
              <w:rPr>
                <w:sz w:val="22"/>
                <w:szCs w:val="22"/>
                <w:lang w:eastAsia="en-US"/>
              </w:rPr>
            </w:pPr>
            <w:r w:rsidRPr="00507F2E">
              <w:rPr>
                <w:sz w:val="22"/>
                <w:szCs w:val="22"/>
                <w:lang w:eastAsia="en-US"/>
              </w:rPr>
              <w:t>Iš jų: pajamos iš paslaugų gavėjų (tėvų mokestis)</w:t>
            </w:r>
          </w:p>
        </w:tc>
        <w:tc>
          <w:tcPr>
            <w:tcW w:w="690" w:type="pct"/>
            <w:shd w:val="clear" w:color="auto" w:fill="auto"/>
          </w:tcPr>
          <w:p w:rsidR="003420ED" w:rsidRPr="00507F2E" w:rsidRDefault="003420ED" w:rsidP="00507F2E">
            <w:pPr>
              <w:jc w:val="center"/>
              <w:rPr>
                <w:sz w:val="22"/>
                <w:szCs w:val="22"/>
                <w:lang w:eastAsia="en-US"/>
              </w:rPr>
            </w:pPr>
            <w:r w:rsidRPr="00507F2E">
              <w:rPr>
                <w:sz w:val="22"/>
                <w:szCs w:val="22"/>
                <w:lang w:eastAsia="en-US"/>
              </w:rPr>
              <w:t>29,4</w:t>
            </w:r>
          </w:p>
        </w:tc>
        <w:tc>
          <w:tcPr>
            <w:tcW w:w="690" w:type="pct"/>
            <w:shd w:val="clear" w:color="auto" w:fill="auto"/>
          </w:tcPr>
          <w:p w:rsidR="003420ED" w:rsidRPr="00507F2E" w:rsidRDefault="003420ED" w:rsidP="00507F2E">
            <w:pPr>
              <w:jc w:val="center"/>
              <w:rPr>
                <w:sz w:val="22"/>
                <w:szCs w:val="22"/>
                <w:lang w:eastAsia="en-US"/>
              </w:rPr>
            </w:pPr>
            <w:r w:rsidRPr="00507F2E">
              <w:rPr>
                <w:sz w:val="22"/>
                <w:szCs w:val="22"/>
                <w:lang w:eastAsia="en-US"/>
              </w:rPr>
              <w:t>33,0</w:t>
            </w:r>
          </w:p>
        </w:tc>
        <w:tc>
          <w:tcPr>
            <w:tcW w:w="690" w:type="pct"/>
            <w:shd w:val="clear" w:color="auto" w:fill="auto"/>
          </w:tcPr>
          <w:p w:rsidR="003420ED" w:rsidRPr="00507F2E" w:rsidRDefault="003420ED" w:rsidP="00507F2E">
            <w:pPr>
              <w:jc w:val="center"/>
              <w:rPr>
                <w:sz w:val="22"/>
                <w:szCs w:val="22"/>
                <w:lang w:eastAsia="en-US"/>
              </w:rPr>
            </w:pPr>
            <w:r w:rsidRPr="00507F2E">
              <w:rPr>
                <w:sz w:val="22"/>
                <w:szCs w:val="22"/>
                <w:lang w:eastAsia="en-US"/>
              </w:rPr>
              <w:t>39,2</w:t>
            </w:r>
          </w:p>
        </w:tc>
        <w:tc>
          <w:tcPr>
            <w:tcW w:w="690" w:type="pct"/>
            <w:shd w:val="clear" w:color="auto" w:fill="auto"/>
          </w:tcPr>
          <w:p w:rsidR="003420ED" w:rsidRPr="00507F2E" w:rsidRDefault="003420ED" w:rsidP="00507F2E">
            <w:pPr>
              <w:jc w:val="center"/>
              <w:rPr>
                <w:sz w:val="22"/>
                <w:szCs w:val="22"/>
                <w:lang w:eastAsia="en-US"/>
              </w:rPr>
            </w:pPr>
            <w:r w:rsidRPr="00507F2E">
              <w:rPr>
                <w:sz w:val="22"/>
                <w:szCs w:val="22"/>
                <w:lang w:eastAsia="en-US"/>
              </w:rPr>
              <w:t>38,3</w:t>
            </w:r>
          </w:p>
        </w:tc>
        <w:tc>
          <w:tcPr>
            <w:tcW w:w="691" w:type="pct"/>
            <w:shd w:val="clear" w:color="auto" w:fill="auto"/>
          </w:tcPr>
          <w:p w:rsidR="003420ED" w:rsidRPr="00507F2E" w:rsidRDefault="003420ED" w:rsidP="00507F2E">
            <w:pPr>
              <w:jc w:val="center"/>
              <w:rPr>
                <w:sz w:val="22"/>
                <w:szCs w:val="22"/>
                <w:lang w:eastAsia="en-US"/>
              </w:rPr>
            </w:pPr>
            <w:r w:rsidRPr="00507F2E">
              <w:rPr>
                <w:sz w:val="22"/>
                <w:szCs w:val="22"/>
                <w:lang w:eastAsia="en-US"/>
              </w:rPr>
              <w:t>39,3</w:t>
            </w:r>
          </w:p>
        </w:tc>
      </w:tr>
    </w:tbl>
    <w:p w:rsidR="003420ED" w:rsidRPr="00B778A6" w:rsidRDefault="003420ED" w:rsidP="00B778A6">
      <w:pPr>
        <w:jc w:val="center"/>
        <w:rPr>
          <w:i/>
          <w:sz w:val="20"/>
          <w:szCs w:val="20"/>
        </w:rPr>
      </w:pPr>
      <w:r w:rsidRPr="00B778A6">
        <w:rPr>
          <w:i/>
          <w:sz w:val="20"/>
          <w:szCs w:val="20"/>
        </w:rPr>
        <w:t xml:space="preserve">Šaltinis: </w:t>
      </w:r>
      <w:r w:rsidR="00411565" w:rsidRPr="00B778A6">
        <w:rPr>
          <w:i/>
          <w:sz w:val="20"/>
          <w:szCs w:val="20"/>
        </w:rPr>
        <w:t>Prienų lopšelio-</w:t>
      </w:r>
      <w:r w:rsidRPr="00B778A6">
        <w:rPr>
          <w:i/>
          <w:sz w:val="20"/>
          <w:szCs w:val="20"/>
        </w:rPr>
        <w:t>darželis Gintarėlis</w:t>
      </w:r>
    </w:p>
    <w:p w:rsidR="003420ED" w:rsidRPr="00B778A6" w:rsidRDefault="003420ED" w:rsidP="00A34779">
      <w:pPr>
        <w:ind w:firstLine="720"/>
        <w:jc w:val="both"/>
      </w:pPr>
    </w:p>
    <w:p w:rsidR="003420ED" w:rsidRPr="00B778A6" w:rsidRDefault="003420ED" w:rsidP="00A34779">
      <w:pPr>
        <w:ind w:firstLine="720"/>
        <w:jc w:val="both"/>
      </w:pPr>
      <w:r w:rsidRPr="00B778A6">
        <w:t>Nors pajamos per 5 metus išaugo net 69 proc., tačiau atlyginimams ir susijusiems mokesčiams tenkanti dalis irgi nuolat augo bei 2021 siekė net 80 proc.</w:t>
      </w:r>
      <w:r w:rsidR="00105030">
        <w:t xml:space="preserve"> visų išlaidų.</w:t>
      </w:r>
      <w:r w:rsidRPr="00B778A6">
        <w:t xml:space="preserve"> </w:t>
      </w:r>
      <w:r w:rsidR="000322F4" w:rsidRPr="00B778A6">
        <w:t>Vidutinės metinės išlaidos šildymui ir elektrai siekė 32 tūkst. EUR. Dar apie 10 proc. įstaigos išlaidų sudaro maitinimas, tad lėšų pastato techninės būklės pagerinimui iš esmės nelieka.</w:t>
      </w:r>
    </w:p>
    <w:p w:rsidR="00A34779" w:rsidRPr="00B778A6" w:rsidRDefault="006B44AB" w:rsidP="00D55D3F">
      <w:pPr>
        <w:ind w:firstLine="720"/>
        <w:jc w:val="both"/>
        <w:rPr>
          <w:lang w:eastAsia="en-US"/>
        </w:rPr>
      </w:pPr>
      <w:r w:rsidRPr="00B778A6">
        <w:t>Toliau pateikiama esamo</w:t>
      </w:r>
      <w:r w:rsidR="00DF1DC0" w:rsidRPr="00B778A6">
        <w:t xml:space="preserve"> pagrindinio </w:t>
      </w:r>
      <w:r w:rsidRPr="00B778A6">
        <w:t xml:space="preserve">pastato </w:t>
      </w:r>
      <w:r w:rsidR="00DF1DC0" w:rsidRPr="00B778A6">
        <w:t>(</w:t>
      </w:r>
      <w:r w:rsidR="004D3F6E" w:rsidRPr="00B778A6">
        <w:t>Statybininkų g. 17</w:t>
      </w:r>
      <w:r w:rsidR="00DF1DC0" w:rsidRPr="00B778A6">
        <w:t xml:space="preserve">) </w:t>
      </w:r>
      <w:r w:rsidR="00D55D3F" w:rsidRPr="00B778A6">
        <w:t xml:space="preserve">išorinių atitvarų ir kai kurių inžinerinių sistemų </w:t>
      </w:r>
      <w:r w:rsidRPr="00B778A6">
        <w:t>techninės būklės analizė</w:t>
      </w:r>
      <w:r w:rsidR="00D55D3F" w:rsidRPr="00B778A6">
        <w:t xml:space="preserve">. </w:t>
      </w:r>
      <w:r w:rsidR="004D3F6E" w:rsidRPr="00B778A6">
        <w:rPr>
          <w:lang w:eastAsia="en-US"/>
        </w:rPr>
        <w:t xml:space="preserve">2021 </w:t>
      </w:r>
      <w:r w:rsidR="00A34779" w:rsidRPr="00B778A6">
        <w:rPr>
          <w:lang w:eastAsia="en-US"/>
        </w:rPr>
        <w:t>metais buvo parengta pastato energijos vartojimo audito ataskaita, kurioje pateikti išorinių atitvarų ir inžinerinių sistemų būklės analizės rezultatai, nustatytos energetinio neefektyvumo priežastys ir pateikti pasiūlymai esamoms problemoms spręsti:</w:t>
      </w:r>
    </w:p>
    <w:p w:rsidR="00213E33" w:rsidRPr="00B778A6" w:rsidRDefault="00213E33" w:rsidP="00B778A6">
      <w:pPr>
        <w:numPr>
          <w:ilvl w:val="0"/>
          <w:numId w:val="49"/>
        </w:numPr>
        <w:jc w:val="both"/>
        <w:rPr>
          <w:b/>
          <w:lang w:eastAsia="en-US"/>
        </w:rPr>
      </w:pPr>
      <w:r w:rsidRPr="00B778A6">
        <w:rPr>
          <w:b/>
          <w:lang w:eastAsia="en-US"/>
        </w:rPr>
        <w:t>Langai ir laiko durys.</w:t>
      </w:r>
    </w:p>
    <w:p w:rsidR="00213E33" w:rsidRPr="00B778A6" w:rsidRDefault="00213E33" w:rsidP="00B778A6">
      <w:pPr>
        <w:ind w:left="709" w:firstLine="11"/>
        <w:jc w:val="both"/>
        <w:rPr>
          <w:lang w:eastAsia="en-US"/>
        </w:rPr>
      </w:pPr>
      <w:r w:rsidRPr="00B778A6">
        <w:rPr>
          <w:lang w:eastAsia="en-US"/>
        </w:rPr>
        <w:t>Pastato langai – plastikinio rėmo su stiklo paketu (1 selektyvinis stiklas), bendras plotas – 581,89 m². Langai keisti iki 2010m.</w:t>
      </w:r>
    </w:p>
    <w:p w:rsidR="009F166A" w:rsidRPr="00B778A6" w:rsidRDefault="00213E33" w:rsidP="00B778A6">
      <w:pPr>
        <w:ind w:left="709" w:firstLine="11"/>
        <w:jc w:val="both"/>
        <w:rPr>
          <w:lang w:eastAsia="en-US"/>
        </w:rPr>
      </w:pPr>
      <w:r w:rsidRPr="00B778A6">
        <w:rPr>
          <w:lang w:eastAsia="en-US"/>
        </w:rPr>
        <w:t>Išorės durys – plastikinio rėmo su stikliniais viršlangiais (bendras plotas 34,87 m²).</w:t>
      </w:r>
      <w:r w:rsidR="009F166A" w:rsidRPr="00B778A6">
        <w:rPr>
          <w:lang w:eastAsia="en-US"/>
        </w:rPr>
        <w:t xml:space="preserve"> </w:t>
      </w:r>
    </w:p>
    <w:p w:rsidR="00213E33" w:rsidRPr="00B778A6" w:rsidRDefault="00213E33" w:rsidP="00B778A6">
      <w:pPr>
        <w:ind w:left="709" w:firstLine="11"/>
        <w:jc w:val="both"/>
        <w:rPr>
          <w:lang w:eastAsia="en-US"/>
        </w:rPr>
      </w:pPr>
      <w:r w:rsidRPr="00B778A6">
        <w:rPr>
          <w:lang w:eastAsia="en-US"/>
        </w:rPr>
        <w:t xml:space="preserve">Plastikinio rėmo langų ir išorės durų būklė yra prasta. Dalis jų – nesandarūs. Apžiūrėjus langus ir duris pastebėta, jog kai kur rėmų ir sienų sandūrų vietose (angokračiuose) jaučiama stipri šalto oro infiltracija, langų varčių gumos </w:t>
      </w:r>
      <w:r w:rsidR="00105030" w:rsidRPr="00B778A6">
        <w:rPr>
          <w:lang w:eastAsia="en-US"/>
        </w:rPr>
        <w:t>susid</w:t>
      </w:r>
      <w:r w:rsidR="00105030">
        <w:rPr>
          <w:lang w:eastAsia="en-US"/>
        </w:rPr>
        <w:t>ė</w:t>
      </w:r>
      <w:r w:rsidR="00105030" w:rsidRPr="00B778A6">
        <w:rPr>
          <w:lang w:eastAsia="en-US"/>
        </w:rPr>
        <w:t>vėję</w:t>
      </w:r>
      <w:r w:rsidRPr="00B778A6">
        <w:rPr>
          <w:lang w:eastAsia="en-US"/>
        </w:rPr>
        <w:t>, juntamas oro pritekėjimas.</w:t>
      </w:r>
    </w:p>
    <w:p w:rsidR="00213E33" w:rsidRPr="00B778A6" w:rsidRDefault="00213E33" w:rsidP="00B778A6">
      <w:pPr>
        <w:ind w:left="709" w:firstLine="11"/>
        <w:jc w:val="both"/>
      </w:pPr>
      <w:r w:rsidRPr="00B778A6">
        <w:t>Plastikinio rėmo langų šiluminė varža R = 0,588 (m²K)/W, o šilumos perdavimo koeficientas U = 1,70 W/(m²K). Išorės durų šiluminė varža R = 0,455 (m²K)/W, o šilumos perdavimo koeficientas U = 2,2 W/(m²K). Gaminių šiluminės savybės nustatytos pagal STR 2.01.02:2016 duomenis. Nustatytas „B“ klasės norminis langų šilumos perdavimo koeficientas UN = 1,30 W/(m²K). Nustatytas išorės durų norminis šilumos perdavimo koeficientas UN = 1,90 W/(m²K). Nustatytas leistinasis langų ir durų šilumos perdavimo koeficientas UL = 1,9 W/(m²K).</w:t>
      </w:r>
    </w:p>
    <w:p w:rsidR="00213E33" w:rsidRPr="00B778A6" w:rsidRDefault="00213E33" w:rsidP="00B778A6">
      <w:pPr>
        <w:ind w:left="709" w:firstLine="11"/>
        <w:jc w:val="both"/>
      </w:pPr>
      <w:r w:rsidRPr="00B778A6">
        <w:t>Dėl prastos langų ir durų būklės, siūloma juos pakeisti, šiuolaikiškais, PVC rėmo, su dviejų kamerų stiklo paketu, padengtu selektyvinėmis dangomis, langus (U≤1,00 W/(m²K), oro laidžio klasė - 4).</w:t>
      </w:r>
    </w:p>
    <w:p w:rsidR="00213E33" w:rsidRPr="00B778A6" w:rsidRDefault="00213E33" w:rsidP="00B778A6">
      <w:pPr>
        <w:ind w:left="709" w:firstLine="11"/>
        <w:jc w:val="both"/>
      </w:pPr>
      <w:r w:rsidRPr="00B778A6">
        <w:t xml:space="preserve">Nesandarias, </w:t>
      </w:r>
      <w:r w:rsidR="00105030" w:rsidRPr="00B778A6">
        <w:t>susid</w:t>
      </w:r>
      <w:r w:rsidR="00105030">
        <w:t>ė</w:t>
      </w:r>
      <w:r w:rsidR="00105030" w:rsidRPr="00B778A6">
        <w:t xml:space="preserve">vėjusias </w:t>
      </w:r>
      <w:r w:rsidRPr="00B778A6">
        <w:t>metalinio rėmo išorės duris siūloma keisti į naujas metalinio rėmo su apšiltinimu duris (U≤1,40 W/(m²K), oro laidžio klasė - 4). Kartu siūloma keisti ir 2-ąsias tambūrų duris.</w:t>
      </w:r>
    </w:p>
    <w:p w:rsidR="00BF5758" w:rsidRPr="00B778A6" w:rsidRDefault="00A34779" w:rsidP="00B778A6">
      <w:pPr>
        <w:numPr>
          <w:ilvl w:val="0"/>
          <w:numId w:val="18"/>
        </w:numPr>
        <w:jc w:val="both"/>
        <w:rPr>
          <w:lang w:eastAsia="en-US"/>
        </w:rPr>
      </w:pPr>
      <w:r w:rsidRPr="00B778A6">
        <w:rPr>
          <w:b/>
          <w:lang w:eastAsia="en-US"/>
        </w:rPr>
        <w:lastRenderedPageBreak/>
        <w:t>Išorinės sienos</w:t>
      </w:r>
      <w:r w:rsidRPr="00B778A6">
        <w:rPr>
          <w:lang w:eastAsia="en-US"/>
        </w:rPr>
        <w:t xml:space="preserve">. </w:t>
      </w:r>
    </w:p>
    <w:p w:rsidR="00BF5758" w:rsidRPr="00B778A6" w:rsidRDefault="00BF5758" w:rsidP="00B778A6">
      <w:pPr>
        <w:ind w:left="720"/>
        <w:jc w:val="both"/>
        <w:rPr>
          <w:lang w:eastAsia="en-US"/>
        </w:rPr>
      </w:pPr>
      <w:r w:rsidRPr="00B778A6">
        <w:rPr>
          <w:lang w:eastAsia="en-US"/>
        </w:rPr>
        <w:t>Pastato išorinės sienos – iš akytbetonio blokų (storis 25cm), tinkuotos iš vidaus (bendras sienų plotas – 895,80 m²). Galerijos išorinės sienos – iš akytbetonio (storis – 12cm), tinkuotos iš vidaus (bendras sienų plotas – 76,50 m²).</w:t>
      </w:r>
    </w:p>
    <w:p w:rsidR="00BF5758" w:rsidRPr="00B778A6" w:rsidRDefault="00BF5758" w:rsidP="00B778A6">
      <w:pPr>
        <w:ind w:left="720"/>
        <w:jc w:val="both"/>
        <w:rPr>
          <w:lang w:eastAsia="en-US"/>
        </w:rPr>
      </w:pPr>
      <w:r w:rsidRPr="00B778A6">
        <w:rPr>
          <w:lang w:eastAsia="en-US"/>
        </w:rPr>
        <w:t>Cokolinė pastato dalis – iš pamatinių g/b blokų (246,26 m2), papildomai neapšiltintos.</w:t>
      </w:r>
    </w:p>
    <w:p w:rsidR="00BF5758" w:rsidRPr="00B778A6" w:rsidRDefault="00BF5758" w:rsidP="00B778A6">
      <w:pPr>
        <w:ind w:left="720"/>
        <w:jc w:val="both"/>
        <w:rPr>
          <w:lang w:eastAsia="en-US"/>
        </w:rPr>
      </w:pPr>
      <w:r w:rsidRPr="00B778A6">
        <w:rPr>
          <w:lang w:eastAsia="en-US"/>
        </w:rPr>
        <w:t>Išorės sienų fizinis stovis nepatenkinamas, pastabėti daugybiniai mechaniniai sienų pažeidimai, plyšiai tarp blokų, blokų įtrūkimai, cokolinės dalies pažeidimai. Nuogrinda aplink pastatą daugelyje vietų nusėdusi, neatlieka savo funkcijos. Išorinių sienų šilumos perdavimo koeficientai netenkina STR reikalavimų.</w:t>
      </w:r>
    </w:p>
    <w:p w:rsidR="00695DE6" w:rsidRPr="00C668D4" w:rsidRDefault="00BF5758" w:rsidP="00C668D4">
      <w:pPr>
        <w:ind w:left="720"/>
        <w:jc w:val="both"/>
        <w:rPr>
          <w:color w:val="000000"/>
        </w:rPr>
      </w:pPr>
      <w:r w:rsidRPr="00B778A6">
        <w:rPr>
          <w:color w:val="000000"/>
        </w:rPr>
        <w:t>Įvertinus tai, kad pastato išorinių sienų būklė prasta, o šiluminė varža neatitinka norminių reikalavimų, bei atsižvelgiant į šilumos nuostolių dalį tenkantį išorinėms sienoms (pagal sudarytą šilumos nuostolių balansą), siūloma pastato išorines sienas apšiltinti iš lauko pusės. Atsižvelgiant į norminius reikalavimus, siūloma:</w:t>
      </w:r>
      <w:r w:rsidR="00695DE6">
        <w:rPr>
          <w:color w:val="000000"/>
        </w:rPr>
        <w:t xml:space="preserve"> </w:t>
      </w:r>
      <w:r w:rsidR="00695DE6" w:rsidRPr="00695DE6">
        <w:rPr>
          <w:color w:val="000000"/>
          <w:sz w:val="23"/>
          <w:szCs w:val="23"/>
        </w:rPr>
        <w:t xml:space="preserve">visas fasadų sienas šiltinti ne mažiau 23 cm </w:t>
      </w:r>
      <w:r w:rsidR="00695DE6" w:rsidRPr="00C668D4">
        <w:rPr>
          <w:lang w:eastAsia="en-US"/>
        </w:rPr>
        <w:t>storio akmens vatos, poliuretano putų arba polistireninio putplasčio plokštėmis, įrengiant ventiliuojamą fasadą; cokolinę pastato dalį siūloma šiltinti ne mažiau 10 cm ekstrudinio polistireninio putplasčio (XPS) plokštėmis įrengiant tinkuojamą apdailą.</w:t>
      </w:r>
      <w:r w:rsidR="00695DE6" w:rsidRPr="00695DE6">
        <w:rPr>
          <w:color w:val="000000"/>
          <w:sz w:val="23"/>
          <w:szCs w:val="23"/>
        </w:rPr>
        <w:t xml:space="preserve"> </w:t>
      </w:r>
    </w:p>
    <w:p w:rsidR="00BF5758" w:rsidRPr="00B778A6" w:rsidRDefault="00A34779" w:rsidP="00B778A6">
      <w:pPr>
        <w:numPr>
          <w:ilvl w:val="0"/>
          <w:numId w:val="18"/>
        </w:numPr>
        <w:jc w:val="both"/>
        <w:rPr>
          <w:lang w:eastAsia="en-US"/>
        </w:rPr>
      </w:pPr>
      <w:r w:rsidRPr="00B778A6">
        <w:rPr>
          <w:b/>
          <w:lang w:eastAsia="en-US"/>
        </w:rPr>
        <w:t>Stogas</w:t>
      </w:r>
      <w:r w:rsidRPr="00B778A6">
        <w:rPr>
          <w:lang w:eastAsia="en-US"/>
        </w:rPr>
        <w:t xml:space="preserve">. </w:t>
      </w:r>
      <w:r w:rsidR="00BF5758" w:rsidRPr="00B778A6">
        <w:rPr>
          <w:lang w:eastAsia="en-US"/>
        </w:rPr>
        <w:t>Pastato stogas – šlaitininis, o galerijos stogas – sutapdintas.</w:t>
      </w:r>
    </w:p>
    <w:p w:rsidR="00BF5758" w:rsidRPr="00B778A6" w:rsidRDefault="00BF5758" w:rsidP="00B778A6">
      <w:pPr>
        <w:ind w:left="720"/>
        <w:jc w:val="both"/>
        <w:rPr>
          <w:lang w:eastAsia="en-US"/>
        </w:rPr>
      </w:pPr>
      <w:r w:rsidRPr="00B778A6">
        <w:rPr>
          <w:lang w:eastAsia="en-US"/>
        </w:rPr>
        <w:t>Šlaitinio stogo konstrukcijos – neapšiltintos medinės gegnės, palėpės perdanga su akytbetonio plokštėmis, stogo danga – senas šiferis.</w:t>
      </w:r>
    </w:p>
    <w:p w:rsidR="00BF5758" w:rsidRPr="00B778A6" w:rsidRDefault="00BF5758" w:rsidP="00B778A6">
      <w:pPr>
        <w:ind w:left="720"/>
        <w:jc w:val="both"/>
        <w:rPr>
          <w:lang w:eastAsia="en-US"/>
        </w:rPr>
      </w:pPr>
      <w:r w:rsidRPr="00B778A6">
        <w:rPr>
          <w:lang w:eastAsia="en-US"/>
        </w:rPr>
        <w:t>Sutapdinto galerijos stogo perdanga iš akytbetonio plokščių, papildomai neapšiltinta. Bendras palėpės perdangos plotas – 949,44 m2, bendras sutapdinto galerijos stogo plotas – 111,08 m2 Lietaus nuvedimo sistema – išorinė.</w:t>
      </w:r>
    </w:p>
    <w:p w:rsidR="00BF5758" w:rsidRPr="00B778A6" w:rsidRDefault="00BF5758" w:rsidP="00B778A6">
      <w:pPr>
        <w:ind w:left="720"/>
        <w:jc w:val="both"/>
        <w:rPr>
          <w:lang w:eastAsia="en-US"/>
        </w:rPr>
      </w:pPr>
      <w:r w:rsidRPr="00B778A6">
        <w:rPr>
          <w:lang w:eastAsia="en-US"/>
        </w:rPr>
        <w:t>Apžiūrėjus patalpas viršutiniuose aukštuose iš vidaus, vietomis pastebėtas drėgmės poveikis, apgadinta vidaus apdaila.</w:t>
      </w:r>
    </w:p>
    <w:p w:rsidR="00BF5758" w:rsidRPr="00B778A6" w:rsidRDefault="00BF5758" w:rsidP="00B778A6">
      <w:pPr>
        <w:ind w:left="720"/>
        <w:jc w:val="both"/>
        <w:rPr>
          <w:lang w:eastAsia="en-US"/>
        </w:rPr>
      </w:pPr>
      <w:r w:rsidRPr="00B778A6">
        <w:rPr>
          <w:lang w:eastAsia="en-US"/>
        </w:rPr>
        <w:t>Šlaitinio stogo būklė – labai prasta, gegnes reikia remontuoti, o stogo dangą keisti, nes ji nesandari, morališkai pasenusi. Sutapdinto stogo būklė – patenkinama.</w:t>
      </w:r>
    </w:p>
    <w:p w:rsidR="00BF5758" w:rsidRPr="00B778A6" w:rsidRDefault="00BF5758" w:rsidP="00B778A6">
      <w:pPr>
        <w:ind w:left="720"/>
        <w:jc w:val="both"/>
        <w:rPr>
          <w:lang w:eastAsia="en-US"/>
        </w:rPr>
      </w:pPr>
      <w:r w:rsidRPr="00B778A6">
        <w:rPr>
          <w:lang w:eastAsia="en-US"/>
        </w:rPr>
        <w:t>Stogų šilumos perdavimo koeficientai netenkina STR reikalavimų.</w:t>
      </w:r>
    </w:p>
    <w:p w:rsidR="00BF5758" w:rsidRPr="00B778A6" w:rsidRDefault="00BF5758" w:rsidP="00B778A6">
      <w:pPr>
        <w:ind w:left="720"/>
        <w:jc w:val="both"/>
        <w:rPr>
          <w:lang w:eastAsia="en-US"/>
        </w:rPr>
      </w:pPr>
      <w:r w:rsidRPr="00B778A6">
        <w:rPr>
          <w:lang w:eastAsia="en-US"/>
        </w:rPr>
        <w:t>Atsižvelgiant į tai, kad stogų šiluminės varžos neatitinka norminių reikalavimų, bei jų prastą būklę, siūloma šias atitvaras papildomai apšiltinti.</w:t>
      </w:r>
    </w:p>
    <w:p w:rsidR="00BF5758" w:rsidRPr="00B778A6" w:rsidRDefault="00BF5758" w:rsidP="00B778A6">
      <w:pPr>
        <w:ind w:left="720"/>
        <w:jc w:val="both"/>
        <w:rPr>
          <w:lang w:eastAsia="en-US"/>
        </w:rPr>
      </w:pPr>
      <w:r w:rsidRPr="00B778A6">
        <w:rPr>
          <w:lang w:eastAsia="en-US"/>
        </w:rPr>
        <w:t>Siūloma pastogės perdangą apšiltinti ≥20cm termoizoliacinėmis plokštėmis, suremontuojant laikančias medines konstrukcijas, pakeičiant dangą, bei renovuojant lietaus surinkimo ir nuvedimo sistemą, vėdinimo kaminėlius ir pan.</w:t>
      </w:r>
    </w:p>
    <w:p w:rsidR="00BF5758" w:rsidRPr="00B778A6" w:rsidRDefault="00BF5758" w:rsidP="00B778A6">
      <w:pPr>
        <w:ind w:left="720"/>
        <w:jc w:val="both"/>
        <w:rPr>
          <w:lang w:eastAsia="en-US"/>
        </w:rPr>
      </w:pPr>
      <w:r w:rsidRPr="00B778A6">
        <w:rPr>
          <w:lang w:eastAsia="en-US"/>
        </w:rPr>
        <w:t>Sutapdinto stogo perdangą siūloma apšiltinti ≥78 cm dvisluosknėmis termoizoliacinėmis plokštėmis. Atliekant šiltinimą remontuojami konstrukciniai (parapetai ir kt.) ir inžinieriniai elementai (vėdinimo kaminėliai ir kt.), renovuojama lietaus surinkimo ir nuvedimo sistema.</w:t>
      </w:r>
    </w:p>
    <w:p w:rsidR="00064FF1" w:rsidRPr="00B778A6" w:rsidRDefault="00A34779" w:rsidP="00B778A6">
      <w:pPr>
        <w:numPr>
          <w:ilvl w:val="0"/>
          <w:numId w:val="18"/>
        </w:numPr>
        <w:jc w:val="both"/>
        <w:rPr>
          <w:color w:val="FF0000"/>
          <w:lang w:eastAsia="en-US"/>
        </w:rPr>
      </w:pPr>
      <w:r w:rsidRPr="00B778A6">
        <w:rPr>
          <w:b/>
          <w:lang w:eastAsia="en-US"/>
        </w:rPr>
        <w:t>Grindys</w:t>
      </w:r>
      <w:r w:rsidRPr="00B778A6">
        <w:rPr>
          <w:lang w:eastAsia="en-US"/>
        </w:rPr>
        <w:t xml:space="preserve">. </w:t>
      </w:r>
      <w:r w:rsidR="00064FF1" w:rsidRPr="00B778A6">
        <w:t>Pastato grindys – virš nešildomo rūsio (plotas 429,89 m²) ir nešildomo pogrindžio (plotas 426,77 m²),</w:t>
      </w:r>
      <w:r w:rsidR="00064FF1" w:rsidRPr="00B778A6">
        <w:rPr>
          <w:color w:val="000000"/>
        </w:rPr>
        <w:t xml:space="preserve"> papildomai neapšiltintos. Grindų danga įvairi: teracinės, keraminės plytelės, linoleumas. Cokolinė pastato dalis papildomai neapšiltinta. </w:t>
      </w:r>
    </w:p>
    <w:p w:rsidR="00064FF1" w:rsidRPr="00B778A6" w:rsidRDefault="00064FF1" w:rsidP="00B778A6">
      <w:pPr>
        <w:ind w:left="720"/>
        <w:jc w:val="both"/>
        <w:rPr>
          <w:color w:val="FF0000"/>
          <w:lang w:eastAsia="en-US"/>
        </w:rPr>
      </w:pPr>
      <w:r w:rsidRPr="00B778A6">
        <w:rPr>
          <w:color w:val="000000"/>
        </w:rPr>
        <w:t xml:space="preserve">Atlikus apžiūra nustatyta, kad grindų danga - geros būklės. </w:t>
      </w:r>
    </w:p>
    <w:p w:rsidR="00064FF1" w:rsidRPr="00B778A6" w:rsidRDefault="00064FF1" w:rsidP="00B778A6">
      <w:pPr>
        <w:ind w:left="720"/>
        <w:jc w:val="both"/>
        <w:rPr>
          <w:color w:val="FF0000"/>
          <w:lang w:eastAsia="en-US"/>
        </w:rPr>
      </w:pPr>
      <w:r w:rsidRPr="00B778A6">
        <w:rPr>
          <w:color w:val="000000"/>
        </w:rPr>
        <w:t>Atsižvelgiant į tai, kad grindys yra geros būklės,</w:t>
      </w:r>
      <w:r w:rsidR="00105030">
        <w:rPr>
          <w:color w:val="000000"/>
        </w:rPr>
        <w:t xml:space="preserve"> </w:t>
      </w:r>
      <w:r w:rsidRPr="00B778A6">
        <w:rPr>
          <w:color w:val="000000"/>
        </w:rPr>
        <w:t xml:space="preserve">o šilumos nuostolių dalis bendrame pastato nuostolių balanse -mažiausia, siūloma jų papildomai neapšiltinti. Siekiant sumažinti nuostolius per grindis siūloma apšiltinti pastato cokolinę antžeminę ir požeminę dalis </w:t>
      </w:r>
    </w:p>
    <w:p w:rsidR="00213E33" w:rsidRPr="00B778A6" w:rsidRDefault="00A34779" w:rsidP="00B778A6">
      <w:pPr>
        <w:numPr>
          <w:ilvl w:val="0"/>
          <w:numId w:val="18"/>
        </w:numPr>
        <w:jc w:val="both"/>
        <w:rPr>
          <w:lang w:eastAsia="en-US"/>
        </w:rPr>
      </w:pPr>
      <w:r w:rsidRPr="00B778A6">
        <w:rPr>
          <w:b/>
          <w:lang w:eastAsia="en-US"/>
        </w:rPr>
        <w:t>Šildymo, karšto vandens ir vėdinimo sistemos.</w:t>
      </w:r>
      <w:r w:rsidRPr="00B778A6">
        <w:rPr>
          <w:lang w:eastAsia="en-US"/>
        </w:rPr>
        <w:t xml:space="preserve"> Šilumos tiekėjas – UAB „</w:t>
      </w:r>
      <w:r w:rsidR="0033067A" w:rsidRPr="00B778A6">
        <w:rPr>
          <w:lang w:eastAsia="en-US"/>
        </w:rPr>
        <w:t>Prienų</w:t>
      </w:r>
      <w:r w:rsidRPr="00B778A6">
        <w:rPr>
          <w:lang w:eastAsia="en-US"/>
        </w:rPr>
        <w:t xml:space="preserve"> </w:t>
      </w:r>
      <w:r w:rsidR="00213E33" w:rsidRPr="00B778A6">
        <w:rPr>
          <w:lang w:eastAsia="en-US"/>
        </w:rPr>
        <w:t>energija</w:t>
      </w:r>
      <w:r w:rsidRPr="00B778A6">
        <w:rPr>
          <w:lang w:eastAsia="en-US"/>
        </w:rPr>
        <w:t xml:space="preserve">“. </w:t>
      </w:r>
      <w:r w:rsidR="00213E33" w:rsidRPr="00B778A6">
        <w:rPr>
          <w:lang w:eastAsia="en-US"/>
        </w:rPr>
        <w:t xml:space="preserve"> Pastato šildymo sistemos tipas – vienvamzdė.</w:t>
      </w:r>
    </w:p>
    <w:p w:rsidR="00213E33" w:rsidRPr="00B778A6" w:rsidRDefault="00213E33" w:rsidP="00B778A6">
      <w:pPr>
        <w:ind w:left="720"/>
        <w:jc w:val="both"/>
        <w:rPr>
          <w:lang w:eastAsia="en-US"/>
        </w:rPr>
      </w:pPr>
      <w:r w:rsidRPr="00B778A6">
        <w:rPr>
          <w:lang w:eastAsia="en-US"/>
        </w:rPr>
        <w:t>Šildymo prietaisų tipas: sekciniai ketiniai, plieniniai konvektoriai.</w:t>
      </w:r>
    </w:p>
    <w:p w:rsidR="00213E33" w:rsidRPr="00B778A6" w:rsidRDefault="00213E33" w:rsidP="00B778A6">
      <w:pPr>
        <w:ind w:left="720"/>
        <w:jc w:val="both"/>
        <w:rPr>
          <w:lang w:eastAsia="en-US"/>
        </w:rPr>
      </w:pPr>
      <w:r w:rsidRPr="00B778A6">
        <w:rPr>
          <w:lang w:eastAsia="en-US"/>
        </w:rPr>
        <w:t>Šildymo prietaisai neturi termostatinių ventilių. Sumontuoti balansiniai ventiliai ant šildymo sistemos stovų.</w:t>
      </w:r>
    </w:p>
    <w:p w:rsidR="00213E33" w:rsidRPr="00B778A6" w:rsidRDefault="00213E33" w:rsidP="00B778A6">
      <w:pPr>
        <w:ind w:left="720"/>
        <w:jc w:val="both"/>
        <w:rPr>
          <w:lang w:eastAsia="en-US"/>
        </w:rPr>
      </w:pPr>
      <w:r w:rsidRPr="00B778A6">
        <w:rPr>
          <w:lang w:eastAsia="en-US"/>
        </w:rPr>
        <w:t>Apskaitos prietaisai: šilumos skaitiklis Infocal5</w:t>
      </w:r>
    </w:p>
    <w:p w:rsidR="00213E33" w:rsidRPr="00B778A6" w:rsidRDefault="00213E33" w:rsidP="00B778A6">
      <w:pPr>
        <w:ind w:left="720"/>
        <w:jc w:val="both"/>
        <w:rPr>
          <w:lang w:eastAsia="en-US"/>
        </w:rPr>
      </w:pPr>
      <w:r w:rsidRPr="00B778A6">
        <w:rPr>
          <w:lang w:eastAsia="en-US"/>
        </w:rPr>
        <w:t>Magistraliniai ir paskirstymo vamzdynai izoliuoti seno tipo termoizoliacija. Paskirstymo stovai ir skirstomieji vamzdynai – neizoliuoti.</w:t>
      </w:r>
    </w:p>
    <w:p w:rsidR="00213E33" w:rsidRPr="00B778A6" w:rsidRDefault="00213E33" w:rsidP="00B778A6">
      <w:pPr>
        <w:ind w:left="720"/>
        <w:jc w:val="both"/>
        <w:rPr>
          <w:lang w:eastAsia="en-US"/>
        </w:rPr>
      </w:pPr>
      <w:r w:rsidRPr="00B778A6">
        <w:rPr>
          <w:lang w:eastAsia="en-US"/>
        </w:rPr>
        <w:lastRenderedPageBreak/>
        <w:t>Šildymo prietaisų būklė – patenkinama.</w:t>
      </w:r>
    </w:p>
    <w:p w:rsidR="00213E33" w:rsidRPr="00B778A6" w:rsidRDefault="00213E33" w:rsidP="00B778A6">
      <w:pPr>
        <w:ind w:left="720"/>
        <w:jc w:val="both"/>
        <w:rPr>
          <w:lang w:eastAsia="en-US"/>
        </w:rPr>
      </w:pPr>
      <w:r w:rsidRPr="00B778A6">
        <w:rPr>
          <w:lang w:eastAsia="en-US"/>
        </w:rPr>
        <w:t>Buitinis karštas vanduo ruošiamas šilumos punkte atskiro plokštelinio šilumokaičio pagalba</w:t>
      </w:r>
    </w:p>
    <w:p w:rsidR="00213E33" w:rsidRPr="00B778A6" w:rsidRDefault="00213E33" w:rsidP="00B778A6">
      <w:pPr>
        <w:ind w:left="720"/>
        <w:jc w:val="both"/>
        <w:rPr>
          <w:lang w:eastAsia="en-US"/>
        </w:rPr>
      </w:pPr>
      <w:r w:rsidRPr="00B778A6">
        <w:rPr>
          <w:lang w:eastAsia="en-US"/>
        </w:rPr>
        <w:t>Patalpose vėdinimas – natūralus. Virtuvėje – vietinė mechninė garų ištraukimo sistema.</w:t>
      </w:r>
    </w:p>
    <w:p w:rsidR="00213E33" w:rsidRPr="00B778A6" w:rsidRDefault="00213E33" w:rsidP="00B778A6">
      <w:pPr>
        <w:ind w:left="720"/>
        <w:jc w:val="both"/>
        <w:rPr>
          <w:lang w:eastAsia="en-US"/>
        </w:rPr>
      </w:pPr>
      <w:r w:rsidRPr="00B778A6">
        <w:rPr>
          <w:lang w:eastAsia="en-US"/>
        </w:rPr>
        <w:t xml:space="preserve">Remiantis inžinierinių sistemų būklės bei energijos išteklių sąnaudų analize, siūloma įdiegti šias priemones: </w:t>
      </w:r>
    </w:p>
    <w:p w:rsidR="00213E33" w:rsidRDefault="00213E33" w:rsidP="00B778A6">
      <w:pPr>
        <w:ind w:left="720"/>
        <w:jc w:val="both"/>
        <w:rPr>
          <w:lang w:eastAsia="en-US"/>
        </w:rPr>
      </w:pPr>
      <w:r w:rsidRPr="00B778A6">
        <w:rPr>
          <w:lang w:eastAsia="en-US"/>
        </w:rPr>
        <w:t xml:space="preserve">• </w:t>
      </w:r>
      <w:r w:rsidR="00105030">
        <w:rPr>
          <w:lang w:eastAsia="en-US"/>
        </w:rPr>
        <w:t>M</w:t>
      </w:r>
      <w:r w:rsidR="00105030" w:rsidRPr="00B778A6">
        <w:rPr>
          <w:lang w:eastAsia="en-US"/>
        </w:rPr>
        <w:t xml:space="preserve">odernizuoti </w:t>
      </w:r>
      <w:r w:rsidRPr="00B778A6">
        <w:rPr>
          <w:lang w:eastAsia="en-US"/>
        </w:rPr>
        <w:t xml:space="preserve">pastato šildymo sistemą keičiant vamzdynus ir šildymo prietaisus su termostatiniais ventiliais; </w:t>
      </w:r>
    </w:p>
    <w:p w:rsidR="00695DE6" w:rsidRPr="00B778A6" w:rsidRDefault="00695DE6" w:rsidP="00B778A6">
      <w:pPr>
        <w:ind w:left="720"/>
        <w:jc w:val="both"/>
        <w:rPr>
          <w:lang w:eastAsia="en-US"/>
        </w:rPr>
      </w:pPr>
      <w:r w:rsidRPr="00B778A6">
        <w:rPr>
          <w:lang w:eastAsia="en-US"/>
        </w:rPr>
        <w:t xml:space="preserve">• </w:t>
      </w:r>
      <w:r>
        <w:rPr>
          <w:lang w:eastAsia="en-US"/>
        </w:rPr>
        <w:t>G</w:t>
      </w:r>
      <w:r w:rsidRPr="00695DE6">
        <w:rPr>
          <w:lang w:eastAsia="en-US"/>
        </w:rPr>
        <w:t>rindinio šildymo įrengimas (sprendžiama projektavimo stadijoje);</w:t>
      </w:r>
    </w:p>
    <w:p w:rsidR="00213E33" w:rsidRPr="00B778A6" w:rsidRDefault="00213E33" w:rsidP="00B778A6">
      <w:pPr>
        <w:ind w:left="720"/>
        <w:jc w:val="both"/>
        <w:rPr>
          <w:lang w:eastAsia="en-US"/>
        </w:rPr>
      </w:pPr>
      <w:r w:rsidRPr="00B778A6">
        <w:rPr>
          <w:lang w:eastAsia="en-US"/>
        </w:rPr>
        <w:t xml:space="preserve">• Įrengti šilumą atspindinčius ekranus už radiatorių; </w:t>
      </w:r>
    </w:p>
    <w:p w:rsidR="00213E33" w:rsidRPr="00B778A6" w:rsidRDefault="00213E33" w:rsidP="00B778A6">
      <w:pPr>
        <w:ind w:left="720"/>
        <w:jc w:val="both"/>
        <w:rPr>
          <w:lang w:eastAsia="en-US"/>
        </w:rPr>
      </w:pPr>
      <w:r w:rsidRPr="00B778A6">
        <w:rPr>
          <w:lang w:eastAsia="en-US"/>
        </w:rPr>
        <w:t xml:space="preserve">• Modernizuoti (išplėsti) pastato šilumos punktą (prijungiant vėdinimo sistemą, prijungiant įvairių patalpų vidaus temperatūros jutiklius); </w:t>
      </w:r>
    </w:p>
    <w:p w:rsidR="00213E33" w:rsidRPr="00B778A6" w:rsidRDefault="00213E33" w:rsidP="00B778A6">
      <w:pPr>
        <w:ind w:left="720"/>
        <w:jc w:val="both"/>
        <w:rPr>
          <w:lang w:eastAsia="en-US"/>
        </w:rPr>
      </w:pPr>
      <w:r w:rsidRPr="00B778A6">
        <w:rPr>
          <w:lang w:eastAsia="en-US"/>
        </w:rPr>
        <w:t xml:space="preserve">• Modernizuoti pastato vėdinimo sistemą įrengiant rekuperaciją (salėse); </w:t>
      </w:r>
    </w:p>
    <w:p w:rsidR="00213E33" w:rsidRPr="00B778A6" w:rsidRDefault="00213E33" w:rsidP="00B778A6">
      <w:pPr>
        <w:ind w:left="720"/>
        <w:jc w:val="both"/>
        <w:rPr>
          <w:lang w:eastAsia="en-US"/>
        </w:rPr>
      </w:pPr>
      <w:r w:rsidRPr="00B778A6">
        <w:rPr>
          <w:lang w:eastAsia="en-US"/>
        </w:rPr>
        <w:t>• Pakeisti ir izoliuoti karšto vandens vamzdynus.</w:t>
      </w:r>
    </w:p>
    <w:p w:rsidR="00213E33" w:rsidRPr="00B778A6" w:rsidRDefault="00DE0381" w:rsidP="00B778A6">
      <w:pPr>
        <w:numPr>
          <w:ilvl w:val="0"/>
          <w:numId w:val="18"/>
        </w:numPr>
        <w:jc w:val="both"/>
        <w:rPr>
          <w:lang w:eastAsia="en-US"/>
        </w:rPr>
      </w:pPr>
      <w:r w:rsidRPr="00B778A6">
        <w:rPr>
          <w:b/>
          <w:lang w:eastAsia="en-US"/>
        </w:rPr>
        <w:t xml:space="preserve">Elektros energijos gamyba. </w:t>
      </w:r>
    </w:p>
    <w:p w:rsidR="00213E33" w:rsidRPr="00B778A6" w:rsidRDefault="00213E33" w:rsidP="00B778A6">
      <w:pPr>
        <w:ind w:left="720"/>
        <w:jc w:val="both"/>
        <w:rPr>
          <w:lang w:eastAsia="en-US"/>
        </w:rPr>
      </w:pPr>
      <w:r w:rsidRPr="00B778A6">
        <w:rPr>
          <w:lang w:eastAsia="en-US"/>
        </w:rPr>
        <w:t>Elektros energija pastatams tiekiama iš bendro elektros energijos tinklo (380 V) į elektros skydinę, kur paskirstoma po pastatą (220V arba 380V). Pastato elektros skydinėje sumontuoti elektros energijos skaitikliai.</w:t>
      </w:r>
    </w:p>
    <w:p w:rsidR="00213E33" w:rsidRPr="00B778A6" w:rsidRDefault="00213E33" w:rsidP="00B778A6">
      <w:pPr>
        <w:ind w:left="720"/>
        <w:jc w:val="both"/>
        <w:rPr>
          <w:lang w:eastAsia="en-US"/>
        </w:rPr>
      </w:pPr>
      <w:r w:rsidRPr="00B778A6">
        <w:rPr>
          <w:lang w:eastAsia="en-US"/>
        </w:rPr>
        <w:t>Kasmetiniai mokėjimai už elektros energiją vidutiniškai sudaro 12-13% visų mokėjimų už energijos išteklius.</w:t>
      </w:r>
    </w:p>
    <w:p w:rsidR="00213E33" w:rsidRPr="00B778A6" w:rsidRDefault="00213E33" w:rsidP="00B778A6">
      <w:pPr>
        <w:ind w:left="720"/>
        <w:jc w:val="both"/>
        <w:rPr>
          <w:lang w:eastAsia="en-US"/>
        </w:rPr>
      </w:pPr>
      <w:r w:rsidRPr="00B778A6">
        <w:rPr>
          <w:lang w:eastAsia="en-US"/>
        </w:rPr>
        <w:t>Apytikslis pastatų elektros energijos vartojimo balansas pateiktas 2.2.2.1. ir 2.2.2.2. lentelėse. Vadovaujantis šiomis lentelėmis, pastebima, kad apie 33% viso suvartojamo elektros energijos kiekio tenka patalpų apšvietimui (sumontuoti šviestuvai liuminescencinėmis ir kaitrinėmis lempomis).</w:t>
      </w:r>
    </w:p>
    <w:p w:rsidR="00213E33" w:rsidRPr="00B778A6" w:rsidRDefault="00213E33" w:rsidP="00B778A6">
      <w:pPr>
        <w:ind w:left="720"/>
        <w:jc w:val="both"/>
        <w:rPr>
          <w:lang w:eastAsia="en-US"/>
        </w:rPr>
      </w:pPr>
      <w:r w:rsidRPr="00B778A6">
        <w:rPr>
          <w:lang w:eastAsia="en-US"/>
        </w:rPr>
        <w:t>Suvartotos elektros energijos kiekis priklauso nuo žmonių įpročių, jų buvimo patalpose laiko, metų ir paros laikotarpio, vidutinio dienos apšviestumo lygio, prietaisų galios ir veikimo trukmės ir t.t.</w:t>
      </w:r>
    </w:p>
    <w:p w:rsidR="00213E33" w:rsidRPr="00B778A6" w:rsidRDefault="00213E33" w:rsidP="00B778A6">
      <w:pPr>
        <w:ind w:left="720"/>
        <w:jc w:val="both"/>
        <w:rPr>
          <w:lang w:eastAsia="en-US"/>
        </w:rPr>
      </w:pPr>
      <w:r w:rsidRPr="00B778A6">
        <w:rPr>
          <w:lang w:eastAsia="en-US"/>
        </w:rPr>
        <w:t>Siūloma modernizuoti apšvietimo sistemą:</w:t>
      </w:r>
    </w:p>
    <w:p w:rsidR="00213E33" w:rsidRPr="00B778A6" w:rsidRDefault="00213E33" w:rsidP="00B778A6">
      <w:pPr>
        <w:ind w:left="720"/>
        <w:jc w:val="both"/>
        <w:rPr>
          <w:lang w:eastAsia="en-US"/>
        </w:rPr>
      </w:pPr>
      <w:r w:rsidRPr="00B778A6">
        <w:rPr>
          <w:lang w:eastAsia="en-US"/>
        </w:rPr>
        <w:t>• Pakeisi bendro naudojimo patalpose (koridoriuose, tambūruose) šviestuvus su liuminescencinėmis lempomis į taupesnius, mažesnės galios LED šviestuvus, dalies šviestuvų atsisakant.</w:t>
      </w:r>
    </w:p>
    <w:p w:rsidR="00213E33" w:rsidRPr="00B778A6" w:rsidRDefault="00213E33" w:rsidP="00B778A6">
      <w:pPr>
        <w:ind w:left="720"/>
        <w:jc w:val="both"/>
        <w:rPr>
          <w:lang w:eastAsia="en-US"/>
        </w:rPr>
      </w:pPr>
      <w:r w:rsidRPr="00B778A6">
        <w:rPr>
          <w:lang w:eastAsia="en-US"/>
        </w:rPr>
        <w:t>• Įrengti judesio daviklius bendro naudojimo patalpose (koridoriuose, tambūruose).</w:t>
      </w:r>
    </w:p>
    <w:p w:rsidR="003C71DA" w:rsidRPr="00B778A6" w:rsidRDefault="003C71DA" w:rsidP="00A34779">
      <w:pPr>
        <w:ind w:firstLine="709"/>
        <w:jc w:val="both"/>
        <w:rPr>
          <w:lang w:eastAsia="en-US"/>
        </w:rPr>
      </w:pPr>
    </w:p>
    <w:p w:rsidR="00A34779" w:rsidRPr="00B778A6" w:rsidRDefault="00A34779" w:rsidP="00A34779">
      <w:pPr>
        <w:ind w:firstLine="709"/>
        <w:jc w:val="both"/>
        <w:rPr>
          <w:lang w:eastAsia="en-US"/>
        </w:rPr>
      </w:pPr>
      <w:r w:rsidRPr="00B778A6">
        <w:rPr>
          <w:lang w:eastAsia="en-US"/>
        </w:rPr>
        <w:t xml:space="preserve">Projekto metu planuojama </w:t>
      </w:r>
      <w:r w:rsidR="001B638A" w:rsidRPr="00B778A6">
        <w:rPr>
          <w:lang w:eastAsia="en-US"/>
        </w:rPr>
        <w:t>pagerinti pastato</w:t>
      </w:r>
      <w:r w:rsidR="004E50A9" w:rsidRPr="00B778A6">
        <w:rPr>
          <w:lang w:eastAsia="en-US"/>
        </w:rPr>
        <w:t xml:space="preserve"> </w:t>
      </w:r>
      <w:r w:rsidR="001B638A" w:rsidRPr="00B778A6">
        <w:rPr>
          <w:lang w:eastAsia="en-US"/>
        </w:rPr>
        <w:t>energijos vartojimo savybes</w:t>
      </w:r>
      <w:r w:rsidRPr="00B778A6">
        <w:rPr>
          <w:lang w:eastAsia="en-US"/>
        </w:rPr>
        <w:t xml:space="preserve">. Tokiu būdu bus išspręstos ne </w:t>
      </w:r>
      <w:r w:rsidR="001E480B" w:rsidRPr="00B778A6">
        <w:rPr>
          <w:lang w:eastAsia="en-US"/>
        </w:rPr>
        <w:t xml:space="preserve">tik </w:t>
      </w:r>
      <w:r w:rsidRPr="00B778A6">
        <w:rPr>
          <w:lang w:eastAsia="en-US"/>
        </w:rPr>
        <w:t xml:space="preserve">tikslinių grupių problemos, bet ir sumažintos pastato šilumos ir elektros energijos suvartojimas, atnaujintu pastatu papuoštas </w:t>
      </w:r>
      <w:r w:rsidR="0033067A" w:rsidRPr="00B778A6">
        <w:rPr>
          <w:lang w:eastAsia="en-US"/>
        </w:rPr>
        <w:t>Prienų</w:t>
      </w:r>
      <w:r w:rsidRPr="00B778A6">
        <w:rPr>
          <w:lang w:eastAsia="en-US"/>
        </w:rPr>
        <w:t xml:space="preserve"> miestas.</w:t>
      </w:r>
    </w:p>
    <w:p w:rsidR="00B54573" w:rsidRPr="00B778A6" w:rsidRDefault="002F314C" w:rsidP="00B54573">
      <w:pPr>
        <w:pStyle w:val="Heading2"/>
        <w:rPr>
          <w:rFonts w:ascii="Times New Roman" w:hAnsi="Times New Roman"/>
        </w:rPr>
      </w:pPr>
      <w:bookmarkStart w:id="15" w:name="_Toc34924476"/>
      <w:r w:rsidRPr="00B778A6">
        <w:rPr>
          <w:rFonts w:ascii="Times New Roman" w:hAnsi="Times New Roman"/>
          <w:lang w:val="lt-LT"/>
        </w:rPr>
        <w:t>3</w:t>
      </w:r>
      <w:r w:rsidR="0094124E" w:rsidRPr="00B778A6">
        <w:rPr>
          <w:rFonts w:ascii="Times New Roman" w:hAnsi="Times New Roman"/>
          <w:lang w:val="lt-LT"/>
        </w:rPr>
        <w:t xml:space="preserve">.2. </w:t>
      </w:r>
      <w:r w:rsidR="00FD1BF7" w:rsidRPr="00B778A6">
        <w:rPr>
          <w:rFonts w:ascii="Times New Roman" w:hAnsi="Times New Roman"/>
          <w:lang w:val="lt-LT"/>
        </w:rPr>
        <w:t xml:space="preserve">Galimos </w:t>
      </w:r>
      <w:r w:rsidRPr="00B778A6">
        <w:rPr>
          <w:rFonts w:ascii="Times New Roman" w:hAnsi="Times New Roman"/>
          <w:lang w:val="lt-LT"/>
        </w:rPr>
        <w:t xml:space="preserve">projekto </w:t>
      </w:r>
      <w:r w:rsidR="00FD1BF7" w:rsidRPr="00B778A6">
        <w:rPr>
          <w:rFonts w:ascii="Times New Roman" w:hAnsi="Times New Roman"/>
          <w:lang w:val="lt-LT"/>
        </w:rPr>
        <w:t>veiklos</w:t>
      </w:r>
      <w:bookmarkEnd w:id="15"/>
      <w:r w:rsidR="00FD1BF7" w:rsidRPr="00B778A6">
        <w:rPr>
          <w:rFonts w:ascii="Times New Roman" w:hAnsi="Times New Roman"/>
          <w:lang w:val="lt-LT"/>
        </w:rPr>
        <w:t xml:space="preserve"> </w:t>
      </w:r>
    </w:p>
    <w:p w:rsidR="00756D92" w:rsidRPr="00B778A6" w:rsidRDefault="00756D92" w:rsidP="00FD1BF7">
      <w:pPr>
        <w:pStyle w:val="ColorfulList-Accent11"/>
        <w:ind w:left="360"/>
        <w:rPr>
          <w:szCs w:val="24"/>
        </w:rPr>
      </w:pPr>
    </w:p>
    <w:p w:rsidR="00E0606E" w:rsidRPr="00B778A6" w:rsidRDefault="00E0606E" w:rsidP="00E0606E">
      <w:pPr>
        <w:ind w:firstLine="720"/>
        <w:jc w:val="both"/>
        <w:rPr>
          <w:lang w:eastAsia="en-US"/>
        </w:rPr>
      </w:pPr>
      <w:r w:rsidRPr="00B778A6">
        <w:rPr>
          <w:lang w:eastAsia="en-US"/>
        </w:rPr>
        <w:t>Ankstesniuose skyriuose išskirtas projekto uždavinys:</w:t>
      </w:r>
    </w:p>
    <w:p w:rsidR="00E0606E" w:rsidRPr="00B778A6" w:rsidRDefault="00E81471" w:rsidP="00D90F13">
      <w:pPr>
        <w:numPr>
          <w:ilvl w:val="0"/>
          <w:numId w:val="25"/>
        </w:numPr>
        <w:jc w:val="both"/>
        <w:rPr>
          <w:lang w:eastAsia="en-US"/>
        </w:rPr>
      </w:pPr>
      <w:r w:rsidRPr="00B778A6">
        <w:rPr>
          <w:lang w:eastAsia="en-US"/>
        </w:rPr>
        <w:t>Optimizuoti Prienų rajono savivaldybės įstaigų veiklai naudojamas patalpas</w:t>
      </w:r>
      <w:r w:rsidR="00E0606E" w:rsidRPr="00B778A6">
        <w:rPr>
          <w:lang w:eastAsia="en-US"/>
        </w:rPr>
        <w:t>.</w:t>
      </w:r>
    </w:p>
    <w:p w:rsidR="00E0606E" w:rsidRPr="00B778A6" w:rsidRDefault="00E0606E" w:rsidP="00E0606E">
      <w:pPr>
        <w:ind w:firstLine="720"/>
        <w:jc w:val="both"/>
        <w:rPr>
          <w:lang w:eastAsia="en-US"/>
        </w:rPr>
      </w:pPr>
    </w:p>
    <w:p w:rsidR="00E0606E" w:rsidRPr="00B778A6" w:rsidRDefault="00E0606E" w:rsidP="00E0606E">
      <w:pPr>
        <w:ind w:firstLine="720"/>
        <w:jc w:val="both"/>
        <w:rPr>
          <w:color w:val="000000"/>
        </w:rPr>
      </w:pPr>
      <w:r w:rsidRPr="00B778A6">
        <w:rPr>
          <w:lang w:eastAsia="en-US"/>
        </w:rPr>
        <w:t xml:space="preserve">Vadovaujantis Investicijų projektų, kuriems siekiama gauti finansavimą iš Europos Sąjungos struktūrinės paramos ir/ar valstybės biudžeto lėšų, rengimo metodikos 3.2 p., </w:t>
      </w:r>
      <w:r w:rsidRPr="00B778A6">
        <w:rPr>
          <w:color w:val="000000"/>
        </w:rPr>
        <w:t xml:space="preserve">ilgasis veiklų sąrašas sudaromas projektams, kurių planuojama investicijų vertė didesnė nei 3 mln. EUR. Šiuo atveju projekto vertė mažesnė nei 3 mln. EUR, todėl ilgasis veiklų sąrašas nesudaromas. </w:t>
      </w:r>
    </w:p>
    <w:p w:rsidR="00E0606E" w:rsidRPr="00B778A6" w:rsidRDefault="00D86A2F" w:rsidP="00E0606E">
      <w:pPr>
        <w:ind w:firstLine="720"/>
        <w:jc w:val="both"/>
        <w:rPr>
          <w:color w:val="000000"/>
        </w:rPr>
      </w:pPr>
      <w:r w:rsidRPr="00B778A6">
        <w:rPr>
          <w:color w:val="000000"/>
        </w:rPr>
        <w:t>Šiuo atveju numatoma viena veikla</w:t>
      </w:r>
      <w:r w:rsidR="00E0606E" w:rsidRPr="00B778A6">
        <w:rPr>
          <w:color w:val="000000"/>
        </w:rPr>
        <w:t>:</w:t>
      </w:r>
    </w:p>
    <w:p w:rsidR="00E0606E" w:rsidRPr="00B778A6" w:rsidRDefault="00E0606E" w:rsidP="00E81471">
      <w:pPr>
        <w:numPr>
          <w:ilvl w:val="0"/>
          <w:numId w:val="25"/>
        </w:numPr>
        <w:autoSpaceDE w:val="0"/>
        <w:autoSpaceDN w:val="0"/>
        <w:adjustRightInd w:val="0"/>
        <w:jc w:val="both"/>
        <w:rPr>
          <w:color w:val="000000"/>
        </w:rPr>
      </w:pPr>
      <w:r w:rsidRPr="00B778A6">
        <w:t xml:space="preserve">1 veikla: </w:t>
      </w:r>
      <w:r w:rsidR="00411565" w:rsidRPr="00B778A6">
        <w:rPr>
          <w:lang w:eastAsia="en-US"/>
        </w:rPr>
        <w:t>Lopšelio-</w:t>
      </w:r>
      <w:r w:rsidR="00E81471" w:rsidRPr="00B778A6">
        <w:rPr>
          <w:lang w:eastAsia="en-US"/>
        </w:rPr>
        <w:t>darželio Gintarėlis pastato energetinio efektyvumo pagerinimas</w:t>
      </w:r>
      <w:r w:rsidR="00D86A2F" w:rsidRPr="00B778A6">
        <w:rPr>
          <w:lang w:eastAsia="en-US"/>
        </w:rPr>
        <w:t>.</w:t>
      </w:r>
    </w:p>
    <w:p w:rsidR="00E0606E" w:rsidRPr="00B778A6" w:rsidRDefault="00E0606E" w:rsidP="00E0606E">
      <w:pPr>
        <w:pStyle w:val="ColorfulList-Accent11"/>
        <w:ind w:left="0"/>
        <w:rPr>
          <w:szCs w:val="24"/>
        </w:rPr>
      </w:pPr>
    </w:p>
    <w:p w:rsidR="002F314C" w:rsidRPr="00B778A6" w:rsidRDefault="002F314C" w:rsidP="008723D2">
      <w:pPr>
        <w:pStyle w:val="Heading2"/>
        <w:rPr>
          <w:rFonts w:ascii="Times New Roman" w:hAnsi="Times New Roman"/>
        </w:rPr>
      </w:pPr>
      <w:bookmarkStart w:id="16" w:name="_Toc34924477"/>
      <w:r w:rsidRPr="00B778A6">
        <w:rPr>
          <w:rFonts w:ascii="Times New Roman" w:hAnsi="Times New Roman"/>
          <w:lang w:val="lt-LT"/>
        </w:rPr>
        <w:lastRenderedPageBreak/>
        <w:t>3.3. Veiklų vertimo kriterijai</w:t>
      </w:r>
      <w:bookmarkEnd w:id="16"/>
    </w:p>
    <w:p w:rsidR="00C93DA1" w:rsidRPr="00B778A6" w:rsidRDefault="00C93DA1" w:rsidP="00367C8C">
      <w:pPr>
        <w:ind w:firstLine="709"/>
        <w:jc w:val="both"/>
        <w:rPr>
          <w:bCs/>
          <w:iCs/>
        </w:rPr>
      </w:pPr>
    </w:p>
    <w:p w:rsidR="00F867A9" w:rsidRPr="00B778A6" w:rsidRDefault="00F867A9" w:rsidP="00B34668">
      <w:pPr>
        <w:ind w:firstLine="720"/>
        <w:jc w:val="both"/>
      </w:pPr>
      <w:r w:rsidRPr="00B778A6">
        <w:rPr>
          <w:rFonts w:eastAsia="Times New Roman"/>
          <w:lang w:eastAsia="en-US"/>
        </w:rPr>
        <w:t xml:space="preserve">Vadovaujantis </w:t>
      </w:r>
      <w:r w:rsidRPr="00B778A6">
        <w:rPr>
          <w:rFonts w:eastAsia="Times New Roman"/>
        </w:rPr>
        <w:t>Investicijų projektų, kuriems siekiama gauti finansavimą iš Europos Sąjungos struktūrinės paramos ir/ar valstybės biudžeto lėšų, rengimo metodikos</w:t>
      </w:r>
      <w:r w:rsidRPr="00B778A6">
        <w:rPr>
          <w:rFonts w:eastAsia="Times New Roman"/>
          <w:lang w:eastAsia="en-US"/>
        </w:rPr>
        <w:t xml:space="preserve"> 3.2 p., </w:t>
      </w:r>
      <w:r w:rsidR="000D37DD" w:rsidRPr="00B778A6">
        <w:rPr>
          <w:color w:val="000000"/>
        </w:rPr>
        <w:t>i</w:t>
      </w:r>
      <w:r w:rsidRPr="00B778A6">
        <w:rPr>
          <w:color w:val="000000"/>
        </w:rPr>
        <w:t xml:space="preserve">lgasis veiklų sąrašas sudaromas projektams, </w:t>
      </w:r>
      <w:r w:rsidRPr="00B778A6">
        <w:t>kurių planuojama investicijų vertė didesnė nei 3 mln. Šiuo atveju projekto vertė mažesnė nei 3 mln. eurų, todėl ilgasis veiklų sąrašas nesudaromas. Vadovaujantis minėtos metodikos 3.4 p., sudaromas trumpasis veiklų sąraša</w:t>
      </w:r>
      <w:r w:rsidR="00B34668" w:rsidRPr="00B778A6">
        <w:t>s.</w:t>
      </w:r>
    </w:p>
    <w:p w:rsidR="00F867A9" w:rsidRPr="00B778A6" w:rsidRDefault="00F867A9" w:rsidP="00F867A9">
      <w:pPr>
        <w:jc w:val="both"/>
        <w:rPr>
          <w:color w:val="000000"/>
        </w:rPr>
      </w:pPr>
    </w:p>
    <w:p w:rsidR="00F867A9" w:rsidRPr="00B778A6" w:rsidRDefault="00F867A9" w:rsidP="00F867A9">
      <w:pPr>
        <w:keepNext/>
        <w:spacing w:before="240" w:after="60"/>
        <w:outlineLvl w:val="1"/>
        <w:rPr>
          <w:rFonts w:eastAsia="Times New Roman"/>
          <w:b/>
          <w:bCs/>
          <w:i/>
          <w:iCs/>
          <w:sz w:val="28"/>
          <w:szCs w:val="28"/>
        </w:rPr>
      </w:pPr>
      <w:bookmarkStart w:id="17" w:name="_Toc467576116"/>
      <w:bookmarkStart w:id="18" w:name="_Toc33023487"/>
      <w:bookmarkStart w:id="19" w:name="_Toc34924479"/>
      <w:r w:rsidRPr="00B778A6">
        <w:rPr>
          <w:rFonts w:eastAsia="Times New Roman"/>
          <w:b/>
          <w:bCs/>
          <w:i/>
          <w:iCs/>
          <w:sz w:val="28"/>
          <w:szCs w:val="28"/>
        </w:rPr>
        <w:t>3.4. Trumpasis veiklų sąrašas ir projekto įgyvendinimo alternatyvos</w:t>
      </w:r>
      <w:bookmarkEnd w:id="17"/>
      <w:bookmarkEnd w:id="18"/>
      <w:bookmarkEnd w:id="19"/>
    </w:p>
    <w:p w:rsidR="00F867A9" w:rsidRPr="00B778A6" w:rsidRDefault="00F867A9" w:rsidP="00F867A9">
      <w:pPr>
        <w:ind w:firstLine="720"/>
        <w:jc w:val="both"/>
        <w:rPr>
          <w:rFonts w:eastAsia="Times New Roman"/>
          <w:lang w:eastAsia="en-US"/>
        </w:rPr>
      </w:pPr>
    </w:p>
    <w:p w:rsidR="00F867A9" w:rsidRPr="00B778A6" w:rsidRDefault="00F867A9" w:rsidP="00F867A9">
      <w:pPr>
        <w:ind w:firstLine="720"/>
        <w:jc w:val="both"/>
        <w:rPr>
          <w:rFonts w:eastAsia="Times New Roman"/>
          <w:lang w:eastAsia="en-US"/>
        </w:rPr>
      </w:pPr>
      <w:r w:rsidRPr="00B778A6">
        <w:rPr>
          <w:rFonts w:eastAsia="Times New Roman"/>
          <w:lang w:eastAsia="en-US"/>
        </w:rPr>
        <w:t xml:space="preserve">Trumpasis veiklų sąrašas: </w:t>
      </w:r>
    </w:p>
    <w:p w:rsidR="00F867A9" w:rsidRPr="00B778A6" w:rsidRDefault="0033067A" w:rsidP="00E81471">
      <w:pPr>
        <w:numPr>
          <w:ilvl w:val="0"/>
          <w:numId w:val="41"/>
        </w:numPr>
        <w:jc w:val="both"/>
        <w:rPr>
          <w:rFonts w:eastAsia="Times New Roman"/>
        </w:rPr>
      </w:pPr>
      <w:r w:rsidRPr="00B778A6">
        <w:rPr>
          <w:rFonts w:eastAsia="Times New Roman"/>
          <w:lang w:eastAsia="en-US"/>
        </w:rPr>
        <w:t>Prienų</w:t>
      </w:r>
      <w:r w:rsidR="00EC75DC" w:rsidRPr="00B778A6">
        <w:rPr>
          <w:rFonts w:eastAsia="Times New Roman"/>
          <w:lang w:eastAsia="en-US"/>
        </w:rPr>
        <w:t xml:space="preserve"> </w:t>
      </w:r>
      <w:r w:rsidR="00E81471" w:rsidRPr="00B778A6">
        <w:rPr>
          <w:rFonts w:eastAsia="Times New Roman"/>
          <w:lang w:eastAsia="en-US"/>
        </w:rPr>
        <w:t>l</w:t>
      </w:r>
      <w:r w:rsidR="00411565" w:rsidRPr="00B778A6">
        <w:rPr>
          <w:rFonts w:eastAsia="Times New Roman"/>
          <w:lang w:eastAsia="en-US"/>
        </w:rPr>
        <w:t>opšelio-</w:t>
      </w:r>
      <w:r w:rsidR="00E81471" w:rsidRPr="00B778A6">
        <w:rPr>
          <w:rFonts w:eastAsia="Times New Roman"/>
          <w:lang w:eastAsia="en-US"/>
        </w:rPr>
        <w:t xml:space="preserve">darželio Gintarėlis </w:t>
      </w:r>
      <w:r w:rsidR="00EC75DC" w:rsidRPr="00B778A6">
        <w:rPr>
          <w:rFonts w:eastAsia="Times New Roman"/>
          <w:lang w:eastAsia="en-US"/>
        </w:rPr>
        <w:t>pastato energetinio efektyvumo pagerinimas</w:t>
      </w:r>
      <w:r w:rsidR="00E81471" w:rsidRPr="00B778A6">
        <w:rPr>
          <w:rFonts w:eastAsia="Times New Roman"/>
          <w:lang w:eastAsia="en-US"/>
        </w:rPr>
        <w:t>.</w:t>
      </w:r>
    </w:p>
    <w:p w:rsidR="00F867A9" w:rsidRPr="00B778A6" w:rsidRDefault="00F867A9" w:rsidP="00F867A9">
      <w:pPr>
        <w:ind w:firstLine="720"/>
        <w:jc w:val="center"/>
        <w:rPr>
          <w:rFonts w:eastAsia="Times New Roman"/>
          <w:b/>
          <w:lang w:eastAsia="en-US"/>
        </w:rPr>
      </w:pPr>
    </w:p>
    <w:p w:rsidR="00F867A9" w:rsidRPr="00B778A6" w:rsidRDefault="00F867A9" w:rsidP="00F867A9">
      <w:pPr>
        <w:ind w:firstLine="720"/>
        <w:jc w:val="both"/>
        <w:rPr>
          <w:rFonts w:eastAsia="Times New Roman"/>
          <w:lang w:eastAsia="en-US"/>
        </w:rPr>
      </w:pPr>
      <w:r w:rsidRPr="00B778A6">
        <w:rPr>
          <w:rFonts w:eastAsia="Times New Roman"/>
          <w:lang w:eastAsia="en-US"/>
        </w:rPr>
        <w:t>Šis trumpasis veiklų sąrašas galioja visoms projekto alternatyvoms. Alternatyvų skirtumai detalizuojami jų aprašyme.</w:t>
      </w:r>
    </w:p>
    <w:p w:rsidR="00F867A9" w:rsidRPr="00B778A6" w:rsidRDefault="00F867A9" w:rsidP="00F867A9">
      <w:pPr>
        <w:numPr>
          <w:ilvl w:val="0"/>
          <w:numId w:val="41"/>
        </w:numPr>
        <w:jc w:val="both"/>
        <w:rPr>
          <w:rFonts w:eastAsia="Times New Roman"/>
          <w:lang w:eastAsia="en-US"/>
        </w:rPr>
      </w:pPr>
      <w:r w:rsidRPr="00B778A6">
        <w:rPr>
          <w:rFonts w:eastAsia="Times New Roman"/>
          <w:lang w:eastAsia="en-US"/>
        </w:rPr>
        <w:t xml:space="preserve">Investavimo objektas – pastatai. </w:t>
      </w:r>
    </w:p>
    <w:p w:rsidR="00F867A9" w:rsidRPr="00B778A6" w:rsidRDefault="00F867A9" w:rsidP="00F867A9">
      <w:pPr>
        <w:numPr>
          <w:ilvl w:val="0"/>
          <w:numId w:val="41"/>
        </w:numPr>
        <w:jc w:val="both"/>
        <w:rPr>
          <w:rFonts w:eastAsia="Times New Roman"/>
          <w:lang w:eastAsia="en-US"/>
        </w:rPr>
      </w:pPr>
      <w:r w:rsidRPr="00B778A6">
        <w:rPr>
          <w:rFonts w:eastAsia="Times New Roman"/>
          <w:lang w:eastAsia="en-US"/>
        </w:rPr>
        <w:t>Pagrindinis investavimo objekto tipas – Esamo pastato techninių ir funkcinių savybių pagerinimas.</w:t>
      </w:r>
    </w:p>
    <w:p w:rsidR="00F867A9" w:rsidRPr="00B778A6" w:rsidRDefault="00F867A9" w:rsidP="0098716B">
      <w:pPr>
        <w:numPr>
          <w:ilvl w:val="0"/>
          <w:numId w:val="41"/>
        </w:numPr>
        <w:jc w:val="both"/>
        <w:rPr>
          <w:rFonts w:eastAsia="Times New Roman"/>
          <w:lang w:eastAsia="en-US"/>
        </w:rPr>
      </w:pPr>
      <w:r w:rsidRPr="00B778A6">
        <w:rPr>
          <w:rFonts w:eastAsia="Times New Roman"/>
          <w:lang w:eastAsia="en-US"/>
        </w:rPr>
        <w:t xml:space="preserve">Pagrindinis EVS objektų tipas – </w:t>
      </w:r>
      <w:r w:rsidR="0098716B" w:rsidRPr="00B778A6">
        <w:rPr>
          <w:rFonts w:eastAsia="Times New Roman"/>
          <w:lang w:eastAsia="en-US"/>
        </w:rPr>
        <w:t>Viešosios paskirties pastatų, daugiabučių ir gatvių apšvietimo infrastruktūros modernizavimas pagerinant jų energetines charakteristikas</w:t>
      </w:r>
      <w:r w:rsidRPr="00B778A6">
        <w:rPr>
          <w:rFonts w:eastAsia="Times New Roman"/>
          <w:lang w:eastAsia="en-US"/>
        </w:rPr>
        <w:t>.</w:t>
      </w:r>
    </w:p>
    <w:p w:rsidR="00F867A9" w:rsidRPr="00B778A6" w:rsidRDefault="00F867A9" w:rsidP="00F867A9">
      <w:pPr>
        <w:ind w:firstLine="720"/>
        <w:jc w:val="both"/>
        <w:rPr>
          <w:rFonts w:eastAsia="Times New Roman"/>
          <w:lang w:eastAsia="en-US"/>
        </w:rPr>
      </w:pPr>
    </w:p>
    <w:p w:rsidR="00F867A9" w:rsidRPr="0067083E" w:rsidRDefault="00F867A9" w:rsidP="00F867A9">
      <w:pPr>
        <w:ind w:firstLine="720"/>
        <w:jc w:val="both"/>
        <w:rPr>
          <w:rFonts w:eastAsia="Times New Roman"/>
          <w:lang w:eastAsia="en-US"/>
        </w:rPr>
      </w:pPr>
      <w:r w:rsidRPr="0067083E">
        <w:rPr>
          <w:rFonts w:eastAsia="Times New Roman"/>
          <w:lang w:eastAsia="en-US"/>
        </w:rPr>
        <w:t>Vadovaujantis Investicijų projektų rengimo metodika, analizuojamos tokios šio projekto  alternatyvos</w:t>
      </w:r>
      <w:r w:rsidRPr="0067083E">
        <w:rPr>
          <w:rFonts w:eastAsia="Times New Roman"/>
          <w:vertAlign w:val="superscript"/>
          <w:lang w:eastAsia="en-US"/>
        </w:rPr>
        <w:footnoteReference w:id="3"/>
      </w:r>
      <w:r w:rsidRPr="0067083E">
        <w:rPr>
          <w:rFonts w:eastAsia="Times New Roman"/>
          <w:lang w:eastAsia="en-US"/>
        </w:rPr>
        <w:t>:</w:t>
      </w:r>
    </w:p>
    <w:p w:rsidR="00F867A9" w:rsidRPr="0067083E" w:rsidRDefault="00C4530C" w:rsidP="00666F43">
      <w:pPr>
        <w:numPr>
          <w:ilvl w:val="0"/>
          <w:numId w:val="42"/>
        </w:numPr>
        <w:jc w:val="both"/>
        <w:rPr>
          <w:rFonts w:eastAsia="Times New Roman"/>
          <w:lang w:eastAsia="en-US"/>
        </w:rPr>
      </w:pPr>
      <w:r w:rsidRPr="0067083E">
        <w:rPr>
          <w:rFonts w:eastAsia="Times New Roman"/>
          <w:b/>
          <w:lang w:eastAsia="en-US"/>
        </w:rPr>
        <w:t>Esamo pastato/patalpų dalies kapitalinis remontas</w:t>
      </w:r>
      <w:r w:rsidR="00F867A9" w:rsidRPr="0067083E">
        <w:rPr>
          <w:rFonts w:eastAsia="Times New Roman"/>
          <w:lang w:eastAsia="en-US"/>
        </w:rPr>
        <w:t xml:space="preserve">. Vadovaujantis LR statybos įstatymu,  </w:t>
      </w:r>
      <w:r w:rsidR="00666F43" w:rsidRPr="0067083E">
        <w:rPr>
          <w:rFonts w:eastAsia="Times New Roman"/>
          <w:lang w:eastAsia="en-US"/>
        </w:rPr>
        <w:t>Statinio kapitalinio remonto tikslas – pertvarkyti statinio laikančiąsias konstrukcijas, nekeičiant statinio išorės matmenų – ilgio, pločio, aukščio, skersmens ir pan. Laikoma, kad statinio laikančiosios konstrukcijos pertvarkomos, kai jos stiprinamos (išskyrus esamų angų užtaisymą), silpninamos, pakeičiamos (dalinai ar visos) to paties ar kito tipo laikančiosiomis konstrukcijomis.</w:t>
      </w:r>
      <w:r w:rsidR="00F867A9" w:rsidRPr="0067083E">
        <w:rPr>
          <w:rFonts w:eastAsia="Times New Roman"/>
          <w:lang w:eastAsia="en-US"/>
        </w:rPr>
        <w:t xml:space="preserve"> </w:t>
      </w:r>
    </w:p>
    <w:p w:rsidR="00E81471" w:rsidRPr="00B778A6" w:rsidRDefault="00F867A9" w:rsidP="00B778A6">
      <w:pPr>
        <w:ind w:left="720"/>
        <w:jc w:val="both"/>
        <w:rPr>
          <w:rFonts w:eastAsia="Times New Roman"/>
          <w:lang w:eastAsia="en-US"/>
        </w:rPr>
      </w:pPr>
      <w:r w:rsidRPr="0067083E">
        <w:rPr>
          <w:rFonts w:eastAsia="Times New Roman"/>
          <w:lang w:eastAsia="en-US"/>
        </w:rPr>
        <w:t>Šiuo atveju planuojam</w:t>
      </w:r>
      <w:r w:rsidR="00E81471" w:rsidRPr="0067083E">
        <w:rPr>
          <w:rFonts w:eastAsia="Times New Roman"/>
          <w:lang w:eastAsia="en-US"/>
        </w:rPr>
        <w:t>as p</w:t>
      </w:r>
      <w:r w:rsidR="0098716B" w:rsidRPr="0067083E">
        <w:rPr>
          <w:rFonts w:eastAsia="Times New Roman"/>
          <w:lang w:eastAsia="en-US"/>
        </w:rPr>
        <w:t>astato energetinio efektyvumo pagerinimas</w:t>
      </w:r>
      <w:r w:rsidR="00E81471" w:rsidRPr="0067083E">
        <w:rPr>
          <w:rFonts w:eastAsia="Times New Roman"/>
          <w:lang w:eastAsia="en-US"/>
        </w:rPr>
        <w:t>, apimantis langų keitimą; išorės durų</w:t>
      </w:r>
      <w:r w:rsidR="00E81471" w:rsidRPr="00B778A6">
        <w:rPr>
          <w:rFonts w:eastAsia="Times New Roman"/>
          <w:lang w:eastAsia="en-US"/>
        </w:rPr>
        <w:t xml:space="preserve"> keitimą; išorinių sienų ir cokolio šiltinimą; stogo šiltinimą; apšvietimo sistemos </w:t>
      </w:r>
      <w:r w:rsidR="00105030" w:rsidRPr="00B778A6">
        <w:rPr>
          <w:rFonts w:eastAsia="Times New Roman"/>
          <w:lang w:eastAsia="en-US"/>
        </w:rPr>
        <w:t>renovacij</w:t>
      </w:r>
      <w:r w:rsidR="00105030">
        <w:rPr>
          <w:rFonts w:eastAsia="Times New Roman"/>
          <w:lang w:eastAsia="en-US"/>
        </w:rPr>
        <w:t>ą</w:t>
      </w:r>
      <w:r w:rsidR="00105030" w:rsidRPr="00B778A6">
        <w:rPr>
          <w:rFonts w:eastAsia="Times New Roman"/>
          <w:lang w:eastAsia="en-US"/>
        </w:rPr>
        <w:t xml:space="preserve"> </w:t>
      </w:r>
      <w:r w:rsidR="00E81471" w:rsidRPr="00B778A6">
        <w:rPr>
          <w:rFonts w:eastAsia="Times New Roman"/>
          <w:lang w:eastAsia="en-US"/>
        </w:rPr>
        <w:t xml:space="preserve">bendro naudojimo patalpose; karšto vandens sistemos renovaciją; </w:t>
      </w:r>
      <w:r w:rsidR="00105030">
        <w:rPr>
          <w:rFonts w:eastAsia="Times New Roman"/>
          <w:lang w:eastAsia="en-US"/>
        </w:rPr>
        <w:t>š</w:t>
      </w:r>
      <w:r w:rsidR="00105030" w:rsidRPr="00B778A6">
        <w:rPr>
          <w:rFonts w:eastAsia="Times New Roman"/>
          <w:lang w:eastAsia="en-US"/>
        </w:rPr>
        <w:t xml:space="preserve">ilumos </w:t>
      </w:r>
      <w:r w:rsidR="00E81471" w:rsidRPr="00B778A6">
        <w:rPr>
          <w:rFonts w:eastAsia="Times New Roman"/>
          <w:lang w:eastAsia="en-US"/>
        </w:rPr>
        <w:t>punkto ir šildymo sistemos modernizavimą; papildomas energijos netaupančias priemones (</w:t>
      </w:r>
      <w:r w:rsidR="00232FFD">
        <w:rPr>
          <w:rFonts w:eastAsia="Times New Roman"/>
          <w:lang w:eastAsia="en-US"/>
        </w:rPr>
        <w:t>d</w:t>
      </w:r>
      <w:r w:rsidR="00232FFD" w:rsidRPr="00B778A6">
        <w:rPr>
          <w:rFonts w:eastAsia="Times New Roman"/>
          <w:lang w:eastAsia="en-US"/>
        </w:rPr>
        <w:t xml:space="preserve">alinis </w:t>
      </w:r>
      <w:r w:rsidR="00E81471" w:rsidRPr="00B778A6">
        <w:rPr>
          <w:rFonts w:eastAsia="Times New Roman"/>
          <w:lang w:eastAsia="en-US"/>
        </w:rPr>
        <w:t xml:space="preserve">elektros sistemos atnaujinimas; </w:t>
      </w:r>
      <w:r w:rsidR="00232FFD">
        <w:rPr>
          <w:rFonts w:eastAsia="Times New Roman"/>
          <w:lang w:eastAsia="en-US"/>
        </w:rPr>
        <w:t>g</w:t>
      </w:r>
      <w:r w:rsidR="00232FFD" w:rsidRPr="00B778A6">
        <w:rPr>
          <w:rFonts w:eastAsia="Times New Roman"/>
          <w:lang w:eastAsia="en-US"/>
        </w:rPr>
        <w:t xml:space="preserve">eriamojo </w:t>
      </w:r>
      <w:r w:rsidR="00E81471" w:rsidRPr="00B778A6">
        <w:rPr>
          <w:rFonts w:eastAsia="Times New Roman"/>
          <w:lang w:eastAsia="en-US"/>
        </w:rPr>
        <w:t xml:space="preserve">vandens sistemos atnaujinimas; </w:t>
      </w:r>
      <w:r w:rsidR="00232FFD">
        <w:rPr>
          <w:rFonts w:eastAsia="Times New Roman"/>
          <w:lang w:eastAsia="en-US"/>
        </w:rPr>
        <w:t>b</w:t>
      </w:r>
      <w:r w:rsidR="00232FFD" w:rsidRPr="00B778A6">
        <w:rPr>
          <w:rFonts w:eastAsia="Times New Roman"/>
          <w:lang w:eastAsia="en-US"/>
        </w:rPr>
        <w:t xml:space="preserve">uitinių </w:t>
      </w:r>
      <w:r w:rsidR="00E81471" w:rsidRPr="00B778A6">
        <w:rPr>
          <w:rFonts w:eastAsia="Times New Roman"/>
          <w:lang w:eastAsia="en-US"/>
        </w:rPr>
        <w:t xml:space="preserve">nuotekų sistemos atnaujinimas; </w:t>
      </w:r>
      <w:r w:rsidR="00232FFD">
        <w:rPr>
          <w:rFonts w:eastAsia="Times New Roman"/>
          <w:lang w:eastAsia="en-US"/>
        </w:rPr>
        <w:t>l</w:t>
      </w:r>
      <w:r w:rsidR="00232FFD" w:rsidRPr="00B778A6">
        <w:rPr>
          <w:rFonts w:eastAsia="Times New Roman"/>
          <w:lang w:eastAsia="en-US"/>
        </w:rPr>
        <w:t xml:space="preserve">ietaus </w:t>
      </w:r>
      <w:r w:rsidR="00E81471" w:rsidRPr="00B778A6">
        <w:rPr>
          <w:rFonts w:eastAsia="Times New Roman"/>
          <w:lang w:eastAsia="en-US"/>
        </w:rPr>
        <w:t xml:space="preserve">ir drenažo sistemų atnaujinimas; </w:t>
      </w:r>
      <w:r w:rsidR="00232FFD">
        <w:rPr>
          <w:rFonts w:eastAsia="Times New Roman"/>
          <w:lang w:eastAsia="en-US"/>
        </w:rPr>
        <w:t>į</w:t>
      </w:r>
      <w:r w:rsidR="00232FFD" w:rsidRPr="00B778A6">
        <w:rPr>
          <w:rFonts w:eastAsia="Times New Roman"/>
          <w:lang w:eastAsia="en-US"/>
        </w:rPr>
        <w:t xml:space="preserve">ėjimo </w:t>
      </w:r>
      <w:r w:rsidR="00E81471" w:rsidRPr="00B778A6">
        <w:rPr>
          <w:rFonts w:eastAsia="Times New Roman"/>
          <w:lang w:eastAsia="en-US"/>
        </w:rPr>
        <w:t xml:space="preserve">laiptų atnaujinimas; </w:t>
      </w:r>
      <w:r w:rsidR="00232FFD">
        <w:rPr>
          <w:rFonts w:eastAsia="Times New Roman"/>
          <w:lang w:eastAsia="en-US"/>
        </w:rPr>
        <w:t>s</w:t>
      </w:r>
      <w:r w:rsidR="00232FFD" w:rsidRPr="00B778A6">
        <w:rPr>
          <w:rFonts w:eastAsia="Times New Roman"/>
          <w:lang w:eastAsia="en-US"/>
        </w:rPr>
        <w:t xml:space="preserve">togelių </w:t>
      </w:r>
      <w:r w:rsidR="00E81471" w:rsidRPr="00B778A6">
        <w:rPr>
          <w:rFonts w:eastAsia="Times New Roman"/>
          <w:lang w:eastAsia="en-US"/>
        </w:rPr>
        <w:t>virš įėjimų sutvarkymas).</w:t>
      </w:r>
    </w:p>
    <w:p w:rsidR="00F867A9" w:rsidRPr="00B778A6" w:rsidRDefault="00F867A9" w:rsidP="00F867A9">
      <w:pPr>
        <w:ind w:left="720"/>
        <w:jc w:val="both"/>
        <w:rPr>
          <w:rFonts w:eastAsia="Times New Roman"/>
          <w:b/>
          <w:lang w:eastAsia="en-US"/>
        </w:rPr>
      </w:pPr>
    </w:p>
    <w:p w:rsidR="0098716B" w:rsidRPr="00B778A6" w:rsidRDefault="0098716B" w:rsidP="00F867A9">
      <w:pPr>
        <w:ind w:left="720"/>
        <w:jc w:val="both"/>
        <w:rPr>
          <w:rFonts w:eastAsia="Times New Roman"/>
          <w:lang w:eastAsia="en-US"/>
        </w:rPr>
      </w:pPr>
      <w:r w:rsidRPr="00B778A6">
        <w:rPr>
          <w:rFonts w:eastAsia="Times New Roman"/>
          <w:lang w:eastAsia="en-US"/>
        </w:rPr>
        <w:t xml:space="preserve">Planuojama, kad numatomos energetinio efektyvumo priemonės leis pasiekti </w:t>
      </w:r>
      <w:r w:rsidR="00695DE6">
        <w:rPr>
          <w:rFonts w:eastAsia="Times New Roman"/>
          <w:lang w:eastAsia="en-US"/>
        </w:rPr>
        <w:t>B</w:t>
      </w:r>
      <w:r w:rsidR="00695DE6" w:rsidRPr="00B778A6">
        <w:rPr>
          <w:rFonts w:eastAsia="Times New Roman"/>
          <w:lang w:eastAsia="en-US"/>
        </w:rPr>
        <w:t xml:space="preserve"> </w:t>
      </w:r>
      <w:r w:rsidRPr="00B778A6">
        <w:rPr>
          <w:rFonts w:eastAsia="Times New Roman"/>
          <w:lang w:eastAsia="en-US"/>
        </w:rPr>
        <w:t>naudingumo klasę</w:t>
      </w:r>
      <w:r w:rsidR="00E81471" w:rsidRPr="00B778A6">
        <w:rPr>
          <w:rFonts w:eastAsia="Times New Roman"/>
          <w:lang w:eastAsia="en-US"/>
        </w:rPr>
        <w:t>.</w:t>
      </w:r>
    </w:p>
    <w:p w:rsidR="0098716B" w:rsidRPr="00B778A6" w:rsidRDefault="0098716B" w:rsidP="00F867A9">
      <w:pPr>
        <w:ind w:left="720"/>
        <w:jc w:val="both"/>
        <w:rPr>
          <w:rFonts w:eastAsia="Times New Roman"/>
          <w:b/>
          <w:lang w:eastAsia="en-US"/>
        </w:rPr>
      </w:pPr>
    </w:p>
    <w:p w:rsidR="00F867A9" w:rsidRPr="00B778A6" w:rsidRDefault="00F867A9" w:rsidP="00C4530C">
      <w:pPr>
        <w:numPr>
          <w:ilvl w:val="0"/>
          <w:numId w:val="42"/>
        </w:numPr>
        <w:jc w:val="both"/>
        <w:rPr>
          <w:rFonts w:eastAsia="Times New Roman"/>
          <w:lang w:eastAsia="en-US"/>
        </w:rPr>
      </w:pPr>
      <w:r w:rsidRPr="00B778A6">
        <w:rPr>
          <w:rFonts w:eastAsia="Times New Roman"/>
          <w:b/>
          <w:lang w:eastAsia="en-US"/>
        </w:rPr>
        <w:t xml:space="preserve">Esamo pastato/patalpų viso arba dalies rekonstrukcija </w:t>
      </w:r>
      <w:r w:rsidR="00C4530C" w:rsidRPr="00B778A6">
        <w:rPr>
          <w:rFonts w:eastAsia="Times New Roman"/>
          <w:b/>
          <w:lang w:eastAsia="en-US"/>
        </w:rPr>
        <w:t xml:space="preserve">A </w:t>
      </w:r>
      <w:r w:rsidRPr="00B778A6">
        <w:rPr>
          <w:rFonts w:eastAsia="Times New Roman"/>
          <w:b/>
          <w:lang w:eastAsia="en-US"/>
        </w:rPr>
        <w:t>variantas</w:t>
      </w:r>
      <w:r w:rsidRPr="00B778A6">
        <w:rPr>
          <w:rFonts w:eastAsia="Times New Roman"/>
          <w:lang w:eastAsia="en-US"/>
        </w:rPr>
        <w:t xml:space="preserve">. Vadovaujantis LR statybos įstatymu, </w:t>
      </w:r>
      <w:r w:rsidR="00C4530C" w:rsidRPr="00B778A6">
        <w:rPr>
          <w:rFonts w:eastAsia="Times New Roman"/>
          <w:lang w:eastAsia="en-US"/>
        </w:rPr>
        <w:t>statinio rekonstravimo tikslas – perstatyti esamo statinio laikančiąsias konstrukcijas ir tuo pakeičiant (padidinant, sumažinant) bet kuriuos statinio išorės matmenis – ilgį, plotį, aukštį, skersmenį ir pan. Šiuo atveju statinio parametrai nebus keičiami.</w:t>
      </w:r>
      <w:r w:rsidRPr="00B778A6">
        <w:rPr>
          <w:rFonts w:eastAsia="Times New Roman"/>
          <w:lang w:eastAsia="en-US"/>
        </w:rPr>
        <w:t xml:space="preserve"> Ši alternatyva atmetama, kaip techniškai neįmanoma.</w:t>
      </w:r>
    </w:p>
    <w:p w:rsidR="00C4530C" w:rsidRPr="00B778A6" w:rsidRDefault="00C4530C" w:rsidP="00B778A6">
      <w:pPr>
        <w:numPr>
          <w:ilvl w:val="0"/>
          <w:numId w:val="42"/>
        </w:numPr>
        <w:jc w:val="both"/>
        <w:rPr>
          <w:rFonts w:eastAsia="Times New Roman"/>
          <w:lang w:eastAsia="en-US"/>
        </w:rPr>
      </w:pPr>
      <w:r w:rsidRPr="00B778A6">
        <w:rPr>
          <w:rFonts w:eastAsia="Times New Roman"/>
          <w:b/>
          <w:lang w:eastAsia="en-US"/>
        </w:rPr>
        <w:lastRenderedPageBreak/>
        <w:t>Esamo pastato/patalpų viso arba dalies rekonstrukcija B variantas</w:t>
      </w:r>
      <w:r w:rsidRPr="00B778A6">
        <w:rPr>
          <w:rFonts w:eastAsia="Times New Roman"/>
          <w:lang w:eastAsia="en-US"/>
        </w:rPr>
        <w:t>. Vadovaujantis LR statybos įstatymu, statinio rekonstravimo tikslas – perstatyti esamo statinio laikančiąsias konstrukcijas ir tuo pakeičiant (padidinant, sumažinant) bet kuriuos statinio išorės matmenis – ilgį, plotį, aukštį, skersmenį ir pan. Šiuo atveju statinio parametrai nebus keičiami. Ši alternatyva atmetama, kaip techniškai neįmanoma.</w:t>
      </w:r>
    </w:p>
    <w:p w:rsidR="00F867A9" w:rsidRPr="00B778A6" w:rsidRDefault="00F867A9" w:rsidP="00B778A6">
      <w:pPr>
        <w:numPr>
          <w:ilvl w:val="0"/>
          <w:numId w:val="42"/>
        </w:numPr>
        <w:jc w:val="both"/>
        <w:rPr>
          <w:rFonts w:eastAsia="Times New Roman"/>
          <w:lang w:eastAsia="en-US"/>
        </w:rPr>
      </w:pPr>
      <w:r w:rsidRPr="00B778A6">
        <w:rPr>
          <w:rFonts w:eastAsia="Times New Roman"/>
          <w:b/>
          <w:lang w:eastAsia="en-US"/>
        </w:rPr>
        <w:t xml:space="preserve">Esamo pastato/patalpų viso arba dalies remontas. </w:t>
      </w:r>
      <w:r w:rsidRPr="00B778A6">
        <w:rPr>
          <w:rFonts w:eastAsia="Times New Roman"/>
          <w:lang w:eastAsia="en-US"/>
        </w:rPr>
        <w:t xml:space="preserve">Vadovaujantis LR statybos įstatymu, statinio paprastasis remontas (atitinka Lietuvos Respublikos civilinio kodekso sąvoką „einamasis remontas“) – statyba, kurios tikslas – atnaujinti statinį jo nerekonstruojant ar kapitališkai neremontuojant. </w:t>
      </w:r>
      <w:r w:rsidR="0004427E" w:rsidRPr="00B778A6">
        <w:rPr>
          <w:rFonts w:eastAsia="Times New Roman"/>
          <w:lang w:eastAsia="en-US"/>
        </w:rPr>
        <w:t>Šiuo atveju planuojam</w:t>
      </w:r>
      <w:r w:rsidR="00232FFD">
        <w:rPr>
          <w:rFonts w:eastAsia="Times New Roman"/>
          <w:lang w:eastAsia="en-US"/>
        </w:rPr>
        <w:t xml:space="preserve">i </w:t>
      </w:r>
      <w:r w:rsidR="0004427E" w:rsidRPr="00B778A6">
        <w:rPr>
          <w:rFonts w:eastAsia="Times New Roman"/>
          <w:lang w:eastAsia="en-US"/>
        </w:rPr>
        <w:t>darbai</w:t>
      </w:r>
      <w:r w:rsidR="00232FFD">
        <w:rPr>
          <w:rFonts w:eastAsia="Times New Roman"/>
          <w:lang w:eastAsia="en-US"/>
        </w:rPr>
        <w:t xml:space="preserve">, kuriems paprastasis </w:t>
      </w:r>
      <w:r w:rsidRPr="00B778A6">
        <w:rPr>
          <w:rFonts w:eastAsia="Times New Roman"/>
          <w:lang w:eastAsia="en-US"/>
        </w:rPr>
        <w:t>remontas yra nepakankama darbų rūšis. Ši alternatyva atmetama, kaip techniškai neįmanoma.</w:t>
      </w:r>
    </w:p>
    <w:p w:rsidR="00F867A9" w:rsidRPr="00B778A6" w:rsidRDefault="00F867A9" w:rsidP="00B778A6">
      <w:pPr>
        <w:numPr>
          <w:ilvl w:val="0"/>
          <w:numId w:val="43"/>
        </w:numPr>
        <w:jc w:val="both"/>
        <w:rPr>
          <w:rFonts w:eastAsia="Times New Roman"/>
          <w:lang w:eastAsia="en-US"/>
        </w:rPr>
      </w:pPr>
      <w:r w:rsidRPr="00B778A6">
        <w:rPr>
          <w:rFonts w:eastAsia="Times New Roman"/>
          <w:b/>
          <w:lang w:eastAsia="en-US"/>
        </w:rPr>
        <w:t>Esamo pastato/patalpų bendrojo ploto padidinimas</w:t>
      </w:r>
      <w:r w:rsidRPr="00B778A6">
        <w:rPr>
          <w:rFonts w:eastAsia="Times New Roman"/>
          <w:lang w:eastAsia="en-US"/>
        </w:rPr>
        <w:t xml:space="preserve">. </w:t>
      </w:r>
      <w:r w:rsidR="00E81471" w:rsidRPr="00B778A6">
        <w:rPr>
          <w:rFonts w:eastAsia="Times New Roman"/>
          <w:lang w:eastAsia="en-US"/>
        </w:rPr>
        <w:t>Problema nėra patalpų trūkumas, tad a</w:t>
      </w:r>
      <w:r w:rsidRPr="00B778A6">
        <w:rPr>
          <w:rFonts w:eastAsia="Times New Roman"/>
          <w:lang w:eastAsia="en-US"/>
        </w:rPr>
        <w:t>lternatyva atmetama kaip neracionali.</w:t>
      </w:r>
    </w:p>
    <w:p w:rsidR="00F867A9" w:rsidRPr="00B778A6" w:rsidRDefault="00F867A9" w:rsidP="00F867A9">
      <w:pPr>
        <w:numPr>
          <w:ilvl w:val="0"/>
          <w:numId w:val="43"/>
        </w:numPr>
        <w:jc w:val="both"/>
        <w:rPr>
          <w:rFonts w:eastAsia="Times New Roman"/>
          <w:lang w:eastAsia="en-US"/>
        </w:rPr>
      </w:pPr>
      <w:r w:rsidRPr="00B778A6">
        <w:rPr>
          <w:rFonts w:eastAsia="Times New Roman"/>
          <w:b/>
          <w:lang w:eastAsia="en-US"/>
        </w:rPr>
        <w:t>Esamo pastato/patalpų viso arba dalies paskirties keitimas</w:t>
      </w:r>
      <w:r w:rsidRPr="00B778A6">
        <w:rPr>
          <w:rFonts w:eastAsia="Times New Roman"/>
          <w:lang w:eastAsia="en-US"/>
        </w:rPr>
        <w:t xml:space="preserve">. Šiuo atveju patalpos suprojektuotos ir naudojamos </w:t>
      </w:r>
      <w:r w:rsidR="00E81471" w:rsidRPr="00B778A6">
        <w:rPr>
          <w:rFonts w:eastAsia="Times New Roman"/>
          <w:lang w:eastAsia="en-US"/>
        </w:rPr>
        <w:t xml:space="preserve">švietimo </w:t>
      </w:r>
      <w:r w:rsidRPr="00B778A6">
        <w:rPr>
          <w:rFonts w:eastAsia="Times New Roman"/>
          <w:lang w:eastAsia="en-US"/>
        </w:rPr>
        <w:t xml:space="preserve">veiklai. Tokia veikla numatoma ir ateityje, </w:t>
      </w:r>
      <w:r w:rsidR="00E81471" w:rsidRPr="00B778A6">
        <w:rPr>
          <w:rFonts w:eastAsia="Times New Roman"/>
          <w:lang w:eastAsia="en-US"/>
        </w:rPr>
        <w:t xml:space="preserve">o </w:t>
      </w:r>
      <w:r w:rsidRPr="00B778A6">
        <w:rPr>
          <w:rFonts w:eastAsia="Times New Roman"/>
          <w:lang w:eastAsia="en-US"/>
        </w:rPr>
        <w:t>pastato ar patalpų paskirties keitimas šių paslaugų prieinamumo ir kokybės nedidins. Alternatyva atmetama kaip neracionali.</w:t>
      </w:r>
    </w:p>
    <w:p w:rsidR="00F867A9" w:rsidRPr="00B778A6" w:rsidRDefault="00F867A9" w:rsidP="00F867A9">
      <w:pPr>
        <w:numPr>
          <w:ilvl w:val="0"/>
          <w:numId w:val="43"/>
        </w:numPr>
        <w:jc w:val="both"/>
        <w:rPr>
          <w:rFonts w:eastAsia="Times New Roman"/>
          <w:lang w:eastAsia="en-US"/>
        </w:rPr>
      </w:pPr>
      <w:r w:rsidRPr="00B778A6">
        <w:rPr>
          <w:rFonts w:eastAsia="Times New Roman"/>
          <w:b/>
          <w:lang w:eastAsia="en-US"/>
        </w:rPr>
        <w:t>Įrangos įsigijimas trūkstamoms techninėms ir funkcinėms savybėms užtikrinti</w:t>
      </w:r>
      <w:r w:rsidRPr="00B778A6">
        <w:rPr>
          <w:rFonts w:eastAsia="Times New Roman"/>
          <w:lang w:eastAsia="en-US"/>
        </w:rPr>
        <w:t xml:space="preserve">. Šiuo atveju minėta alternatyva nėra techniškai įmanoma, kadangi: 1) </w:t>
      </w:r>
      <w:r w:rsidR="0033067A" w:rsidRPr="00B778A6">
        <w:rPr>
          <w:rFonts w:eastAsia="Times New Roman"/>
          <w:lang w:eastAsia="en-US"/>
        </w:rPr>
        <w:t>Prienų</w:t>
      </w:r>
      <w:r w:rsidRPr="00B778A6">
        <w:rPr>
          <w:rFonts w:eastAsia="Times New Roman"/>
          <w:lang w:eastAsia="en-US"/>
        </w:rPr>
        <w:t xml:space="preserve"> rajono savivaldybės taryba ir administracija pagal LR Vietos savivaldos įstatymą yra atsakingos už </w:t>
      </w:r>
      <w:r w:rsidR="00903765" w:rsidRPr="00B778A6">
        <w:rPr>
          <w:rFonts w:eastAsia="Times New Roman"/>
          <w:lang w:eastAsia="en-US"/>
        </w:rPr>
        <w:t xml:space="preserve">daugelį viešųjų funkcijų. Didelė dalis jų teikiamų paslaugų pasiekiama elektroninėmis priemonėmis, tačiau </w:t>
      </w:r>
      <w:r w:rsidR="00E81471" w:rsidRPr="00B778A6">
        <w:rPr>
          <w:rFonts w:eastAsia="Times New Roman"/>
          <w:lang w:eastAsia="en-US"/>
        </w:rPr>
        <w:t xml:space="preserve">ikimokyklinio </w:t>
      </w:r>
      <w:r w:rsidR="00AE62C8">
        <w:rPr>
          <w:rFonts w:eastAsia="Times New Roman"/>
          <w:lang w:eastAsia="en-US"/>
        </w:rPr>
        <w:t xml:space="preserve">ir priešmokyklinio </w:t>
      </w:r>
      <w:r w:rsidR="00E81471" w:rsidRPr="00B778A6">
        <w:rPr>
          <w:rFonts w:eastAsia="Times New Roman"/>
          <w:lang w:eastAsia="en-US"/>
        </w:rPr>
        <w:t xml:space="preserve">ugdymo </w:t>
      </w:r>
      <w:r w:rsidR="00903765" w:rsidRPr="00B778A6">
        <w:rPr>
          <w:rFonts w:eastAsia="Times New Roman"/>
          <w:lang w:eastAsia="en-US"/>
        </w:rPr>
        <w:t xml:space="preserve">paslaugų teikimui bet kuriuo atveju </w:t>
      </w:r>
      <w:r w:rsidR="00E81471" w:rsidRPr="00B778A6">
        <w:rPr>
          <w:rFonts w:eastAsia="Times New Roman"/>
          <w:lang w:eastAsia="en-US"/>
        </w:rPr>
        <w:t xml:space="preserve">reikalinga infrastruktūra, </w:t>
      </w:r>
      <w:r w:rsidR="00903765" w:rsidRPr="00B778A6">
        <w:rPr>
          <w:rFonts w:eastAsia="Times New Roman"/>
          <w:lang w:eastAsia="en-US"/>
        </w:rPr>
        <w:t>specialistai;</w:t>
      </w:r>
      <w:r w:rsidRPr="00B778A6">
        <w:rPr>
          <w:rFonts w:eastAsia="Times New Roman"/>
          <w:lang w:eastAsia="en-US"/>
        </w:rPr>
        <w:t xml:space="preserve"> 2) Pagrindinė identifikuota problema susijusi būtent su patalpų/pastato būkle, jokia papildoma įranga šių problemų išspręsti negali. Ši alternatyva iš esmės techniškai negalima. </w:t>
      </w:r>
      <w:r w:rsidRPr="00B778A6">
        <w:t>Vadovaujantis metodika, alternatyvos, kurioms taikomi teisiniai, ekonominiai, socialiniai, kiti apribojimai, nenagrinėjamos.</w:t>
      </w:r>
    </w:p>
    <w:p w:rsidR="00F867A9" w:rsidRPr="00B778A6" w:rsidRDefault="00F867A9" w:rsidP="00F867A9">
      <w:pPr>
        <w:jc w:val="both"/>
        <w:rPr>
          <w:rFonts w:eastAsia="Times New Roman"/>
          <w:lang w:eastAsia="en-US"/>
        </w:rPr>
      </w:pPr>
    </w:p>
    <w:p w:rsidR="00F867A9" w:rsidRPr="00B778A6" w:rsidRDefault="00F867A9" w:rsidP="00F867A9">
      <w:pPr>
        <w:ind w:firstLine="709"/>
        <w:jc w:val="both"/>
        <w:rPr>
          <w:rFonts w:eastAsia="Times New Roman"/>
          <w:lang w:eastAsia="en-US"/>
        </w:rPr>
      </w:pPr>
      <w:r w:rsidRPr="00B778A6">
        <w:rPr>
          <w:rFonts w:eastAsia="Times New Roman"/>
          <w:lang w:eastAsia="en-US"/>
        </w:rPr>
        <w:t>Atmetus alternatyvas, liko tik viena – „</w:t>
      </w:r>
      <w:r w:rsidR="00C4530C" w:rsidRPr="00B778A6">
        <w:rPr>
          <w:rFonts w:eastAsia="Times New Roman"/>
          <w:lang w:eastAsia="en-US"/>
        </w:rPr>
        <w:t>Esamo pastato/patalpų dalies kapitalinis remontas</w:t>
      </w:r>
      <w:r w:rsidRPr="00B778A6">
        <w:rPr>
          <w:rFonts w:eastAsia="Times New Roman"/>
          <w:lang w:eastAsia="en-US"/>
        </w:rPr>
        <w:t>“. Dėl šios priežasties formuluojama papildoma techninė alternatyva:</w:t>
      </w:r>
    </w:p>
    <w:p w:rsidR="00F867A9" w:rsidRPr="00B778A6" w:rsidRDefault="00F867A9" w:rsidP="00F867A9">
      <w:pPr>
        <w:numPr>
          <w:ilvl w:val="0"/>
          <w:numId w:val="26"/>
        </w:numPr>
        <w:jc w:val="both"/>
      </w:pPr>
      <w:r w:rsidRPr="00B778A6">
        <w:rPr>
          <w:b/>
        </w:rPr>
        <w:t>Esamo pastato pardavimas  ir naujo statyba</w:t>
      </w:r>
      <w:r w:rsidRPr="00B778A6">
        <w:t xml:space="preserve">. Šios alternatyvos atveju turimas ir poreikių neatitinkantis pastatas </w:t>
      </w:r>
      <w:r w:rsidR="003C42F8" w:rsidRPr="00B778A6">
        <w:t>(</w:t>
      </w:r>
      <w:r w:rsidR="00E81471" w:rsidRPr="00B778A6">
        <w:t>Statybininkų g. 17</w:t>
      </w:r>
      <w:r w:rsidR="003C42F8" w:rsidRPr="00B778A6">
        <w:t xml:space="preserve">) </w:t>
      </w:r>
      <w:r w:rsidRPr="00B778A6">
        <w:t>parduodam</w:t>
      </w:r>
      <w:r w:rsidR="00810A0C" w:rsidRPr="00B778A6">
        <w:t>a</w:t>
      </w:r>
      <w:r w:rsidRPr="00B778A6">
        <w:t xml:space="preserve">s, o suprojektuojamas ir statomas naujas, visus poreikius atitinkantis pastatas (analogiško </w:t>
      </w:r>
      <w:r w:rsidR="00AE62C8">
        <w:t xml:space="preserve">tūrio ir </w:t>
      </w:r>
      <w:r w:rsidRPr="00B778A6">
        <w:t>ploto</w:t>
      </w:r>
      <w:r w:rsidR="00AE62C8">
        <w:t>)</w:t>
      </w:r>
      <w:r w:rsidR="00810A0C" w:rsidRPr="00B778A6">
        <w:t xml:space="preserve">, viso </w:t>
      </w:r>
      <w:r w:rsidR="00E81471" w:rsidRPr="00B778A6">
        <w:t>7958 kub. m</w:t>
      </w:r>
      <w:r w:rsidRPr="00B778A6">
        <w:t xml:space="preserve">. </w:t>
      </w:r>
    </w:p>
    <w:p w:rsidR="00F867A9" w:rsidRPr="00B778A6" w:rsidRDefault="00F867A9" w:rsidP="00F867A9">
      <w:pPr>
        <w:jc w:val="both"/>
      </w:pPr>
    </w:p>
    <w:p w:rsidR="00F867A9" w:rsidRPr="00B778A6" w:rsidRDefault="00F867A9" w:rsidP="00F867A9">
      <w:pPr>
        <w:ind w:firstLine="720"/>
        <w:jc w:val="both"/>
        <w:rPr>
          <w:rFonts w:eastAsia="Times New Roman"/>
          <w:lang w:eastAsia="en-US"/>
        </w:rPr>
      </w:pPr>
      <w:r w:rsidRPr="00B778A6">
        <w:t>Taigi, įvertinus visų alternatyvų apribojimus, detaliau analizuojamos 2: „</w:t>
      </w:r>
      <w:r w:rsidR="00C4530C" w:rsidRPr="00B778A6">
        <w:t>Esamo pastato/patalpų dalies kapitalinis remontas</w:t>
      </w:r>
      <w:r w:rsidRPr="00B778A6">
        <w:t>“ ir „Esamo pastato pardavimas  ir naujo statyba“. Abi šios alternatyvos leistų pilnai pasiekti 2.1 skyriuje numatytą projekto tikslą bei 2.5 skyriuje numatytus bent minimalius projektu siekiamus rezultatus.</w:t>
      </w:r>
    </w:p>
    <w:p w:rsidR="00F867A9" w:rsidRPr="00B778A6" w:rsidRDefault="00F867A9" w:rsidP="00F867A9">
      <w:pPr>
        <w:keepNext/>
        <w:spacing w:before="240" w:after="60"/>
        <w:jc w:val="both"/>
        <w:outlineLvl w:val="2"/>
        <w:rPr>
          <w:rFonts w:eastAsia="Times New Roman"/>
          <w:b/>
          <w:bCs/>
          <w:sz w:val="26"/>
          <w:szCs w:val="26"/>
        </w:rPr>
      </w:pPr>
      <w:bookmarkStart w:id="20" w:name="_Toc33023488"/>
      <w:bookmarkStart w:id="21" w:name="_Toc34924480"/>
      <w:r w:rsidRPr="00B778A6">
        <w:rPr>
          <w:rFonts w:eastAsia="Times New Roman"/>
          <w:b/>
          <w:bCs/>
          <w:sz w:val="26"/>
          <w:szCs w:val="26"/>
        </w:rPr>
        <w:t>3.4.1. Alternatyva „</w:t>
      </w:r>
      <w:r w:rsidR="00C4530C" w:rsidRPr="00B778A6">
        <w:rPr>
          <w:rFonts w:eastAsia="Times New Roman"/>
          <w:b/>
          <w:bCs/>
          <w:sz w:val="26"/>
          <w:szCs w:val="26"/>
        </w:rPr>
        <w:t>Esamo pastato/patalpų dalies kapitalinis remontas</w:t>
      </w:r>
      <w:r w:rsidRPr="00B778A6">
        <w:rPr>
          <w:rFonts w:eastAsia="Times New Roman"/>
          <w:b/>
          <w:bCs/>
          <w:sz w:val="26"/>
          <w:szCs w:val="26"/>
        </w:rPr>
        <w:t>“</w:t>
      </w:r>
      <w:bookmarkEnd w:id="20"/>
      <w:bookmarkEnd w:id="21"/>
    </w:p>
    <w:p w:rsidR="00F867A9" w:rsidRPr="00B778A6" w:rsidRDefault="00F867A9" w:rsidP="00F867A9">
      <w:pPr>
        <w:ind w:left="720"/>
        <w:contextualSpacing/>
        <w:rPr>
          <w:rFonts w:eastAsia="Times New Roman"/>
          <w:lang w:eastAsia="en-US"/>
        </w:rPr>
      </w:pPr>
    </w:p>
    <w:p w:rsidR="00F867A9" w:rsidRPr="00B778A6" w:rsidRDefault="00F867A9" w:rsidP="00F867A9">
      <w:pPr>
        <w:ind w:left="720"/>
        <w:jc w:val="both"/>
        <w:rPr>
          <w:rFonts w:eastAsia="Times New Roman"/>
          <w:b/>
          <w:i/>
          <w:lang w:eastAsia="en-US"/>
        </w:rPr>
      </w:pPr>
      <w:r w:rsidRPr="00B778A6">
        <w:rPr>
          <w:rFonts w:eastAsia="Times New Roman"/>
          <w:b/>
          <w:i/>
          <w:lang w:eastAsia="en-US"/>
        </w:rPr>
        <w:t>Investicijos</w:t>
      </w:r>
    </w:p>
    <w:p w:rsidR="00F867A9" w:rsidRPr="00B778A6" w:rsidRDefault="00F867A9" w:rsidP="00F867A9">
      <w:pPr>
        <w:ind w:firstLine="720"/>
        <w:jc w:val="both"/>
        <w:rPr>
          <w:rFonts w:eastAsia="Times New Roman"/>
          <w:lang w:eastAsia="en-US"/>
        </w:rPr>
      </w:pPr>
      <w:r w:rsidRPr="00B778A6">
        <w:rPr>
          <w:rFonts w:eastAsia="Times New Roman"/>
          <w:lang w:eastAsia="en-US"/>
        </w:rPr>
        <w:t xml:space="preserve">Planuojamos alternatyvos investicijos – iki </w:t>
      </w:r>
      <w:r w:rsidR="00695DE6" w:rsidRPr="00695DE6">
        <w:rPr>
          <w:rFonts w:eastAsia="Times New Roman"/>
          <w:lang w:eastAsia="en-US"/>
        </w:rPr>
        <w:t>1132878,13</w:t>
      </w:r>
      <w:r w:rsidRPr="00B778A6">
        <w:rPr>
          <w:rFonts w:eastAsia="Times New Roman"/>
          <w:lang w:eastAsia="en-US"/>
        </w:rPr>
        <w:t xml:space="preserve"> EUR.</w:t>
      </w:r>
    </w:p>
    <w:p w:rsidR="00F867A9" w:rsidRDefault="00F867A9" w:rsidP="00F867A9">
      <w:pPr>
        <w:ind w:firstLine="720"/>
        <w:jc w:val="both"/>
        <w:rPr>
          <w:rFonts w:eastAsia="Times New Roman"/>
          <w:lang w:eastAsia="en-US"/>
        </w:rPr>
      </w:pPr>
    </w:p>
    <w:p w:rsidR="00E72195" w:rsidRPr="00B778A6" w:rsidRDefault="00E72195" w:rsidP="00F867A9">
      <w:pPr>
        <w:ind w:firstLine="720"/>
        <w:jc w:val="both"/>
        <w:rPr>
          <w:rFonts w:eastAsia="Times New Roman"/>
          <w:lang w:eastAsia="en-US"/>
        </w:rPr>
      </w:pPr>
    </w:p>
    <w:p w:rsidR="00F867A9" w:rsidRPr="00B778A6" w:rsidRDefault="00F867A9" w:rsidP="00F867A9">
      <w:pPr>
        <w:ind w:firstLine="720"/>
        <w:jc w:val="both"/>
        <w:rPr>
          <w:rFonts w:eastAsia="Times New Roman"/>
          <w:b/>
          <w:i/>
          <w:lang w:eastAsia="en-US"/>
        </w:rPr>
      </w:pPr>
      <w:r w:rsidRPr="00B778A6">
        <w:rPr>
          <w:rFonts w:eastAsia="Times New Roman"/>
          <w:b/>
          <w:i/>
          <w:lang w:eastAsia="en-US"/>
        </w:rPr>
        <w:t>Išlaidos</w:t>
      </w:r>
    </w:p>
    <w:p w:rsidR="00810A0C" w:rsidRPr="00B778A6" w:rsidRDefault="004E50A9" w:rsidP="00810A0C">
      <w:pPr>
        <w:numPr>
          <w:ilvl w:val="0"/>
          <w:numId w:val="26"/>
        </w:numPr>
        <w:jc w:val="both"/>
        <w:rPr>
          <w:rFonts w:eastAsia="Times New Roman"/>
          <w:lang w:eastAsia="en-US"/>
        </w:rPr>
      </w:pPr>
      <w:r w:rsidRPr="00B778A6">
        <w:rPr>
          <w:rFonts w:eastAsia="Times New Roman"/>
          <w:lang w:eastAsia="en-US"/>
        </w:rPr>
        <w:t xml:space="preserve">Pastato, esančio </w:t>
      </w:r>
      <w:r w:rsidR="00BE4C10" w:rsidRPr="00B778A6">
        <w:rPr>
          <w:rFonts w:eastAsia="Times New Roman"/>
          <w:lang w:eastAsia="en-US"/>
        </w:rPr>
        <w:t>Statybininkų g. 17, Prienai</w:t>
      </w:r>
      <w:r w:rsidRPr="00B778A6">
        <w:rPr>
          <w:rFonts w:eastAsia="Times New Roman"/>
          <w:lang w:eastAsia="en-US"/>
        </w:rPr>
        <w:t>, šildymo ir elektros išlaidų sumažėjimas.</w:t>
      </w:r>
    </w:p>
    <w:p w:rsidR="00F867A9" w:rsidRPr="00B778A6" w:rsidRDefault="00F867A9" w:rsidP="00F867A9">
      <w:pPr>
        <w:ind w:firstLine="720"/>
        <w:jc w:val="both"/>
        <w:rPr>
          <w:rFonts w:eastAsia="Times New Roman"/>
          <w:b/>
          <w:i/>
          <w:lang w:eastAsia="en-US"/>
        </w:rPr>
      </w:pPr>
    </w:p>
    <w:p w:rsidR="00F867A9" w:rsidRPr="00B778A6" w:rsidRDefault="00F867A9" w:rsidP="00F867A9">
      <w:pPr>
        <w:ind w:firstLine="720"/>
        <w:jc w:val="both"/>
        <w:rPr>
          <w:rFonts w:eastAsia="Times New Roman"/>
          <w:b/>
          <w:i/>
          <w:lang w:eastAsia="en-US"/>
        </w:rPr>
      </w:pPr>
      <w:r w:rsidRPr="00B778A6">
        <w:rPr>
          <w:rFonts w:eastAsia="Times New Roman"/>
          <w:b/>
          <w:i/>
          <w:lang w:eastAsia="en-US"/>
        </w:rPr>
        <w:t>Pajamos</w:t>
      </w:r>
    </w:p>
    <w:p w:rsidR="00F867A9" w:rsidRPr="00B778A6" w:rsidRDefault="002675B4" w:rsidP="00F867A9">
      <w:pPr>
        <w:ind w:firstLine="720"/>
        <w:jc w:val="both"/>
        <w:rPr>
          <w:rFonts w:eastAsia="Times New Roman"/>
          <w:lang w:eastAsia="en-US"/>
        </w:rPr>
      </w:pPr>
      <w:r w:rsidRPr="00B778A6">
        <w:rPr>
          <w:rFonts w:eastAsia="Times New Roman"/>
          <w:lang w:eastAsia="en-US"/>
        </w:rPr>
        <w:t>Nėra.</w:t>
      </w:r>
    </w:p>
    <w:p w:rsidR="00F867A9" w:rsidRPr="00B778A6" w:rsidRDefault="00F867A9" w:rsidP="00F867A9">
      <w:pPr>
        <w:ind w:firstLine="720"/>
        <w:jc w:val="both"/>
        <w:rPr>
          <w:rFonts w:eastAsia="Times New Roman"/>
        </w:rPr>
      </w:pPr>
    </w:p>
    <w:p w:rsidR="00F867A9" w:rsidRPr="00B778A6" w:rsidRDefault="00F867A9" w:rsidP="00F867A9">
      <w:pPr>
        <w:ind w:firstLine="720"/>
        <w:jc w:val="both"/>
        <w:rPr>
          <w:rFonts w:eastAsia="Times New Roman"/>
        </w:rPr>
      </w:pPr>
      <w:r w:rsidRPr="00B778A6">
        <w:rPr>
          <w:rFonts w:eastAsia="Times New Roman"/>
        </w:rPr>
        <w:lastRenderedPageBreak/>
        <w:t>Detali alternatyvos finansinė ir ekonominė-socialinė analizė atlikta 4 ir 5 dalyse.</w:t>
      </w:r>
    </w:p>
    <w:p w:rsidR="00F867A9" w:rsidRPr="00B778A6" w:rsidRDefault="00F867A9" w:rsidP="00F867A9">
      <w:pPr>
        <w:ind w:firstLine="720"/>
        <w:jc w:val="both"/>
        <w:rPr>
          <w:rFonts w:eastAsia="Times New Roman"/>
        </w:rPr>
      </w:pPr>
    </w:p>
    <w:p w:rsidR="00F867A9" w:rsidRPr="00B778A6" w:rsidRDefault="00F867A9" w:rsidP="00F867A9">
      <w:pPr>
        <w:keepNext/>
        <w:spacing w:before="240" w:after="60"/>
        <w:jc w:val="both"/>
        <w:outlineLvl w:val="2"/>
        <w:rPr>
          <w:rFonts w:eastAsia="Times New Roman"/>
          <w:b/>
          <w:bCs/>
          <w:sz w:val="26"/>
          <w:szCs w:val="26"/>
        </w:rPr>
      </w:pPr>
      <w:bookmarkStart w:id="22" w:name="_Toc33023489"/>
      <w:bookmarkStart w:id="23" w:name="_Toc34924481"/>
      <w:r w:rsidRPr="00B778A6">
        <w:rPr>
          <w:rFonts w:eastAsia="Times New Roman"/>
          <w:b/>
          <w:bCs/>
          <w:sz w:val="26"/>
          <w:szCs w:val="26"/>
        </w:rPr>
        <w:t>3.4.2. Alternatyva „Esamo pastato pardavimas ir naujo pastato statyba“</w:t>
      </w:r>
      <w:bookmarkEnd w:id="22"/>
      <w:bookmarkEnd w:id="23"/>
    </w:p>
    <w:p w:rsidR="00F867A9" w:rsidRPr="00B778A6" w:rsidRDefault="00F867A9" w:rsidP="00F867A9">
      <w:pPr>
        <w:ind w:left="720"/>
        <w:contextualSpacing/>
        <w:rPr>
          <w:rFonts w:eastAsia="Times New Roman"/>
          <w:lang w:eastAsia="en-US"/>
        </w:rPr>
      </w:pPr>
    </w:p>
    <w:p w:rsidR="00F867A9" w:rsidRPr="00B778A6" w:rsidRDefault="00F867A9" w:rsidP="00F867A9">
      <w:pPr>
        <w:ind w:left="720"/>
        <w:jc w:val="both"/>
        <w:rPr>
          <w:rFonts w:eastAsia="Times New Roman"/>
          <w:b/>
          <w:i/>
          <w:lang w:eastAsia="en-US"/>
        </w:rPr>
      </w:pPr>
      <w:r w:rsidRPr="00B778A6">
        <w:rPr>
          <w:rFonts w:eastAsia="Times New Roman"/>
          <w:b/>
          <w:i/>
          <w:lang w:eastAsia="en-US"/>
        </w:rPr>
        <w:t>Investicijos</w:t>
      </w:r>
    </w:p>
    <w:p w:rsidR="00F867A9" w:rsidRPr="00B778A6" w:rsidRDefault="00F867A9" w:rsidP="00F867A9">
      <w:pPr>
        <w:ind w:firstLine="720"/>
        <w:jc w:val="both"/>
        <w:rPr>
          <w:rFonts w:eastAsia="Times New Roman"/>
          <w:lang w:eastAsia="en-US"/>
        </w:rPr>
      </w:pPr>
      <w:r w:rsidRPr="00B778A6">
        <w:rPr>
          <w:rFonts w:eastAsia="Times New Roman"/>
          <w:lang w:eastAsia="en-US"/>
        </w:rPr>
        <w:t xml:space="preserve">Planuojamos alternatyvos investicijos – iki </w:t>
      </w:r>
      <w:r w:rsidR="00BC4A54" w:rsidRPr="00BC4A54">
        <w:rPr>
          <w:rFonts w:eastAsia="Times New Roman"/>
          <w:lang w:eastAsia="en-US"/>
        </w:rPr>
        <w:t>3374192,00</w:t>
      </w:r>
      <w:r w:rsidRPr="00B778A6">
        <w:rPr>
          <w:rFonts w:eastAsia="Times New Roman"/>
          <w:lang w:eastAsia="en-US"/>
        </w:rPr>
        <w:t xml:space="preserve"> EUR.</w:t>
      </w:r>
    </w:p>
    <w:p w:rsidR="00F867A9" w:rsidRPr="00B778A6" w:rsidRDefault="00F867A9" w:rsidP="00F867A9">
      <w:pPr>
        <w:ind w:firstLine="720"/>
        <w:jc w:val="both"/>
        <w:rPr>
          <w:rFonts w:eastAsia="Times New Roman"/>
          <w:lang w:eastAsia="en-US"/>
        </w:rPr>
      </w:pPr>
    </w:p>
    <w:p w:rsidR="00F867A9" w:rsidRPr="00B778A6" w:rsidRDefault="00F867A9" w:rsidP="00810A0C">
      <w:pPr>
        <w:ind w:firstLine="720"/>
        <w:jc w:val="both"/>
        <w:rPr>
          <w:rFonts w:eastAsia="Times New Roman"/>
          <w:b/>
          <w:i/>
          <w:lang w:eastAsia="en-US"/>
        </w:rPr>
      </w:pPr>
      <w:r w:rsidRPr="00B778A6">
        <w:rPr>
          <w:rFonts w:eastAsia="Times New Roman"/>
          <w:b/>
          <w:i/>
          <w:lang w:eastAsia="en-US"/>
        </w:rPr>
        <w:t>Išlaidos</w:t>
      </w:r>
    </w:p>
    <w:p w:rsidR="00810A0C" w:rsidRPr="00B778A6" w:rsidRDefault="00AC662E" w:rsidP="00810A0C">
      <w:pPr>
        <w:numPr>
          <w:ilvl w:val="0"/>
          <w:numId w:val="45"/>
        </w:numPr>
        <w:jc w:val="both"/>
        <w:rPr>
          <w:rFonts w:eastAsia="Times New Roman"/>
          <w:lang w:eastAsia="en-US"/>
        </w:rPr>
      </w:pPr>
      <w:r w:rsidRPr="00B778A6">
        <w:rPr>
          <w:rFonts w:eastAsia="Times New Roman"/>
          <w:lang w:eastAsia="en-US"/>
        </w:rPr>
        <w:t xml:space="preserve">Pastato, esančio </w:t>
      </w:r>
      <w:r w:rsidR="002675B4" w:rsidRPr="00B778A6">
        <w:rPr>
          <w:rFonts w:eastAsia="Times New Roman"/>
          <w:lang w:eastAsia="en-US"/>
        </w:rPr>
        <w:t>Statybininkų g. 17</w:t>
      </w:r>
      <w:r w:rsidRPr="00B778A6">
        <w:rPr>
          <w:rFonts w:eastAsia="Times New Roman"/>
          <w:lang w:eastAsia="en-US"/>
        </w:rPr>
        <w:t xml:space="preserve">, </w:t>
      </w:r>
      <w:r w:rsidR="004779D1" w:rsidRPr="00B778A6">
        <w:rPr>
          <w:rFonts w:eastAsia="Times New Roman"/>
          <w:lang w:eastAsia="en-US"/>
        </w:rPr>
        <w:t>Prienai</w:t>
      </w:r>
      <w:r w:rsidRPr="00B778A6">
        <w:rPr>
          <w:rFonts w:eastAsia="Times New Roman"/>
          <w:lang w:eastAsia="en-US"/>
        </w:rPr>
        <w:t>, šildymo išlaidų sumažėjimas (jame veikla nebebus vykdoma)</w:t>
      </w:r>
      <w:r w:rsidR="00810A0C" w:rsidRPr="00B778A6">
        <w:rPr>
          <w:rFonts w:eastAsia="Times New Roman"/>
          <w:lang w:eastAsia="en-US"/>
        </w:rPr>
        <w:t>.</w:t>
      </w:r>
      <w:r w:rsidR="00810A0C" w:rsidRPr="00B778A6">
        <w:rPr>
          <w:rFonts w:eastAsia="Times New Roman"/>
          <w:lang w:eastAsia="en-US"/>
        </w:rPr>
        <w:tab/>
      </w:r>
      <w:r w:rsidR="00810A0C" w:rsidRPr="00B778A6">
        <w:rPr>
          <w:rFonts w:eastAsia="Times New Roman"/>
          <w:lang w:eastAsia="en-US"/>
        </w:rPr>
        <w:tab/>
      </w:r>
    </w:p>
    <w:p w:rsidR="00810A0C" w:rsidRPr="00B778A6" w:rsidRDefault="00810A0C" w:rsidP="00810A0C">
      <w:pPr>
        <w:numPr>
          <w:ilvl w:val="0"/>
          <w:numId w:val="45"/>
        </w:numPr>
        <w:jc w:val="both"/>
        <w:rPr>
          <w:rFonts w:eastAsia="Times New Roman"/>
          <w:lang w:eastAsia="en-US"/>
        </w:rPr>
      </w:pPr>
      <w:r w:rsidRPr="00B778A6">
        <w:rPr>
          <w:rFonts w:eastAsia="Times New Roman"/>
          <w:lang w:eastAsia="en-US"/>
        </w:rPr>
        <w:t xml:space="preserve">Naujo pastato </w:t>
      </w:r>
      <w:r w:rsidR="00AC662E" w:rsidRPr="00B778A6">
        <w:rPr>
          <w:rFonts w:eastAsia="Times New Roman"/>
          <w:lang w:eastAsia="en-US"/>
        </w:rPr>
        <w:t>šildymo ir elektros išlaid</w:t>
      </w:r>
      <w:r w:rsidR="0044093F" w:rsidRPr="00B778A6">
        <w:rPr>
          <w:rFonts w:eastAsia="Times New Roman"/>
          <w:lang w:eastAsia="en-US"/>
        </w:rPr>
        <w:t>os.</w:t>
      </w:r>
    </w:p>
    <w:p w:rsidR="00F867A9" w:rsidRPr="00B778A6" w:rsidRDefault="00810A0C" w:rsidP="00810A0C">
      <w:pPr>
        <w:ind w:firstLine="720"/>
        <w:jc w:val="both"/>
        <w:rPr>
          <w:rFonts w:eastAsia="Times New Roman"/>
          <w:lang w:eastAsia="en-US"/>
        </w:rPr>
      </w:pPr>
      <w:r w:rsidRPr="00B778A6">
        <w:rPr>
          <w:rFonts w:eastAsia="Times New Roman"/>
          <w:lang w:eastAsia="en-US"/>
        </w:rPr>
        <w:tab/>
      </w:r>
      <w:r w:rsidRPr="00B778A6">
        <w:rPr>
          <w:rFonts w:eastAsia="Times New Roman"/>
          <w:lang w:eastAsia="en-US"/>
        </w:rPr>
        <w:tab/>
      </w:r>
      <w:r w:rsidR="00F867A9" w:rsidRPr="00B778A6">
        <w:rPr>
          <w:rFonts w:eastAsia="Times New Roman"/>
          <w:lang w:eastAsia="en-US"/>
        </w:rPr>
        <w:tab/>
      </w:r>
      <w:r w:rsidR="00F867A9" w:rsidRPr="00B778A6">
        <w:rPr>
          <w:rFonts w:eastAsia="Times New Roman"/>
          <w:lang w:eastAsia="en-US"/>
        </w:rPr>
        <w:tab/>
      </w:r>
      <w:r w:rsidR="00F867A9" w:rsidRPr="00B778A6">
        <w:rPr>
          <w:rFonts w:eastAsia="Times New Roman"/>
          <w:lang w:eastAsia="en-US"/>
        </w:rPr>
        <w:tab/>
      </w:r>
      <w:r w:rsidR="00F867A9" w:rsidRPr="00B778A6">
        <w:rPr>
          <w:rFonts w:eastAsia="Times New Roman"/>
          <w:lang w:eastAsia="en-US"/>
        </w:rPr>
        <w:tab/>
      </w:r>
      <w:r w:rsidR="00F867A9" w:rsidRPr="00B778A6">
        <w:rPr>
          <w:rFonts w:eastAsia="Times New Roman"/>
          <w:lang w:eastAsia="en-US"/>
        </w:rPr>
        <w:tab/>
      </w:r>
    </w:p>
    <w:p w:rsidR="00810A0C" w:rsidRPr="00B778A6" w:rsidRDefault="00F867A9" w:rsidP="00810A0C">
      <w:pPr>
        <w:ind w:firstLine="720"/>
        <w:jc w:val="both"/>
        <w:rPr>
          <w:rFonts w:eastAsia="Times New Roman"/>
          <w:b/>
          <w:i/>
          <w:lang w:eastAsia="en-US"/>
        </w:rPr>
      </w:pPr>
      <w:r w:rsidRPr="00B778A6">
        <w:rPr>
          <w:rFonts w:eastAsia="Times New Roman"/>
          <w:b/>
          <w:i/>
          <w:lang w:eastAsia="en-US"/>
        </w:rPr>
        <w:t>Pajamos</w:t>
      </w:r>
      <w:bookmarkStart w:id="24" w:name="_Toc482189966"/>
      <w:bookmarkStart w:id="25" w:name="_Toc483568215"/>
      <w:bookmarkStart w:id="26" w:name="_Toc33023490"/>
    </w:p>
    <w:p w:rsidR="00810A0C" w:rsidRPr="00B778A6" w:rsidRDefault="00810A0C" w:rsidP="00810A0C">
      <w:pPr>
        <w:numPr>
          <w:ilvl w:val="0"/>
          <w:numId w:val="45"/>
        </w:numPr>
        <w:jc w:val="both"/>
        <w:rPr>
          <w:rFonts w:eastAsia="Times New Roman"/>
          <w:lang w:eastAsia="en-US"/>
        </w:rPr>
      </w:pPr>
      <w:r w:rsidRPr="00B778A6">
        <w:rPr>
          <w:rFonts w:eastAsia="Times New Roman"/>
          <w:lang w:eastAsia="en-US"/>
        </w:rPr>
        <w:t xml:space="preserve">Pastato, esančio </w:t>
      </w:r>
      <w:r w:rsidR="002675B4" w:rsidRPr="00B778A6">
        <w:rPr>
          <w:rFonts w:eastAsia="Times New Roman"/>
          <w:lang w:eastAsia="en-US"/>
        </w:rPr>
        <w:t>Statybininkų g. 17</w:t>
      </w:r>
      <w:r w:rsidRPr="00B778A6">
        <w:rPr>
          <w:rFonts w:eastAsia="Times New Roman"/>
          <w:lang w:eastAsia="en-US"/>
        </w:rPr>
        <w:t xml:space="preserve">, </w:t>
      </w:r>
      <w:r w:rsidR="004779D1" w:rsidRPr="00B778A6">
        <w:rPr>
          <w:rFonts w:eastAsia="Times New Roman"/>
          <w:lang w:eastAsia="en-US"/>
        </w:rPr>
        <w:t>Prienai</w:t>
      </w:r>
      <w:r w:rsidRPr="00B778A6">
        <w:rPr>
          <w:rFonts w:eastAsia="Times New Roman"/>
          <w:lang w:eastAsia="en-US"/>
        </w:rPr>
        <w:t>, pardavimas.</w:t>
      </w:r>
    </w:p>
    <w:p w:rsidR="00F867A9" w:rsidRPr="00B778A6" w:rsidRDefault="00810A0C" w:rsidP="00B778A6">
      <w:pPr>
        <w:ind w:left="720"/>
        <w:jc w:val="both"/>
        <w:rPr>
          <w:rFonts w:eastAsia="Times New Roman"/>
          <w:b/>
          <w:bCs/>
          <w:i/>
          <w:iCs/>
          <w:sz w:val="28"/>
          <w:szCs w:val="28"/>
        </w:rPr>
      </w:pPr>
      <w:r w:rsidRPr="00B778A6">
        <w:rPr>
          <w:rFonts w:eastAsia="Times New Roman"/>
          <w:lang w:eastAsia="en-US"/>
        </w:rPr>
        <w:tab/>
      </w:r>
      <w:r w:rsidRPr="00B778A6">
        <w:rPr>
          <w:rFonts w:eastAsia="Times New Roman"/>
          <w:lang w:eastAsia="en-US"/>
        </w:rPr>
        <w:tab/>
      </w:r>
      <w:r w:rsidRPr="00B778A6">
        <w:rPr>
          <w:rFonts w:eastAsia="Times New Roman"/>
          <w:lang w:eastAsia="en-US"/>
        </w:rPr>
        <w:tab/>
      </w:r>
    </w:p>
    <w:p w:rsidR="0011232A" w:rsidRPr="00B778A6" w:rsidRDefault="0011232A" w:rsidP="0011232A">
      <w:pPr>
        <w:ind w:left="720"/>
        <w:jc w:val="both"/>
        <w:rPr>
          <w:rFonts w:eastAsia="Times New Roman"/>
        </w:rPr>
      </w:pPr>
      <w:r w:rsidRPr="00B778A6">
        <w:rPr>
          <w:rFonts w:eastAsia="Times New Roman"/>
        </w:rPr>
        <w:t>Detali alternatyvos finansinė ir ekonominė-socialinė analizė atlikta 4 ir 5 dalyse.</w:t>
      </w:r>
    </w:p>
    <w:p w:rsidR="0011232A" w:rsidRPr="00B778A6" w:rsidRDefault="0011232A" w:rsidP="0011232A">
      <w:pPr>
        <w:ind w:left="720"/>
        <w:jc w:val="both"/>
        <w:rPr>
          <w:rFonts w:eastAsia="Times New Roman"/>
          <w:b/>
          <w:bCs/>
          <w:i/>
          <w:iCs/>
          <w:sz w:val="28"/>
          <w:szCs w:val="28"/>
        </w:rPr>
      </w:pPr>
    </w:p>
    <w:p w:rsidR="00F867A9" w:rsidRPr="00B778A6" w:rsidRDefault="00F867A9" w:rsidP="00F867A9">
      <w:pPr>
        <w:keepNext/>
        <w:spacing w:before="240" w:after="60"/>
        <w:outlineLvl w:val="1"/>
        <w:rPr>
          <w:rFonts w:eastAsia="Times New Roman"/>
          <w:b/>
          <w:bCs/>
          <w:i/>
          <w:iCs/>
          <w:sz w:val="28"/>
          <w:szCs w:val="28"/>
        </w:rPr>
      </w:pPr>
      <w:bookmarkStart w:id="27" w:name="_Toc34924482"/>
      <w:r w:rsidRPr="00B778A6">
        <w:rPr>
          <w:rFonts w:eastAsia="Times New Roman"/>
          <w:b/>
          <w:bCs/>
          <w:i/>
          <w:iCs/>
          <w:sz w:val="28"/>
          <w:szCs w:val="28"/>
        </w:rPr>
        <w:t>3.5. Projekto įgyvendinimo alternatyvų palyginimas SEA metodu</w:t>
      </w:r>
      <w:bookmarkEnd w:id="24"/>
      <w:bookmarkEnd w:id="25"/>
      <w:bookmarkEnd w:id="26"/>
      <w:bookmarkEnd w:id="27"/>
    </w:p>
    <w:p w:rsidR="00F867A9" w:rsidRPr="00B778A6" w:rsidRDefault="00F867A9" w:rsidP="00F867A9">
      <w:pPr>
        <w:jc w:val="both"/>
        <w:rPr>
          <w:rFonts w:eastAsia="Times New Roman"/>
          <w:lang w:eastAsia="en-US"/>
        </w:rPr>
      </w:pPr>
    </w:p>
    <w:p w:rsidR="001C79A8" w:rsidRPr="00B778A6" w:rsidRDefault="00F867A9" w:rsidP="00810A0C">
      <w:pPr>
        <w:pStyle w:val="ListParagraph"/>
        <w:ind w:left="0" w:firstLine="709"/>
        <w:jc w:val="both"/>
      </w:pPr>
      <w:r w:rsidRPr="00B778A6">
        <w:rPr>
          <w:rFonts w:eastAsia="Times New Roman"/>
          <w:szCs w:val="24"/>
        </w:rPr>
        <w:t>Netaikoma</w:t>
      </w:r>
      <w:r w:rsidR="00810A0C" w:rsidRPr="00B778A6">
        <w:rPr>
          <w:rFonts w:eastAsia="Times New Roman"/>
          <w:szCs w:val="24"/>
        </w:rPr>
        <w:t>.</w:t>
      </w:r>
      <w:r w:rsidR="001C79A8" w:rsidRPr="00B778A6">
        <w:t xml:space="preserve"> </w:t>
      </w:r>
    </w:p>
    <w:p w:rsidR="001601CE" w:rsidRPr="00B778A6" w:rsidRDefault="001601CE" w:rsidP="00FD1BF7">
      <w:pPr>
        <w:pStyle w:val="ColorfulList-Accent11"/>
        <w:ind w:left="360"/>
        <w:rPr>
          <w:szCs w:val="24"/>
        </w:rPr>
        <w:sectPr w:rsidR="001601CE" w:rsidRPr="00B778A6" w:rsidSect="00AB4A39">
          <w:headerReference w:type="default" r:id="rId25"/>
          <w:footerReference w:type="default" r:id="rId26"/>
          <w:pgSz w:w="11906" w:h="16838"/>
          <w:pgMar w:top="1701" w:right="567" w:bottom="1134" w:left="1701" w:header="432" w:footer="567" w:gutter="0"/>
          <w:cols w:space="1296"/>
          <w:docGrid w:linePitch="360"/>
        </w:sectPr>
      </w:pPr>
    </w:p>
    <w:p w:rsidR="00FD1BF7" w:rsidRPr="00B778A6" w:rsidRDefault="002F314C" w:rsidP="00B54573">
      <w:pPr>
        <w:pStyle w:val="Heading1"/>
        <w:rPr>
          <w:rFonts w:ascii="Times New Roman" w:hAnsi="Times New Roman"/>
        </w:rPr>
      </w:pPr>
      <w:bookmarkStart w:id="28" w:name="_Toc34924483"/>
      <w:r w:rsidRPr="00B778A6">
        <w:rPr>
          <w:rFonts w:ascii="Times New Roman" w:hAnsi="Times New Roman"/>
          <w:lang w:val="lt-LT"/>
        </w:rPr>
        <w:lastRenderedPageBreak/>
        <w:t>4</w:t>
      </w:r>
      <w:r w:rsidR="00FD1BF7" w:rsidRPr="00B778A6">
        <w:rPr>
          <w:rFonts w:ascii="Times New Roman" w:hAnsi="Times New Roman"/>
          <w:lang w:val="lt-LT"/>
        </w:rPr>
        <w:t>. FINANSINĖ ANALIZĖ</w:t>
      </w:r>
      <w:bookmarkEnd w:id="28"/>
    </w:p>
    <w:p w:rsidR="00050891" w:rsidRPr="00B778A6" w:rsidRDefault="00050891" w:rsidP="00FD1BF7">
      <w:pPr>
        <w:pStyle w:val="ColorfulList-Accent11"/>
        <w:ind w:left="0"/>
        <w:rPr>
          <w:szCs w:val="24"/>
        </w:rPr>
      </w:pPr>
    </w:p>
    <w:p w:rsidR="00050891" w:rsidRPr="00B778A6" w:rsidRDefault="007B7F96" w:rsidP="004A2204">
      <w:pPr>
        <w:ind w:firstLine="720"/>
        <w:jc w:val="both"/>
        <w:rPr>
          <w:lang w:eastAsia="en-US"/>
        </w:rPr>
      </w:pPr>
      <w:r w:rsidRPr="00B778A6">
        <w:rPr>
          <w:lang w:eastAsia="en-US"/>
        </w:rPr>
        <w:t>Šioje dalyje atliekama projekto</w:t>
      </w:r>
      <w:r w:rsidR="002E0DFB" w:rsidRPr="00B778A6">
        <w:rPr>
          <w:lang w:eastAsia="en-US"/>
        </w:rPr>
        <w:t xml:space="preserve"> finansinė analizė </w:t>
      </w:r>
      <w:r w:rsidRPr="00B778A6">
        <w:rPr>
          <w:lang w:eastAsia="en-US"/>
        </w:rPr>
        <w:t>(</w:t>
      </w:r>
      <w:r w:rsidR="002E0DFB" w:rsidRPr="00B778A6">
        <w:rPr>
          <w:lang w:eastAsia="en-US"/>
        </w:rPr>
        <w:t xml:space="preserve">vadovaujantis Investicijų projektų, kuriems siekiama gauti finansavimą iš </w:t>
      </w:r>
      <w:r w:rsidR="00F93782" w:rsidRPr="00B778A6">
        <w:rPr>
          <w:lang w:eastAsia="en-US"/>
        </w:rPr>
        <w:t>ES</w:t>
      </w:r>
      <w:r w:rsidR="002E0DFB" w:rsidRPr="00B778A6">
        <w:rPr>
          <w:lang w:eastAsia="en-US"/>
        </w:rPr>
        <w:t xml:space="preserve"> struktūrinės paramos ir valstybės biudžeto lėšų, rengimo metodika</w:t>
      </w:r>
      <w:r w:rsidRPr="00B778A6">
        <w:rPr>
          <w:lang w:eastAsia="en-US"/>
        </w:rPr>
        <w:t>).</w:t>
      </w:r>
      <w:r w:rsidR="004A2204" w:rsidRPr="00B778A6">
        <w:rPr>
          <w:lang w:eastAsia="en-US"/>
        </w:rPr>
        <w:t xml:space="preserve"> </w:t>
      </w:r>
    </w:p>
    <w:p w:rsidR="00050891" w:rsidRPr="00B778A6" w:rsidRDefault="00050891" w:rsidP="00FD1BF7">
      <w:pPr>
        <w:pStyle w:val="ColorfulList-Accent11"/>
        <w:ind w:left="0"/>
        <w:rPr>
          <w:szCs w:val="24"/>
        </w:rPr>
      </w:pPr>
    </w:p>
    <w:p w:rsidR="00FD1BF7" w:rsidRPr="00B778A6" w:rsidRDefault="002F314C" w:rsidP="00B54573">
      <w:pPr>
        <w:pStyle w:val="Heading2"/>
        <w:rPr>
          <w:rStyle w:val="Heading2Char"/>
          <w:rFonts w:ascii="Times New Roman" w:eastAsia="Calibri" w:hAnsi="Times New Roman"/>
        </w:rPr>
      </w:pPr>
      <w:bookmarkStart w:id="29" w:name="_Toc34924484"/>
      <w:r w:rsidRPr="00B778A6">
        <w:rPr>
          <w:rFonts w:ascii="Times New Roman" w:hAnsi="Times New Roman"/>
          <w:lang w:val="lt-LT"/>
        </w:rPr>
        <w:t>4</w:t>
      </w:r>
      <w:r w:rsidR="00B54573" w:rsidRPr="00B778A6">
        <w:rPr>
          <w:rFonts w:ascii="Times New Roman" w:hAnsi="Times New Roman"/>
          <w:lang w:val="lt-LT"/>
        </w:rPr>
        <w:t xml:space="preserve">.1. </w:t>
      </w:r>
      <w:r w:rsidR="00FD1BF7" w:rsidRPr="00B778A6">
        <w:rPr>
          <w:rFonts w:ascii="Times New Roman" w:hAnsi="Times New Roman"/>
          <w:lang w:val="lt-LT"/>
        </w:rPr>
        <w:t>Projekto ataska</w:t>
      </w:r>
      <w:r w:rsidR="00B54573" w:rsidRPr="00B778A6">
        <w:rPr>
          <w:rFonts w:ascii="Times New Roman" w:hAnsi="Times New Roman"/>
          <w:lang w:val="lt-LT"/>
        </w:rPr>
        <w:t>itini</w:t>
      </w:r>
      <w:r w:rsidRPr="00B778A6">
        <w:rPr>
          <w:rFonts w:ascii="Times New Roman" w:hAnsi="Times New Roman"/>
          <w:lang w:val="lt-LT"/>
        </w:rPr>
        <w:t xml:space="preserve">s </w:t>
      </w:r>
      <w:r w:rsidR="00B54573" w:rsidRPr="00B778A6">
        <w:rPr>
          <w:rFonts w:ascii="Times New Roman" w:hAnsi="Times New Roman"/>
          <w:lang w:val="lt-LT"/>
        </w:rPr>
        <w:t>laikotarpi</w:t>
      </w:r>
      <w:r w:rsidRPr="00B778A6">
        <w:rPr>
          <w:rFonts w:ascii="Times New Roman" w:hAnsi="Times New Roman"/>
          <w:lang w:val="lt-LT"/>
        </w:rPr>
        <w:t>s</w:t>
      </w:r>
      <w:bookmarkEnd w:id="29"/>
    </w:p>
    <w:p w:rsidR="00FE16B8" w:rsidRPr="00B778A6" w:rsidRDefault="00FE16B8" w:rsidP="00FD1BF7">
      <w:pPr>
        <w:pStyle w:val="ColorfulList-Accent11"/>
        <w:ind w:left="360"/>
        <w:rPr>
          <w:szCs w:val="24"/>
        </w:rPr>
      </w:pPr>
    </w:p>
    <w:p w:rsidR="00FE16B8" w:rsidRPr="00B778A6" w:rsidRDefault="00B3782E" w:rsidP="00B07AD5">
      <w:pPr>
        <w:pStyle w:val="ColorfulList-Accent11"/>
        <w:ind w:left="0" w:firstLine="709"/>
        <w:jc w:val="both"/>
      </w:pPr>
      <w:r w:rsidRPr="00B778A6">
        <w:t>Vadovaujantis Investicijų projektų, kuriems siekiama gauti finansavimą iš Europos Sąjungos struktūrinės paramos ir valstybės biudžeto lėšų, rengimo metodika, projektui parenkamas 25 metų ataskaitinis laikotarpis (įskaitant investicijų laikotarpį).</w:t>
      </w:r>
    </w:p>
    <w:p w:rsidR="00B07AD5" w:rsidRPr="00B778A6" w:rsidRDefault="00B07AD5" w:rsidP="00B07AD5">
      <w:pPr>
        <w:pStyle w:val="ColorfulList-Accent11"/>
        <w:ind w:left="0" w:firstLine="709"/>
        <w:jc w:val="both"/>
        <w:rPr>
          <w:szCs w:val="24"/>
        </w:rPr>
      </w:pPr>
    </w:p>
    <w:p w:rsidR="00FD1BF7" w:rsidRPr="00B778A6" w:rsidRDefault="002F314C" w:rsidP="00B54573">
      <w:pPr>
        <w:pStyle w:val="Heading2"/>
        <w:rPr>
          <w:rFonts w:ascii="Times New Roman" w:hAnsi="Times New Roman"/>
        </w:rPr>
      </w:pPr>
      <w:bookmarkStart w:id="30" w:name="_Toc34924485"/>
      <w:r w:rsidRPr="00B778A6">
        <w:rPr>
          <w:rFonts w:ascii="Times New Roman" w:hAnsi="Times New Roman"/>
          <w:lang w:val="lt-LT"/>
        </w:rPr>
        <w:t>4</w:t>
      </w:r>
      <w:r w:rsidR="00B54573" w:rsidRPr="00B778A6">
        <w:rPr>
          <w:rFonts w:ascii="Times New Roman" w:hAnsi="Times New Roman"/>
          <w:lang w:val="lt-LT"/>
        </w:rPr>
        <w:t>.2. Finansinė diskonto norma</w:t>
      </w:r>
      <w:bookmarkEnd w:id="30"/>
    </w:p>
    <w:p w:rsidR="004D50A9" w:rsidRPr="00B778A6" w:rsidRDefault="004D50A9" w:rsidP="00FD1BF7">
      <w:pPr>
        <w:pStyle w:val="ColorfulList-Accent11"/>
        <w:ind w:left="360"/>
        <w:rPr>
          <w:szCs w:val="24"/>
        </w:rPr>
      </w:pPr>
    </w:p>
    <w:p w:rsidR="000568D7" w:rsidRPr="00B778A6" w:rsidRDefault="00B3782E" w:rsidP="000568D7">
      <w:pPr>
        <w:ind w:firstLine="709"/>
        <w:contextualSpacing/>
        <w:jc w:val="both"/>
        <w:rPr>
          <w:lang w:eastAsia="en-US"/>
        </w:rPr>
      </w:pPr>
      <w:r w:rsidRPr="00B778A6">
        <w:rPr>
          <w:lang w:eastAsia="en-US"/>
        </w:rPr>
        <w:t>Vadovaujantis Investicijų projektų, kuriems siekiama gauti finansavimą iš Europos Sąjungos struktūrinės paramos ir valstybės biudžeto lėšų, rengimo metodika, projekto finansinė diskonto norma - 4,00 proc.</w:t>
      </w:r>
    </w:p>
    <w:p w:rsidR="000568D7" w:rsidRPr="00B778A6" w:rsidRDefault="000568D7" w:rsidP="000568D7">
      <w:pPr>
        <w:ind w:firstLine="709"/>
        <w:contextualSpacing/>
        <w:jc w:val="both"/>
      </w:pPr>
    </w:p>
    <w:p w:rsidR="00FD1BF7" w:rsidRPr="00B778A6" w:rsidRDefault="002F314C" w:rsidP="00B54573">
      <w:pPr>
        <w:pStyle w:val="Heading2"/>
        <w:rPr>
          <w:rFonts w:ascii="Times New Roman" w:hAnsi="Times New Roman"/>
        </w:rPr>
      </w:pPr>
      <w:bookmarkStart w:id="31" w:name="_Toc34924486"/>
      <w:r w:rsidRPr="00B778A6">
        <w:rPr>
          <w:rFonts w:ascii="Times New Roman" w:hAnsi="Times New Roman"/>
          <w:lang w:val="lt-LT"/>
        </w:rPr>
        <w:t>4</w:t>
      </w:r>
      <w:r w:rsidR="00B54573" w:rsidRPr="00B778A6">
        <w:rPr>
          <w:rFonts w:ascii="Times New Roman" w:hAnsi="Times New Roman"/>
          <w:lang w:val="lt-LT"/>
        </w:rPr>
        <w:t>.3. Projektų lėšų srautai</w:t>
      </w:r>
      <w:bookmarkEnd w:id="31"/>
    </w:p>
    <w:p w:rsidR="00FD1BF7" w:rsidRPr="00B778A6" w:rsidRDefault="002F314C" w:rsidP="00B54573">
      <w:pPr>
        <w:pStyle w:val="Heading3"/>
        <w:rPr>
          <w:rFonts w:ascii="Times New Roman" w:hAnsi="Times New Roman"/>
        </w:rPr>
      </w:pPr>
      <w:bookmarkStart w:id="32" w:name="_Toc34924487"/>
      <w:r w:rsidRPr="00B778A6">
        <w:rPr>
          <w:rFonts w:ascii="Times New Roman" w:hAnsi="Times New Roman"/>
          <w:lang w:val="lt-LT"/>
        </w:rPr>
        <w:t>4</w:t>
      </w:r>
      <w:r w:rsidR="00FD1BF7" w:rsidRPr="00B778A6">
        <w:rPr>
          <w:rFonts w:ascii="Times New Roman" w:hAnsi="Times New Roman"/>
          <w:lang w:val="lt-LT"/>
        </w:rPr>
        <w:t>.3.1</w:t>
      </w:r>
      <w:r w:rsidR="00CE2796" w:rsidRPr="00B778A6">
        <w:rPr>
          <w:rFonts w:ascii="Times New Roman" w:hAnsi="Times New Roman"/>
          <w:lang w:val="lt-LT"/>
        </w:rPr>
        <w:t>.</w:t>
      </w:r>
      <w:r w:rsidR="00FD1BF7" w:rsidRPr="00B778A6">
        <w:rPr>
          <w:rFonts w:ascii="Times New Roman" w:hAnsi="Times New Roman"/>
          <w:lang w:val="lt-LT"/>
        </w:rPr>
        <w:t xml:space="preserve"> </w:t>
      </w:r>
      <w:r w:rsidRPr="00B778A6">
        <w:rPr>
          <w:rFonts w:ascii="Times New Roman" w:hAnsi="Times New Roman"/>
          <w:lang w:val="lt-LT"/>
        </w:rPr>
        <w:t>I</w:t>
      </w:r>
      <w:r w:rsidR="00FD1BF7" w:rsidRPr="00B778A6">
        <w:rPr>
          <w:rFonts w:ascii="Times New Roman" w:hAnsi="Times New Roman"/>
          <w:lang w:val="lt-LT"/>
        </w:rPr>
        <w:t>nvesticij</w:t>
      </w:r>
      <w:r w:rsidRPr="00B778A6">
        <w:rPr>
          <w:rFonts w:ascii="Times New Roman" w:hAnsi="Times New Roman"/>
          <w:lang w:val="lt-LT"/>
        </w:rPr>
        <w:t>ų išlaidos</w:t>
      </w:r>
      <w:bookmarkEnd w:id="32"/>
    </w:p>
    <w:p w:rsidR="00292D6C" w:rsidRPr="00B778A6" w:rsidRDefault="00292D6C" w:rsidP="00292D6C">
      <w:pPr>
        <w:tabs>
          <w:tab w:val="left" w:pos="720"/>
        </w:tabs>
        <w:jc w:val="both"/>
        <w:rPr>
          <w:u w:val="single"/>
          <w:lang w:eastAsia="en-US"/>
        </w:rPr>
      </w:pPr>
    </w:p>
    <w:p w:rsidR="00292D6C" w:rsidRPr="00B778A6" w:rsidRDefault="00292D6C" w:rsidP="00292D6C">
      <w:pPr>
        <w:tabs>
          <w:tab w:val="left" w:pos="720"/>
        </w:tabs>
        <w:jc w:val="both"/>
        <w:rPr>
          <w:lang w:eastAsia="en-US"/>
        </w:rPr>
      </w:pPr>
      <w:r w:rsidRPr="00B778A6">
        <w:rPr>
          <w:u w:val="single"/>
          <w:lang w:eastAsia="en-US"/>
        </w:rPr>
        <w:t>Alternatyva „</w:t>
      </w:r>
      <w:r w:rsidR="00B778A6">
        <w:rPr>
          <w:u w:val="single"/>
          <w:lang w:eastAsia="en-US"/>
        </w:rPr>
        <w:t>Esamo pastato/patalpų dalies kapitalinis remontas</w:t>
      </w:r>
      <w:r w:rsidRPr="00B778A6">
        <w:rPr>
          <w:u w:val="single"/>
          <w:lang w:eastAsia="en-US"/>
        </w:rPr>
        <w:t>“</w:t>
      </w:r>
    </w:p>
    <w:p w:rsidR="00292D6C" w:rsidRPr="00B778A6" w:rsidRDefault="00292D6C" w:rsidP="00292D6C">
      <w:pPr>
        <w:tabs>
          <w:tab w:val="left" w:pos="720"/>
        </w:tabs>
        <w:ind w:firstLine="720"/>
        <w:jc w:val="both"/>
        <w:rPr>
          <w:lang w:eastAsia="en-US"/>
        </w:rPr>
      </w:pPr>
    </w:p>
    <w:p w:rsidR="00EA10AB" w:rsidRPr="00B778A6" w:rsidRDefault="00EA10AB" w:rsidP="00EA10AB">
      <w:pPr>
        <w:ind w:firstLine="720"/>
        <w:jc w:val="both"/>
        <w:rPr>
          <w:lang w:eastAsia="en-US"/>
        </w:rPr>
      </w:pPr>
      <w:r w:rsidRPr="00B778A6">
        <w:rPr>
          <w:lang w:eastAsia="en-US"/>
        </w:rPr>
        <w:t>Lentelėje</w:t>
      </w:r>
      <w:r w:rsidR="00A51954" w:rsidRPr="00B778A6">
        <w:rPr>
          <w:lang w:eastAsia="en-US"/>
        </w:rPr>
        <w:t xml:space="preserve"> pateikiamas projekto biudžetas.</w:t>
      </w:r>
    </w:p>
    <w:p w:rsidR="00EA10AB" w:rsidRPr="00B778A6" w:rsidRDefault="00EA10AB" w:rsidP="00EA10AB">
      <w:pPr>
        <w:tabs>
          <w:tab w:val="left" w:pos="720"/>
        </w:tabs>
        <w:ind w:firstLine="720"/>
        <w:jc w:val="both"/>
        <w:rPr>
          <w:lang w:eastAsia="en-US"/>
        </w:rPr>
      </w:pPr>
    </w:p>
    <w:p w:rsidR="00EA10AB" w:rsidRPr="00B778A6" w:rsidRDefault="00AC662E" w:rsidP="00EA10AB">
      <w:pPr>
        <w:tabs>
          <w:tab w:val="left" w:pos="720"/>
        </w:tabs>
        <w:jc w:val="center"/>
        <w:rPr>
          <w:b/>
          <w:lang w:eastAsia="en-US"/>
        </w:rPr>
      </w:pPr>
      <w:r w:rsidRPr="00B778A6">
        <w:rPr>
          <w:b/>
          <w:lang w:eastAsia="en-US"/>
        </w:rPr>
        <w:t xml:space="preserve">4.3.1.1. </w:t>
      </w:r>
      <w:r w:rsidR="00B25649">
        <w:rPr>
          <w:b/>
          <w:lang w:eastAsia="en-US"/>
        </w:rPr>
        <w:t>l</w:t>
      </w:r>
      <w:r w:rsidR="00B25649" w:rsidRPr="00B778A6">
        <w:rPr>
          <w:b/>
          <w:lang w:eastAsia="en-US"/>
        </w:rPr>
        <w:t>entelė</w:t>
      </w:r>
      <w:r w:rsidR="00EA10AB" w:rsidRPr="00B778A6">
        <w:rPr>
          <w:b/>
          <w:lang w:eastAsia="en-US"/>
        </w:rPr>
        <w:t>. Projekto biudžetas</w:t>
      </w:r>
      <w:r w:rsidRPr="00B778A6">
        <w:rPr>
          <w:b/>
          <w:lang w:eastAsia="en-US"/>
        </w:rPr>
        <w:t xml:space="preserve"> (I alternatyva)</w:t>
      </w:r>
    </w:p>
    <w:tbl>
      <w:tblPr>
        <w:tblW w:w="9649" w:type="dxa"/>
        <w:tblInd w:w="103" w:type="dxa"/>
        <w:tblLook w:val="04A0"/>
      </w:tblPr>
      <w:tblGrid>
        <w:gridCol w:w="960"/>
        <w:gridCol w:w="4574"/>
        <w:gridCol w:w="1419"/>
        <w:gridCol w:w="1259"/>
        <w:gridCol w:w="1437"/>
      </w:tblGrid>
      <w:tr w:rsidR="0044093F" w:rsidRPr="00B778A6" w:rsidTr="00E72195">
        <w:trPr>
          <w:trHeight w:val="20"/>
        </w:trPr>
        <w:tc>
          <w:tcPr>
            <w:tcW w:w="9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44093F" w:rsidRPr="00B778A6" w:rsidRDefault="0044093F" w:rsidP="0044093F">
            <w:pPr>
              <w:jc w:val="center"/>
              <w:rPr>
                <w:rFonts w:eastAsia="Times New Roman"/>
                <w:b/>
                <w:bCs/>
                <w:color w:val="000000"/>
                <w:sz w:val="22"/>
                <w:szCs w:val="22"/>
              </w:rPr>
            </w:pPr>
            <w:r w:rsidRPr="00B778A6">
              <w:rPr>
                <w:rFonts w:eastAsia="Times New Roman"/>
                <w:b/>
                <w:bCs/>
                <w:color w:val="000000"/>
                <w:sz w:val="22"/>
                <w:szCs w:val="22"/>
              </w:rPr>
              <w:t>Eil. Nr.</w:t>
            </w:r>
          </w:p>
        </w:tc>
        <w:tc>
          <w:tcPr>
            <w:tcW w:w="4574" w:type="dxa"/>
            <w:tcBorders>
              <w:top w:val="single" w:sz="4" w:space="0" w:color="auto"/>
              <w:left w:val="nil"/>
              <w:bottom w:val="single" w:sz="4" w:space="0" w:color="auto"/>
              <w:right w:val="single" w:sz="4" w:space="0" w:color="auto"/>
            </w:tcBorders>
            <w:shd w:val="clear" w:color="000000" w:fill="BFBFBF"/>
            <w:vAlign w:val="center"/>
            <w:hideMark/>
          </w:tcPr>
          <w:p w:rsidR="0044093F" w:rsidRPr="00B778A6" w:rsidRDefault="0044093F" w:rsidP="0044093F">
            <w:pPr>
              <w:jc w:val="center"/>
              <w:rPr>
                <w:rFonts w:eastAsia="Times New Roman"/>
                <w:b/>
                <w:bCs/>
                <w:color w:val="000000"/>
                <w:sz w:val="22"/>
                <w:szCs w:val="22"/>
              </w:rPr>
            </w:pPr>
            <w:r w:rsidRPr="00B778A6">
              <w:rPr>
                <w:rFonts w:eastAsia="Times New Roman"/>
                <w:b/>
                <w:bCs/>
                <w:color w:val="000000"/>
                <w:sz w:val="22"/>
                <w:szCs w:val="22"/>
              </w:rPr>
              <w:t>Išlaidos</w:t>
            </w:r>
          </w:p>
        </w:tc>
        <w:tc>
          <w:tcPr>
            <w:tcW w:w="1419" w:type="dxa"/>
            <w:tcBorders>
              <w:top w:val="single" w:sz="4" w:space="0" w:color="auto"/>
              <w:left w:val="nil"/>
              <w:bottom w:val="single" w:sz="4" w:space="0" w:color="auto"/>
              <w:right w:val="single" w:sz="4" w:space="0" w:color="auto"/>
            </w:tcBorders>
            <w:shd w:val="clear" w:color="000000" w:fill="BFBFBF"/>
            <w:vAlign w:val="center"/>
            <w:hideMark/>
          </w:tcPr>
          <w:p w:rsidR="0044093F" w:rsidRPr="00B778A6" w:rsidRDefault="0044093F" w:rsidP="0044093F">
            <w:pPr>
              <w:jc w:val="center"/>
              <w:rPr>
                <w:rFonts w:eastAsia="Times New Roman"/>
                <w:b/>
                <w:bCs/>
                <w:color w:val="000000"/>
                <w:sz w:val="22"/>
                <w:szCs w:val="22"/>
              </w:rPr>
            </w:pPr>
            <w:r w:rsidRPr="00B778A6">
              <w:rPr>
                <w:rFonts w:eastAsia="Times New Roman"/>
                <w:b/>
                <w:bCs/>
                <w:color w:val="000000"/>
                <w:sz w:val="22"/>
                <w:szCs w:val="22"/>
              </w:rPr>
              <w:t>Suma su PVM, EUR</w:t>
            </w:r>
          </w:p>
        </w:tc>
        <w:tc>
          <w:tcPr>
            <w:tcW w:w="1259" w:type="dxa"/>
            <w:tcBorders>
              <w:top w:val="single" w:sz="4" w:space="0" w:color="auto"/>
              <w:left w:val="nil"/>
              <w:bottom w:val="single" w:sz="4" w:space="0" w:color="auto"/>
              <w:right w:val="single" w:sz="4" w:space="0" w:color="auto"/>
            </w:tcBorders>
            <w:shd w:val="clear" w:color="000000" w:fill="BFBFBF"/>
            <w:vAlign w:val="center"/>
            <w:hideMark/>
          </w:tcPr>
          <w:p w:rsidR="0044093F" w:rsidRPr="00B778A6" w:rsidRDefault="0044093F" w:rsidP="0044093F">
            <w:pPr>
              <w:jc w:val="center"/>
              <w:rPr>
                <w:rFonts w:eastAsia="Times New Roman"/>
                <w:b/>
                <w:bCs/>
                <w:color w:val="000000"/>
                <w:sz w:val="22"/>
                <w:szCs w:val="22"/>
              </w:rPr>
            </w:pPr>
            <w:r w:rsidRPr="00B778A6">
              <w:rPr>
                <w:rFonts w:eastAsia="Times New Roman"/>
                <w:b/>
                <w:bCs/>
                <w:color w:val="000000"/>
                <w:sz w:val="22"/>
                <w:szCs w:val="22"/>
              </w:rPr>
              <w:t>2022</w:t>
            </w:r>
          </w:p>
        </w:tc>
        <w:tc>
          <w:tcPr>
            <w:tcW w:w="1437" w:type="dxa"/>
            <w:tcBorders>
              <w:top w:val="single" w:sz="4" w:space="0" w:color="auto"/>
              <w:left w:val="nil"/>
              <w:bottom w:val="single" w:sz="4" w:space="0" w:color="auto"/>
              <w:right w:val="single" w:sz="4" w:space="0" w:color="auto"/>
            </w:tcBorders>
            <w:shd w:val="clear" w:color="000000" w:fill="BFBFBF"/>
            <w:vAlign w:val="center"/>
            <w:hideMark/>
          </w:tcPr>
          <w:p w:rsidR="0044093F" w:rsidRPr="00B778A6" w:rsidRDefault="0044093F" w:rsidP="0044093F">
            <w:pPr>
              <w:jc w:val="center"/>
              <w:rPr>
                <w:rFonts w:eastAsia="Times New Roman"/>
                <w:b/>
                <w:bCs/>
                <w:color w:val="000000"/>
                <w:sz w:val="22"/>
                <w:szCs w:val="22"/>
              </w:rPr>
            </w:pPr>
            <w:r w:rsidRPr="00B778A6">
              <w:rPr>
                <w:rFonts w:eastAsia="Times New Roman"/>
                <w:b/>
                <w:bCs/>
                <w:color w:val="000000"/>
                <w:sz w:val="22"/>
                <w:szCs w:val="22"/>
              </w:rPr>
              <w:t>2023</w:t>
            </w:r>
          </w:p>
        </w:tc>
      </w:tr>
      <w:tr w:rsidR="00BC4A54" w:rsidRPr="00B778A6" w:rsidTr="00E72195">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C4A54" w:rsidRPr="00B778A6" w:rsidRDefault="00BC4A54" w:rsidP="0044093F">
            <w:pPr>
              <w:jc w:val="center"/>
              <w:rPr>
                <w:rFonts w:eastAsia="Times New Roman"/>
                <w:color w:val="000000"/>
                <w:sz w:val="22"/>
                <w:szCs w:val="22"/>
              </w:rPr>
            </w:pPr>
            <w:r w:rsidRPr="00B778A6">
              <w:rPr>
                <w:rFonts w:eastAsia="Times New Roman"/>
                <w:color w:val="000000"/>
                <w:sz w:val="22"/>
                <w:szCs w:val="22"/>
              </w:rPr>
              <w:t>1</w:t>
            </w:r>
            <w:r>
              <w:rPr>
                <w:rFonts w:eastAsia="Times New Roman"/>
                <w:color w:val="000000"/>
                <w:sz w:val="22"/>
                <w:szCs w:val="22"/>
              </w:rPr>
              <w:t>.</w:t>
            </w:r>
          </w:p>
        </w:tc>
        <w:tc>
          <w:tcPr>
            <w:tcW w:w="4574" w:type="dxa"/>
            <w:tcBorders>
              <w:top w:val="nil"/>
              <w:left w:val="nil"/>
              <w:bottom w:val="single" w:sz="4" w:space="0" w:color="auto"/>
              <w:right w:val="single" w:sz="4" w:space="0" w:color="auto"/>
            </w:tcBorders>
            <w:shd w:val="clear" w:color="auto" w:fill="auto"/>
            <w:noWrap/>
            <w:vAlign w:val="center"/>
            <w:hideMark/>
          </w:tcPr>
          <w:p w:rsidR="00BC4A54" w:rsidRPr="00B778A6" w:rsidRDefault="00BC4A54" w:rsidP="0044093F">
            <w:pPr>
              <w:rPr>
                <w:rFonts w:eastAsia="Times New Roman"/>
                <w:color w:val="000000"/>
                <w:sz w:val="22"/>
                <w:szCs w:val="22"/>
              </w:rPr>
            </w:pPr>
            <w:r w:rsidRPr="00B778A6">
              <w:rPr>
                <w:rFonts w:eastAsia="Times New Roman"/>
                <w:color w:val="000000"/>
                <w:sz w:val="22"/>
                <w:szCs w:val="22"/>
              </w:rPr>
              <w:t>Energiją taupančios priemonės</w:t>
            </w:r>
          </w:p>
        </w:tc>
        <w:tc>
          <w:tcPr>
            <w:tcW w:w="1419" w:type="dxa"/>
            <w:tcBorders>
              <w:top w:val="nil"/>
              <w:left w:val="nil"/>
              <w:bottom w:val="single" w:sz="4" w:space="0" w:color="auto"/>
              <w:right w:val="single" w:sz="4" w:space="0" w:color="auto"/>
            </w:tcBorders>
            <w:shd w:val="clear" w:color="auto" w:fill="auto"/>
            <w:noWrap/>
            <w:vAlign w:val="center"/>
            <w:hideMark/>
          </w:tcPr>
          <w:p w:rsidR="00BC4A54" w:rsidRPr="00B778A6" w:rsidRDefault="00BC4A54" w:rsidP="00B778A6">
            <w:pPr>
              <w:jc w:val="center"/>
              <w:rPr>
                <w:rFonts w:eastAsia="Times New Roman"/>
                <w:sz w:val="22"/>
                <w:szCs w:val="22"/>
              </w:rPr>
            </w:pPr>
            <w:r>
              <w:rPr>
                <w:sz w:val="22"/>
                <w:szCs w:val="22"/>
              </w:rPr>
              <w:t>899790,67</w:t>
            </w:r>
          </w:p>
        </w:tc>
        <w:tc>
          <w:tcPr>
            <w:tcW w:w="1259" w:type="dxa"/>
            <w:tcBorders>
              <w:top w:val="nil"/>
              <w:left w:val="nil"/>
              <w:bottom w:val="single" w:sz="4" w:space="0" w:color="auto"/>
              <w:right w:val="single" w:sz="4" w:space="0" w:color="auto"/>
            </w:tcBorders>
            <w:shd w:val="clear" w:color="auto" w:fill="auto"/>
            <w:noWrap/>
            <w:vAlign w:val="bottom"/>
            <w:hideMark/>
          </w:tcPr>
          <w:p w:rsidR="00BC4A54" w:rsidRPr="00B778A6" w:rsidRDefault="00BC4A54" w:rsidP="00B778A6">
            <w:pPr>
              <w:jc w:val="center"/>
              <w:rPr>
                <w:rFonts w:eastAsia="Times New Roman"/>
                <w:color w:val="000000"/>
                <w:sz w:val="22"/>
                <w:szCs w:val="22"/>
              </w:rPr>
            </w:pPr>
            <w:r>
              <w:rPr>
                <w:color w:val="000000"/>
                <w:sz w:val="22"/>
                <w:szCs w:val="22"/>
              </w:rPr>
              <w:t> </w:t>
            </w:r>
          </w:p>
        </w:tc>
        <w:tc>
          <w:tcPr>
            <w:tcW w:w="1437" w:type="dxa"/>
            <w:tcBorders>
              <w:top w:val="nil"/>
              <w:left w:val="nil"/>
              <w:bottom w:val="single" w:sz="4" w:space="0" w:color="auto"/>
              <w:right w:val="single" w:sz="4" w:space="0" w:color="auto"/>
            </w:tcBorders>
            <w:shd w:val="clear" w:color="auto" w:fill="auto"/>
            <w:noWrap/>
            <w:vAlign w:val="center"/>
            <w:hideMark/>
          </w:tcPr>
          <w:p w:rsidR="00BC4A54" w:rsidRPr="00B778A6" w:rsidRDefault="00BC4A54" w:rsidP="00B778A6">
            <w:pPr>
              <w:jc w:val="center"/>
              <w:rPr>
                <w:rFonts w:eastAsia="Times New Roman"/>
                <w:color w:val="000000"/>
                <w:sz w:val="22"/>
                <w:szCs w:val="22"/>
              </w:rPr>
            </w:pPr>
            <w:r>
              <w:rPr>
                <w:color w:val="000000"/>
                <w:sz w:val="22"/>
                <w:szCs w:val="22"/>
              </w:rPr>
              <w:t>899790,67</w:t>
            </w:r>
          </w:p>
        </w:tc>
      </w:tr>
      <w:tr w:rsidR="00BC4A54" w:rsidRPr="00B778A6" w:rsidTr="00E72195">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C4A54" w:rsidRPr="00B778A6" w:rsidRDefault="00BC4A54" w:rsidP="0044093F">
            <w:pPr>
              <w:jc w:val="center"/>
              <w:rPr>
                <w:rFonts w:eastAsia="Times New Roman"/>
                <w:color w:val="000000"/>
                <w:sz w:val="22"/>
                <w:szCs w:val="22"/>
              </w:rPr>
            </w:pPr>
            <w:r w:rsidRPr="00B778A6">
              <w:rPr>
                <w:rFonts w:eastAsia="Times New Roman"/>
                <w:color w:val="000000"/>
                <w:sz w:val="22"/>
                <w:szCs w:val="22"/>
              </w:rPr>
              <w:t>2</w:t>
            </w:r>
            <w:r>
              <w:rPr>
                <w:rFonts w:eastAsia="Times New Roman"/>
                <w:color w:val="000000"/>
                <w:sz w:val="22"/>
                <w:szCs w:val="22"/>
              </w:rPr>
              <w:t>.</w:t>
            </w:r>
          </w:p>
        </w:tc>
        <w:tc>
          <w:tcPr>
            <w:tcW w:w="4574" w:type="dxa"/>
            <w:tcBorders>
              <w:top w:val="nil"/>
              <w:left w:val="nil"/>
              <w:bottom w:val="single" w:sz="4" w:space="0" w:color="auto"/>
              <w:right w:val="single" w:sz="4" w:space="0" w:color="auto"/>
            </w:tcBorders>
            <w:shd w:val="clear" w:color="auto" w:fill="auto"/>
            <w:noWrap/>
            <w:vAlign w:val="center"/>
            <w:hideMark/>
          </w:tcPr>
          <w:p w:rsidR="00BC4A54" w:rsidRPr="00B778A6" w:rsidRDefault="00BC4A54" w:rsidP="0044093F">
            <w:pPr>
              <w:rPr>
                <w:rFonts w:eastAsia="Times New Roman"/>
                <w:color w:val="000000"/>
                <w:sz w:val="22"/>
                <w:szCs w:val="22"/>
              </w:rPr>
            </w:pPr>
            <w:r w:rsidRPr="00B778A6">
              <w:rPr>
                <w:rFonts w:eastAsia="Times New Roman"/>
                <w:color w:val="000000"/>
                <w:sz w:val="22"/>
                <w:szCs w:val="22"/>
              </w:rPr>
              <w:t>Papildomos priemonės</w:t>
            </w:r>
          </w:p>
        </w:tc>
        <w:tc>
          <w:tcPr>
            <w:tcW w:w="1419" w:type="dxa"/>
            <w:tcBorders>
              <w:top w:val="nil"/>
              <w:left w:val="nil"/>
              <w:bottom w:val="single" w:sz="4" w:space="0" w:color="auto"/>
              <w:right w:val="single" w:sz="4" w:space="0" w:color="auto"/>
            </w:tcBorders>
            <w:shd w:val="clear" w:color="auto" w:fill="auto"/>
            <w:noWrap/>
            <w:vAlign w:val="center"/>
            <w:hideMark/>
          </w:tcPr>
          <w:p w:rsidR="00BC4A54" w:rsidRPr="00B778A6" w:rsidRDefault="00BC4A54" w:rsidP="00B778A6">
            <w:pPr>
              <w:jc w:val="center"/>
              <w:rPr>
                <w:rFonts w:eastAsia="Times New Roman"/>
                <w:color w:val="000000"/>
                <w:sz w:val="22"/>
                <w:szCs w:val="22"/>
              </w:rPr>
            </w:pPr>
            <w:r>
              <w:rPr>
                <w:color w:val="000000"/>
                <w:sz w:val="22"/>
                <w:szCs w:val="22"/>
              </w:rPr>
              <w:t>179100,02</w:t>
            </w:r>
          </w:p>
        </w:tc>
        <w:tc>
          <w:tcPr>
            <w:tcW w:w="1259" w:type="dxa"/>
            <w:tcBorders>
              <w:top w:val="nil"/>
              <w:left w:val="nil"/>
              <w:bottom w:val="single" w:sz="4" w:space="0" w:color="auto"/>
              <w:right w:val="single" w:sz="4" w:space="0" w:color="auto"/>
            </w:tcBorders>
            <w:shd w:val="clear" w:color="auto" w:fill="auto"/>
            <w:noWrap/>
            <w:vAlign w:val="bottom"/>
            <w:hideMark/>
          </w:tcPr>
          <w:p w:rsidR="00BC4A54" w:rsidRPr="00B778A6" w:rsidRDefault="00BC4A54" w:rsidP="00B778A6">
            <w:pPr>
              <w:jc w:val="center"/>
              <w:rPr>
                <w:rFonts w:eastAsia="Times New Roman"/>
                <w:color w:val="000000"/>
                <w:sz w:val="22"/>
                <w:szCs w:val="22"/>
              </w:rPr>
            </w:pPr>
            <w:r>
              <w:rPr>
                <w:color w:val="000000"/>
                <w:sz w:val="22"/>
                <w:szCs w:val="22"/>
              </w:rPr>
              <w:t> </w:t>
            </w:r>
          </w:p>
        </w:tc>
        <w:tc>
          <w:tcPr>
            <w:tcW w:w="1437" w:type="dxa"/>
            <w:tcBorders>
              <w:top w:val="nil"/>
              <w:left w:val="nil"/>
              <w:bottom w:val="single" w:sz="4" w:space="0" w:color="auto"/>
              <w:right w:val="single" w:sz="4" w:space="0" w:color="auto"/>
            </w:tcBorders>
            <w:shd w:val="clear" w:color="auto" w:fill="auto"/>
            <w:noWrap/>
            <w:vAlign w:val="center"/>
            <w:hideMark/>
          </w:tcPr>
          <w:p w:rsidR="00BC4A54" w:rsidRPr="00B778A6" w:rsidRDefault="00BC4A54" w:rsidP="00B778A6">
            <w:pPr>
              <w:jc w:val="center"/>
              <w:rPr>
                <w:rFonts w:eastAsia="Times New Roman"/>
                <w:color w:val="000000"/>
                <w:sz w:val="22"/>
                <w:szCs w:val="22"/>
              </w:rPr>
            </w:pPr>
            <w:r>
              <w:rPr>
                <w:color w:val="000000"/>
                <w:sz w:val="22"/>
                <w:szCs w:val="22"/>
              </w:rPr>
              <w:t>179100,02</w:t>
            </w:r>
          </w:p>
        </w:tc>
      </w:tr>
      <w:tr w:rsidR="00BC4A54" w:rsidRPr="00B778A6" w:rsidTr="00E72195">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C4A54" w:rsidRPr="00B778A6" w:rsidRDefault="00BC4A54" w:rsidP="0044093F">
            <w:pPr>
              <w:jc w:val="center"/>
              <w:rPr>
                <w:rFonts w:eastAsia="Times New Roman"/>
                <w:color w:val="000000"/>
                <w:sz w:val="22"/>
                <w:szCs w:val="22"/>
              </w:rPr>
            </w:pPr>
            <w:r w:rsidRPr="00B778A6">
              <w:rPr>
                <w:rFonts w:eastAsia="Times New Roman"/>
                <w:color w:val="000000"/>
                <w:sz w:val="22"/>
                <w:szCs w:val="22"/>
              </w:rPr>
              <w:t>3</w:t>
            </w:r>
            <w:r>
              <w:rPr>
                <w:rFonts w:eastAsia="Times New Roman"/>
                <w:color w:val="000000"/>
                <w:sz w:val="22"/>
                <w:szCs w:val="22"/>
              </w:rPr>
              <w:t>.</w:t>
            </w:r>
          </w:p>
        </w:tc>
        <w:tc>
          <w:tcPr>
            <w:tcW w:w="4574" w:type="dxa"/>
            <w:tcBorders>
              <w:top w:val="nil"/>
              <w:left w:val="nil"/>
              <w:bottom w:val="single" w:sz="4" w:space="0" w:color="auto"/>
              <w:right w:val="single" w:sz="4" w:space="0" w:color="auto"/>
            </w:tcBorders>
            <w:shd w:val="clear" w:color="auto" w:fill="auto"/>
            <w:noWrap/>
            <w:vAlign w:val="center"/>
            <w:hideMark/>
          </w:tcPr>
          <w:p w:rsidR="00BC4A54" w:rsidRPr="00B778A6" w:rsidRDefault="00BC4A54" w:rsidP="0044093F">
            <w:pPr>
              <w:rPr>
                <w:rFonts w:eastAsia="Times New Roman"/>
                <w:color w:val="000000"/>
                <w:sz w:val="22"/>
                <w:szCs w:val="22"/>
              </w:rPr>
            </w:pPr>
            <w:r w:rsidRPr="00B778A6">
              <w:rPr>
                <w:rFonts w:eastAsia="Times New Roman"/>
                <w:color w:val="000000"/>
                <w:sz w:val="22"/>
                <w:szCs w:val="22"/>
              </w:rPr>
              <w:t>Projektavimo ir inžinerinės paslaugos</w:t>
            </w:r>
          </w:p>
        </w:tc>
        <w:tc>
          <w:tcPr>
            <w:tcW w:w="1419" w:type="dxa"/>
            <w:tcBorders>
              <w:top w:val="nil"/>
              <w:left w:val="nil"/>
              <w:bottom w:val="single" w:sz="4" w:space="0" w:color="auto"/>
              <w:right w:val="single" w:sz="4" w:space="0" w:color="auto"/>
            </w:tcBorders>
            <w:shd w:val="clear" w:color="auto" w:fill="auto"/>
            <w:noWrap/>
            <w:vAlign w:val="center"/>
            <w:hideMark/>
          </w:tcPr>
          <w:p w:rsidR="00BC4A54" w:rsidRPr="00B778A6" w:rsidRDefault="00BC4A54" w:rsidP="00B778A6">
            <w:pPr>
              <w:jc w:val="center"/>
              <w:rPr>
                <w:rFonts w:eastAsia="Times New Roman"/>
                <w:color w:val="000000"/>
                <w:sz w:val="22"/>
                <w:szCs w:val="22"/>
              </w:rPr>
            </w:pPr>
            <w:r>
              <w:rPr>
                <w:color w:val="000000"/>
                <w:sz w:val="22"/>
                <w:szCs w:val="22"/>
              </w:rPr>
              <w:t>53987,44</w:t>
            </w:r>
          </w:p>
        </w:tc>
        <w:tc>
          <w:tcPr>
            <w:tcW w:w="1259" w:type="dxa"/>
            <w:tcBorders>
              <w:top w:val="nil"/>
              <w:left w:val="nil"/>
              <w:bottom w:val="single" w:sz="4" w:space="0" w:color="auto"/>
              <w:right w:val="single" w:sz="4" w:space="0" w:color="auto"/>
            </w:tcBorders>
            <w:shd w:val="clear" w:color="auto" w:fill="auto"/>
            <w:noWrap/>
            <w:vAlign w:val="bottom"/>
            <w:hideMark/>
          </w:tcPr>
          <w:p w:rsidR="00BC4A54" w:rsidRPr="00B778A6" w:rsidRDefault="00BC4A54" w:rsidP="00B778A6">
            <w:pPr>
              <w:jc w:val="center"/>
              <w:rPr>
                <w:rFonts w:eastAsia="Times New Roman"/>
                <w:color w:val="000000"/>
                <w:sz w:val="22"/>
                <w:szCs w:val="22"/>
              </w:rPr>
            </w:pPr>
            <w:r>
              <w:rPr>
                <w:color w:val="000000"/>
                <w:sz w:val="22"/>
                <w:szCs w:val="22"/>
              </w:rPr>
              <w:t>42650,08</w:t>
            </w:r>
          </w:p>
        </w:tc>
        <w:tc>
          <w:tcPr>
            <w:tcW w:w="1437" w:type="dxa"/>
            <w:tcBorders>
              <w:top w:val="nil"/>
              <w:left w:val="nil"/>
              <w:bottom w:val="single" w:sz="4" w:space="0" w:color="auto"/>
              <w:right w:val="single" w:sz="4" w:space="0" w:color="auto"/>
            </w:tcBorders>
            <w:shd w:val="clear" w:color="auto" w:fill="auto"/>
            <w:noWrap/>
            <w:vAlign w:val="center"/>
            <w:hideMark/>
          </w:tcPr>
          <w:p w:rsidR="00BC4A54" w:rsidRPr="00B778A6" w:rsidRDefault="00BC4A54" w:rsidP="00B778A6">
            <w:pPr>
              <w:jc w:val="center"/>
              <w:rPr>
                <w:rFonts w:eastAsia="Times New Roman"/>
                <w:color w:val="000000"/>
                <w:sz w:val="22"/>
                <w:szCs w:val="22"/>
              </w:rPr>
            </w:pPr>
            <w:r>
              <w:rPr>
                <w:color w:val="000000"/>
                <w:sz w:val="22"/>
                <w:szCs w:val="22"/>
              </w:rPr>
              <w:t>11337,36</w:t>
            </w:r>
          </w:p>
        </w:tc>
      </w:tr>
      <w:tr w:rsidR="00BC4A54" w:rsidRPr="00B778A6" w:rsidTr="00E72195">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C4A54" w:rsidRPr="00B778A6" w:rsidRDefault="00BC4A54" w:rsidP="0044093F">
            <w:pPr>
              <w:jc w:val="center"/>
              <w:rPr>
                <w:rFonts w:eastAsia="Times New Roman"/>
                <w:b/>
                <w:bCs/>
                <w:color w:val="000000"/>
                <w:sz w:val="22"/>
                <w:szCs w:val="22"/>
              </w:rPr>
            </w:pPr>
            <w:r w:rsidRPr="00B778A6">
              <w:rPr>
                <w:rFonts w:eastAsia="Times New Roman"/>
                <w:b/>
                <w:bCs/>
                <w:color w:val="000000"/>
                <w:sz w:val="22"/>
                <w:szCs w:val="22"/>
              </w:rPr>
              <w:t> </w:t>
            </w:r>
          </w:p>
        </w:tc>
        <w:tc>
          <w:tcPr>
            <w:tcW w:w="4574" w:type="dxa"/>
            <w:tcBorders>
              <w:top w:val="nil"/>
              <w:left w:val="nil"/>
              <w:bottom w:val="single" w:sz="4" w:space="0" w:color="auto"/>
              <w:right w:val="single" w:sz="4" w:space="0" w:color="auto"/>
            </w:tcBorders>
            <w:shd w:val="clear" w:color="auto" w:fill="auto"/>
            <w:noWrap/>
            <w:vAlign w:val="center"/>
            <w:hideMark/>
          </w:tcPr>
          <w:p w:rsidR="00BC4A54" w:rsidRPr="00B778A6" w:rsidRDefault="00BC4A54" w:rsidP="0044093F">
            <w:pPr>
              <w:rPr>
                <w:rFonts w:eastAsia="Times New Roman"/>
                <w:b/>
                <w:bCs/>
                <w:color w:val="000000"/>
                <w:sz w:val="22"/>
                <w:szCs w:val="22"/>
              </w:rPr>
            </w:pPr>
            <w:r w:rsidRPr="00B778A6">
              <w:rPr>
                <w:rFonts w:eastAsia="Times New Roman"/>
                <w:b/>
                <w:bCs/>
                <w:color w:val="000000"/>
                <w:sz w:val="22"/>
                <w:szCs w:val="22"/>
              </w:rPr>
              <w:t>VISO</w:t>
            </w:r>
          </w:p>
        </w:tc>
        <w:tc>
          <w:tcPr>
            <w:tcW w:w="1419" w:type="dxa"/>
            <w:tcBorders>
              <w:top w:val="nil"/>
              <w:left w:val="nil"/>
              <w:bottom w:val="single" w:sz="4" w:space="0" w:color="auto"/>
              <w:right w:val="single" w:sz="4" w:space="0" w:color="auto"/>
            </w:tcBorders>
            <w:shd w:val="clear" w:color="auto" w:fill="auto"/>
            <w:noWrap/>
            <w:vAlign w:val="center"/>
            <w:hideMark/>
          </w:tcPr>
          <w:p w:rsidR="00BC4A54" w:rsidRPr="00B778A6" w:rsidRDefault="00BC4A54" w:rsidP="00B778A6">
            <w:pPr>
              <w:jc w:val="center"/>
              <w:rPr>
                <w:rFonts w:eastAsia="Times New Roman"/>
                <w:b/>
                <w:bCs/>
                <w:color w:val="000000"/>
                <w:sz w:val="22"/>
                <w:szCs w:val="22"/>
              </w:rPr>
            </w:pPr>
            <w:r>
              <w:rPr>
                <w:b/>
                <w:bCs/>
                <w:color w:val="000000"/>
                <w:sz w:val="22"/>
                <w:szCs w:val="22"/>
              </w:rPr>
              <w:t>1132878,13</w:t>
            </w:r>
          </w:p>
        </w:tc>
        <w:tc>
          <w:tcPr>
            <w:tcW w:w="1259" w:type="dxa"/>
            <w:tcBorders>
              <w:top w:val="nil"/>
              <w:left w:val="nil"/>
              <w:bottom w:val="single" w:sz="4" w:space="0" w:color="auto"/>
              <w:right w:val="single" w:sz="4" w:space="0" w:color="auto"/>
            </w:tcBorders>
            <w:shd w:val="clear" w:color="auto" w:fill="auto"/>
            <w:noWrap/>
            <w:vAlign w:val="center"/>
            <w:hideMark/>
          </w:tcPr>
          <w:p w:rsidR="00BC4A54" w:rsidRPr="00B778A6" w:rsidRDefault="00BC4A54" w:rsidP="00B778A6">
            <w:pPr>
              <w:jc w:val="center"/>
              <w:rPr>
                <w:rFonts w:eastAsia="Times New Roman"/>
                <w:b/>
                <w:bCs/>
                <w:color w:val="000000"/>
                <w:sz w:val="22"/>
                <w:szCs w:val="22"/>
              </w:rPr>
            </w:pPr>
            <w:r>
              <w:rPr>
                <w:b/>
                <w:bCs/>
                <w:color w:val="000000"/>
                <w:sz w:val="22"/>
                <w:szCs w:val="22"/>
              </w:rPr>
              <w:t>42650,08</w:t>
            </w:r>
          </w:p>
        </w:tc>
        <w:tc>
          <w:tcPr>
            <w:tcW w:w="1437" w:type="dxa"/>
            <w:tcBorders>
              <w:top w:val="nil"/>
              <w:left w:val="nil"/>
              <w:bottom w:val="single" w:sz="4" w:space="0" w:color="auto"/>
              <w:right w:val="single" w:sz="4" w:space="0" w:color="auto"/>
            </w:tcBorders>
            <w:shd w:val="clear" w:color="auto" w:fill="auto"/>
            <w:noWrap/>
            <w:vAlign w:val="center"/>
            <w:hideMark/>
          </w:tcPr>
          <w:p w:rsidR="00BC4A54" w:rsidRPr="00B778A6" w:rsidRDefault="00BC4A54" w:rsidP="00B778A6">
            <w:pPr>
              <w:jc w:val="center"/>
              <w:rPr>
                <w:rFonts w:eastAsia="Times New Roman"/>
                <w:b/>
                <w:bCs/>
                <w:color w:val="000000"/>
                <w:sz w:val="22"/>
                <w:szCs w:val="22"/>
              </w:rPr>
            </w:pPr>
            <w:r>
              <w:rPr>
                <w:b/>
                <w:bCs/>
                <w:color w:val="000000"/>
                <w:sz w:val="22"/>
                <w:szCs w:val="22"/>
              </w:rPr>
              <w:t>1090228,05</w:t>
            </w:r>
          </w:p>
        </w:tc>
      </w:tr>
    </w:tbl>
    <w:p w:rsidR="0044093F" w:rsidRPr="00B778A6" w:rsidRDefault="0044093F" w:rsidP="00EA10AB">
      <w:pPr>
        <w:tabs>
          <w:tab w:val="left" w:pos="720"/>
        </w:tabs>
        <w:jc w:val="both"/>
        <w:rPr>
          <w:lang w:eastAsia="en-US"/>
        </w:rPr>
      </w:pPr>
    </w:p>
    <w:p w:rsidR="0044093F" w:rsidRPr="00B778A6" w:rsidRDefault="0044093F" w:rsidP="00B778A6">
      <w:pPr>
        <w:tabs>
          <w:tab w:val="left" w:pos="720"/>
        </w:tabs>
        <w:ind w:firstLine="709"/>
        <w:jc w:val="both"/>
        <w:rPr>
          <w:lang w:eastAsia="en-US"/>
        </w:rPr>
      </w:pPr>
      <w:r w:rsidRPr="00B778A6">
        <w:rPr>
          <w:lang w:eastAsia="en-US"/>
        </w:rPr>
        <w:t>Investicijų suma nustatyta pagal energijos vartojimo audito duomenis.</w:t>
      </w:r>
    </w:p>
    <w:p w:rsidR="00292D6C" w:rsidRPr="00B778A6" w:rsidRDefault="00F209E4" w:rsidP="00292D6C">
      <w:pPr>
        <w:tabs>
          <w:tab w:val="left" w:pos="720"/>
        </w:tabs>
        <w:ind w:firstLine="720"/>
        <w:jc w:val="both"/>
        <w:rPr>
          <w:lang w:eastAsia="en-US"/>
        </w:rPr>
      </w:pPr>
      <w:r w:rsidRPr="00B778A6">
        <w:rPr>
          <w:lang w:eastAsia="en-US"/>
        </w:rPr>
        <w:t xml:space="preserve">Pirmojo energijos taupymo priemonių paketo (pasiekiama </w:t>
      </w:r>
      <w:r w:rsidR="00BC4A54">
        <w:rPr>
          <w:lang w:eastAsia="en-US"/>
        </w:rPr>
        <w:t>B</w:t>
      </w:r>
      <w:r w:rsidR="00BC4A54" w:rsidRPr="00B778A6">
        <w:rPr>
          <w:lang w:eastAsia="en-US"/>
        </w:rPr>
        <w:t xml:space="preserve"> </w:t>
      </w:r>
      <w:r w:rsidRPr="00B778A6">
        <w:rPr>
          <w:lang w:eastAsia="en-US"/>
        </w:rPr>
        <w:t>klasė) r</w:t>
      </w:r>
      <w:r w:rsidR="00E71CC5" w:rsidRPr="00B778A6">
        <w:rPr>
          <w:lang w:eastAsia="en-US"/>
        </w:rPr>
        <w:t xml:space="preserve">angos darbų kaina nustatyta remiantis </w:t>
      </w:r>
      <w:r w:rsidR="0044093F" w:rsidRPr="00B778A6">
        <w:rPr>
          <w:lang w:eastAsia="en-US"/>
        </w:rPr>
        <w:t>2021</w:t>
      </w:r>
      <w:r w:rsidR="00BC4A54">
        <w:rPr>
          <w:lang w:eastAsia="en-US"/>
        </w:rPr>
        <w:t>-2022</w:t>
      </w:r>
      <w:r w:rsidR="0044093F" w:rsidRPr="00B778A6">
        <w:rPr>
          <w:lang w:eastAsia="en-US"/>
        </w:rPr>
        <w:t xml:space="preserve"> </w:t>
      </w:r>
      <w:r w:rsidR="00E71CC5" w:rsidRPr="00B778A6">
        <w:rPr>
          <w:lang w:eastAsia="en-US"/>
        </w:rPr>
        <w:t>m. parengta energijos vartojimo audito ataskaita.</w:t>
      </w:r>
      <w:r w:rsidR="001E4A22" w:rsidRPr="00B778A6">
        <w:rPr>
          <w:lang w:eastAsia="en-US"/>
        </w:rPr>
        <w:t xml:space="preserve"> Konkretūs darbai bei jų vertės pateikiamos </w:t>
      </w:r>
      <w:r w:rsidR="00E74BFD" w:rsidRPr="00B778A6">
        <w:rPr>
          <w:lang w:eastAsia="en-US"/>
        </w:rPr>
        <w:t xml:space="preserve">žemiau esančioje </w:t>
      </w:r>
      <w:r w:rsidR="001E4A22" w:rsidRPr="00B778A6">
        <w:rPr>
          <w:lang w:eastAsia="en-US"/>
        </w:rPr>
        <w:t>lentelėje.</w:t>
      </w:r>
    </w:p>
    <w:p w:rsidR="000E76CF" w:rsidRPr="00B778A6" w:rsidRDefault="000E76CF" w:rsidP="000E76CF">
      <w:pPr>
        <w:tabs>
          <w:tab w:val="left" w:pos="720"/>
        </w:tabs>
        <w:jc w:val="center"/>
        <w:rPr>
          <w:b/>
          <w:lang w:eastAsia="en-US"/>
        </w:rPr>
      </w:pPr>
    </w:p>
    <w:p w:rsidR="000E76CF" w:rsidRPr="00B778A6" w:rsidRDefault="000E76CF" w:rsidP="000E76CF">
      <w:pPr>
        <w:tabs>
          <w:tab w:val="left" w:pos="720"/>
        </w:tabs>
        <w:jc w:val="center"/>
        <w:rPr>
          <w:lang w:eastAsia="en-US"/>
        </w:rPr>
      </w:pPr>
      <w:r w:rsidRPr="00B778A6">
        <w:rPr>
          <w:b/>
          <w:lang w:eastAsia="en-US"/>
        </w:rPr>
        <w:t xml:space="preserve">4.3.1.2. </w:t>
      </w:r>
      <w:r w:rsidR="00B25649">
        <w:rPr>
          <w:b/>
          <w:lang w:eastAsia="en-US"/>
        </w:rPr>
        <w:t>l</w:t>
      </w:r>
      <w:r w:rsidR="00B25649" w:rsidRPr="00B778A6">
        <w:rPr>
          <w:b/>
          <w:lang w:eastAsia="en-US"/>
        </w:rPr>
        <w:t>entelė</w:t>
      </w:r>
      <w:r w:rsidRPr="00B778A6">
        <w:rPr>
          <w:b/>
          <w:lang w:eastAsia="en-US"/>
        </w:rPr>
        <w:t xml:space="preserve">. Rangos darbų </w:t>
      </w:r>
      <w:r w:rsidR="00F209E4" w:rsidRPr="00B778A6">
        <w:rPr>
          <w:b/>
          <w:lang w:eastAsia="en-US"/>
        </w:rPr>
        <w:t xml:space="preserve">(1 energijos taupymo priemonių paketas) </w:t>
      </w:r>
      <w:r w:rsidRPr="00B778A6">
        <w:rPr>
          <w:b/>
          <w:lang w:eastAsia="en-US"/>
        </w:rPr>
        <w:t>detalizavimas</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2"/>
        <w:gridCol w:w="7508"/>
        <w:gridCol w:w="1553"/>
      </w:tblGrid>
      <w:tr w:rsidR="000E76CF" w:rsidRPr="00B778A6" w:rsidTr="00B778A6">
        <w:trPr>
          <w:trHeight w:val="57"/>
        </w:trPr>
        <w:tc>
          <w:tcPr>
            <w:tcW w:w="297" w:type="pct"/>
            <w:shd w:val="clear" w:color="auto" w:fill="D9D9D9"/>
            <w:vAlign w:val="center"/>
            <w:hideMark/>
          </w:tcPr>
          <w:p w:rsidR="000E76CF" w:rsidRPr="00B778A6" w:rsidRDefault="000E76CF" w:rsidP="004F1732">
            <w:pPr>
              <w:jc w:val="center"/>
              <w:rPr>
                <w:rFonts w:eastAsia="Times New Roman"/>
                <w:b/>
                <w:bCs/>
                <w:sz w:val="22"/>
                <w:szCs w:val="22"/>
              </w:rPr>
            </w:pPr>
            <w:r w:rsidRPr="00B778A6">
              <w:rPr>
                <w:rFonts w:eastAsia="Times New Roman"/>
                <w:b/>
                <w:bCs/>
                <w:sz w:val="22"/>
                <w:szCs w:val="22"/>
              </w:rPr>
              <w:t>Eil. Nr.</w:t>
            </w:r>
          </w:p>
        </w:tc>
        <w:tc>
          <w:tcPr>
            <w:tcW w:w="3897" w:type="pct"/>
            <w:shd w:val="clear" w:color="auto" w:fill="D9D9D9"/>
            <w:vAlign w:val="center"/>
            <w:hideMark/>
          </w:tcPr>
          <w:p w:rsidR="000E76CF" w:rsidRPr="00B778A6" w:rsidRDefault="000E76CF" w:rsidP="004F1732">
            <w:pPr>
              <w:jc w:val="center"/>
              <w:rPr>
                <w:rFonts w:eastAsia="Times New Roman"/>
                <w:b/>
                <w:bCs/>
                <w:sz w:val="22"/>
                <w:szCs w:val="22"/>
              </w:rPr>
            </w:pPr>
            <w:r w:rsidRPr="00B778A6">
              <w:rPr>
                <w:rFonts w:eastAsia="Times New Roman"/>
                <w:b/>
                <w:bCs/>
                <w:sz w:val="22"/>
                <w:szCs w:val="22"/>
              </w:rPr>
              <w:t>Priemonės pavadinimas</w:t>
            </w:r>
          </w:p>
        </w:tc>
        <w:tc>
          <w:tcPr>
            <w:tcW w:w="807" w:type="pct"/>
            <w:shd w:val="clear" w:color="auto" w:fill="D9D9D9"/>
            <w:vAlign w:val="center"/>
            <w:hideMark/>
          </w:tcPr>
          <w:p w:rsidR="000E76CF" w:rsidRPr="00B778A6" w:rsidRDefault="000E76CF" w:rsidP="004F1732">
            <w:pPr>
              <w:jc w:val="center"/>
              <w:rPr>
                <w:rFonts w:eastAsia="Times New Roman"/>
                <w:b/>
                <w:bCs/>
                <w:sz w:val="22"/>
                <w:szCs w:val="22"/>
              </w:rPr>
            </w:pPr>
            <w:r w:rsidRPr="00B778A6">
              <w:rPr>
                <w:rFonts w:eastAsia="Times New Roman"/>
                <w:b/>
                <w:bCs/>
                <w:sz w:val="22"/>
                <w:szCs w:val="22"/>
              </w:rPr>
              <w:t>Suma su PVM, EUR</w:t>
            </w:r>
          </w:p>
        </w:tc>
      </w:tr>
      <w:tr w:rsidR="000E76CF" w:rsidRPr="00B778A6" w:rsidTr="00B778A6">
        <w:trPr>
          <w:trHeight w:val="57"/>
        </w:trPr>
        <w:tc>
          <w:tcPr>
            <w:tcW w:w="297" w:type="pct"/>
            <w:shd w:val="clear" w:color="auto" w:fill="auto"/>
            <w:vAlign w:val="center"/>
            <w:hideMark/>
          </w:tcPr>
          <w:p w:rsidR="000E76CF" w:rsidRPr="00B778A6" w:rsidRDefault="000E76CF" w:rsidP="004F1732">
            <w:pPr>
              <w:jc w:val="center"/>
              <w:rPr>
                <w:rFonts w:eastAsia="Times New Roman"/>
                <w:sz w:val="22"/>
                <w:szCs w:val="22"/>
              </w:rPr>
            </w:pPr>
            <w:r w:rsidRPr="00B778A6">
              <w:rPr>
                <w:rFonts w:eastAsia="Times New Roman"/>
                <w:sz w:val="22"/>
                <w:szCs w:val="22"/>
              </w:rPr>
              <w:t>1.</w:t>
            </w:r>
          </w:p>
        </w:tc>
        <w:tc>
          <w:tcPr>
            <w:tcW w:w="3897" w:type="pct"/>
            <w:shd w:val="clear" w:color="auto" w:fill="auto"/>
            <w:noWrap/>
            <w:vAlign w:val="center"/>
          </w:tcPr>
          <w:p w:rsidR="000E76CF" w:rsidRPr="00B778A6" w:rsidRDefault="00F209E4" w:rsidP="004F1732">
            <w:pPr>
              <w:rPr>
                <w:rFonts w:eastAsia="Times New Roman"/>
                <w:color w:val="000000"/>
                <w:sz w:val="22"/>
                <w:szCs w:val="22"/>
              </w:rPr>
            </w:pPr>
            <w:r w:rsidRPr="00B778A6">
              <w:rPr>
                <w:rFonts w:eastAsia="Times New Roman"/>
                <w:color w:val="000000"/>
                <w:sz w:val="22"/>
                <w:szCs w:val="22"/>
              </w:rPr>
              <w:t>Langų keitimas</w:t>
            </w:r>
          </w:p>
        </w:tc>
        <w:tc>
          <w:tcPr>
            <w:tcW w:w="807" w:type="pct"/>
            <w:shd w:val="clear" w:color="auto" w:fill="auto"/>
            <w:noWrap/>
            <w:vAlign w:val="center"/>
          </w:tcPr>
          <w:p w:rsidR="000E76CF" w:rsidRPr="00B778A6" w:rsidRDefault="008A3120" w:rsidP="00B778A6">
            <w:pPr>
              <w:pStyle w:val="Default"/>
              <w:jc w:val="center"/>
              <w:rPr>
                <w:sz w:val="22"/>
                <w:szCs w:val="22"/>
              </w:rPr>
            </w:pPr>
            <w:r w:rsidRPr="008A3120">
              <w:rPr>
                <w:sz w:val="22"/>
                <w:szCs w:val="22"/>
              </w:rPr>
              <w:t>170502,42</w:t>
            </w:r>
          </w:p>
        </w:tc>
      </w:tr>
      <w:tr w:rsidR="000E76CF" w:rsidRPr="00B778A6" w:rsidTr="00B778A6">
        <w:trPr>
          <w:trHeight w:val="57"/>
        </w:trPr>
        <w:tc>
          <w:tcPr>
            <w:tcW w:w="297" w:type="pct"/>
            <w:shd w:val="clear" w:color="auto" w:fill="auto"/>
            <w:vAlign w:val="center"/>
            <w:hideMark/>
          </w:tcPr>
          <w:p w:rsidR="000E76CF" w:rsidRPr="00B778A6" w:rsidRDefault="000E76CF" w:rsidP="004F1732">
            <w:pPr>
              <w:jc w:val="center"/>
              <w:rPr>
                <w:rFonts w:eastAsia="Times New Roman"/>
                <w:sz w:val="22"/>
                <w:szCs w:val="22"/>
              </w:rPr>
            </w:pPr>
            <w:r w:rsidRPr="00B778A6">
              <w:rPr>
                <w:rFonts w:eastAsia="Times New Roman"/>
                <w:sz w:val="22"/>
                <w:szCs w:val="22"/>
              </w:rPr>
              <w:t>2.</w:t>
            </w:r>
          </w:p>
        </w:tc>
        <w:tc>
          <w:tcPr>
            <w:tcW w:w="3897" w:type="pct"/>
            <w:shd w:val="clear" w:color="auto" w:fill="auto"/>
            <w:noWrap/>
            <w:vAlign w:val="center"/>
          </w:tcPr>
          <w:p w:rsidR="000E76CF" w:rsidRPr="00B778A6" w:rsidRDefault="00F209E4" w:rsidP="004F1732">
            <w:pPr>
              <w:rPr>
                <w:rFonts w:eastAsia="Times New Roman"/>
                <w:color w:val="000000"/>
                <w:sz w:val="22"/>
                <w:szCs w:val="22"/>
              </w:rPr>
            </w:pPr>
            <w:r w:rsidRPr="00B778A6">
              <w:rPr>
                <w:rFonts w:eastAsia="Times New Roman"/>
                <w:color w:val="000000"/>
                <w:sz w:val="22"/>
                <w:szCs w:val="22"/>
              </w:rPr>
              <w:t>Išorės durų keitimas</w:t>
            </w:r>
          </w:p>
        </w:tc>
        <w:tc>
          <w:tcPr>
            <w:tcW w:w="807" w:type="pct"/>
            <w:shd w:val="clear" w:color="auto" w:fill="auto"/>
            <w:noWrap/>
            <w:vAlign w:val="center"/>
          </w:tcPr>
          <w:p w:rsidR="000E76CF" w:rsidRPr="00B778A6" w:rsidRDefault="008A3120" w:rsidP="00B778A6">
            <w:pPr>
              <w:pStyle w:val="Default"/>
              <w:jc w:val="center"/>
              <w:rPr>
                <w:sz w:val="22"/>
                <w:szCs w:val="22"/>
              </w:rPr>
            </w:pPr>
            <w:r w:rsidRPr="008A3120">
              <w:rPr>
                <w:sz w:val="22"/>
                <w:szCs w:val="22"/>
              </w:rPr>
              <w:t>28017,12</w:t>
            </w:r>
          </w:p>
        </w:tc>
      </w:tr>
      <w:tr w:rsidR="000E76CF" w:rsidRPr="00B778A6" w:rsidTr="00B778A6">
        <w:trPr>
          <w:trHeight w:val="57"/>
        </w:trPr>
        <w:tc>
          <w:tcPr>
            <w:tcW w:w="297" w:type="pct"/>
            <w:shd w:val="clear" w:color="auto" w:fill="auto"/>
            <w:vAlign w:val="center"/>
            <w:hideMark/>
          </w:tcPr>
          <w:p w:rsidR="000E76CF" w:rsidRPr="00B778A6" w:rsidRDefault="000E76CF" w:rsidP="004F1732">
            <w:pPr>
              <w:jc w:val="center"/>
              <w:rPr>
                <w:rFonts w:eastAsia="Times New Roman"/>
                <w:sz w:val="22"/>
                <w:szCs w:val="22"/>
              </w:rPr>
            </w:pPr>
            <w:r w:rsidRPr="00B778A6">
              <w:rPr>
                <w:rFonts w:eastAsia="Times New Roman"/>
                <w:sz w:val="22"/>
                <w:szCs w:val="22"/>
              </w:rPr>
              <w:t>3.</w:t>
            </w:r>
          </w:p>
        </w:tc>
        <w:tc>
          <w:tcPr>
            <w:tcW w:w="3897" w:type="pct"/>
            <w:shd w:val="clear" w:color="auto" w:fill="auto"/>
            <w:noWrap/>
            <w:vAlign w:val="center"/>
          </w:tcPr>
          <w:p w:rsidR="000E76CF" w:rsidRPr="00B778A6" w:rsidRDefault="0044093F" w:rsidP="00C668D4">
            <w:pPr>
              <w:pStyle w:val="Default"/>
              <w:rPr>
                <w:sz w:val="22"/>
                <w:szCs w:val="22"/>
              </w:rPr>
            </w:pPr>
            <w:r w:rsidRPr="00B778A6">
              <w:rPr>
                <w:sz w:val="22"/>
                <w:szCs w:val="22"/>
              </w:rPr>
              <w:t xml:space="preserve">Išorinių sienų ir cokolio šiltinimas </w:t>
            </w:r>
          </w:p>
        </w:tc>
        <w:tc>
          <w:tcPr>
            <w:tcW w:w="807" w:type="pct"/>
            <w:shd w:val="clear" w:color="auto" w:fill="auto"/>
            <w:noWrap/>
            <w:vAlign w:val="center"/>
          </w:tcPr>
          <w:p w:rsidR="000E76CF" w:rsidRPr="00B778A6" w:rsidRDefault="008A3120" w:rsidP="00B778A6">
            <w:pPr>
              <w:pStyle w:val="Default"/>
              <w:jc w:val="center"/>
              <w:rPr>
                <w:sz w:val="22"/>
                <w:szCs w:val="22"/>
              </w:rPr>
            </w:pPr>
            <w:r w:rsidRPr="008A3120">
              <w:rPr>
                <w:sz w:val="22"/>
                <w:szCs w:val="22"/>
              </w:rPr>
              <w:t>278096,48</w:t>
            </w:r>
          </w:p>
        </w:tc>
      </w:tr>
      <w:tr w:rsidR="000E76CF" w:rsidRPr="00B778A6" w:rsidTr="00B778A6">
        <w:trPr>
          <w:trHeight w:val="57"/>
        </w:trPr>
        <w:tc>
          <w:tcPr>
            <w:tcW w:w="297" w:type="pct"/>
            <w:shd w:val="clear" w:color="auto" w:fill="auto"/>
            <w:vAlign w:val="center"/>
            <w:hideMark/>
          </w:tcPr>
          <w:p w:rsidR="000E76CF" w:rsidRPr="00B778A6" w:rsidRDefault="000E76CF" w:rsidP="004F1732">
            <w:pPr>
              <w:jc w:val="center"/>
              <w:rPr>
                <w:rFonts w:eastAsia="Times New Roman"/>
                <w:sz w:val="22"/>
                <w:szCs w:val="22"/>
              </w:rPr>
            </w:pPr>
            <w:r w:rsidRPr="00B778A6">
              <w:rPr>
                <w:rFonts w:eastAsia="Times New Roman"/>
                <w:sz w:val="22"/>
                <w:szCs w:val="22"/>
              </w:rPr>
              <w:lastRenderedPageBreak/>
              <w:t>4.</w:t>
            </w:r>
          </w:p>
        </w:tc>
        <w:tc>
          <w:tcPr>
            <w:tcW w:w="3897" w:type="pct"/>
            <w:shd w:val="clear" w:color="auto" w:fill="auto"/>
            <w:noWrap/>
            <w:vAlign w:val="center"/>
          </w:tcPr>
          <w:p w:rsidR="000E76CF" w:rsidRPr="00B778A6" w:rsidRDefault="0044093F" w:rsidP="004F1732">
            <w:pPr>
              <w:rPr>
                <w:rFonts w:eastAsia="Times New Roman"/>
                <w:color w:val="000000"/>
                <w:sz w:val="22"/>
                <w:szCs w:val="22"/>
              </w:rPr>
            </w:pPr>
            <w:r w:rsidRPr="00B778A6">
              <w:rPr>
                <w:rFonts w:eastAsia="Times New Roman"/>
                <w:color w:val="000000"/>
                <w:sz w:val="22"/>
                <w:szCs w:val="22"/>
              </w:rPr>
              <w:t>S</w:t>
            </w:r>
            <w:r w:rsidR="00F209E4" w:rsidRPr="00B778A6">
              <w:rPr>
                <w:rFonts w:eastAsia="Times New Roman"/>
                <w:color w:val="000000"/>
                <w:sz w:val="22"/>
                <w:szCs w:val="22"/>
              </w:rPr>
              <w:t>togo šiltinimas</w:t>
            </w:r>
          </w:p>
        </w:tc>
        <w:tc>
          <w:tcPr>
            <w:tcW w:w="807" w:type="pct"/>
            <w:shd w:val="clear" w:color="auto" w:fill="auto"/>
            <w:noWrap/>
            <w:vAlign w:val="center"/>
          </w:tcPr>
          <w:p w:rsidR="000E76CF" w:rsidRPr="00B778A6" w:rsidRDefault="00437681" w:rsidP="00B778A6">
            <w:pPr>
              <w:pStyle w:val="Default"/>
              <w:jc w:val="center"/>
              <w:rPr>
                <w:sz w:val="22"/>
                <w:szCs w:val="22"/>
              </w:rPr>
            </w:pPr>
            <w:r w:rsidRPr="00437681">
              <w:rPr>
                <w:sz w:val="22"/>
                <w:szCs w:val="22"/>
              </w:rPr>
              <w:t>233399,21</w:t>
            </w:r>
          </w:p>
        </w:tc>
      </w:tr>
      <w:tr w:rsidR="000E76CF" w:rsidRPr="00B778A6" w:rsidTr="00B778A6">
        <w:trPr>
          <w:trHeight w:val="57"/>
        </w:trPr>
        <w:tc>
          <w:tcPr>
            <w:tcW w:w="297" w:type="pct"/>
            <w:shd w:val="clear" w:color="auto" w:fill="auto"/>
            <w:vAlign w:val="center"/>
            <w:hideMark/>
          </w:tcPr>
          <w:p w:rsidR="000E76CF" w:rsidRPr="00B778A6" w:rsidRDefault="000E76CF" w:rsidP="004F1732">
            <w:pPr>
              <w:jc w:val="center"/>
              <w:rPr>
                <w:rFonts w:eastAsia="Times New Roman"/>
                <w:sz w:val="22"/>
                <w:szCs w:val="22"/>
              </w:rPr>
            </w:pPr>
            <w:r w:rsidRPr="00B778A6">
              <w:rPr>
                <w:rFonts w:eastAsia="Times New Roman"/>
                <w:sz w:val="22"/>
                <w:szCs w:val="22"/>
              </w:rPr>
              <w:t>5.</w:t>
            </w:r>
          </w:p>
        </w:tc>
        <w:tc>
          <w:tcPr>
            <w:tcW w:w="3897" w:type="pct"/>
            <w:shd w:val="clear" w:color="auto" w:fill="auto"/>
            <w:noWrap/>
            <w:vAlign w:val="center"/>
          </w:tcPr>
          <w:p w:rsidR="000E76CF" w:rsidRPr="00B778A6" w:rsidRDefault="0044093F" w:rsidP="00B778A6">
            <w:pPr>
              <w:pStyle w:val="Default"/>
              <w:rPr>
                <w:sz w:val="22"/>
                <w:szCs w:val="22"/>
              </w:rPr>
            </w:pPr>
            <w:r w:rsidRPr="00B778A6">
              <w:rPr>
                <w:sz w:val="22"/>
                <w:szCs w:val="22"/>
              </w:rPr>
              <w:t xml:space="preserve">Karšto vandens sistemos renovacija* </w:t>
            </w:r>
          </w:p>
        </w:tc>
        <w:tc>
          <w:tcPr>
            <w:tcW w:w="807" w:type="pct"/>
            <w:shd w:val="clear" w:color="auto" w:fill="auto"/>
            <w:noWrap/>
            <w:vAlign w:val="center"/>
          </w:tcPr>
          <w:p w:rsidR="000E76CF" w:rsidRPr="00B778A6" w:rsidRDefault="00437681" w:rsidP="00B778A6">
            <w:pPr>
              <w:pStyle w:val="Default"/>
              <w:jc w:val="center"/>
              <w:rPr>
                <w:sz w:val="22"/>
                <w:szCs w:val="22"/>
              </w:rPr>
            </w:pPr>
            <w:r w:rsidRPr="00437681">
              <w:rPr>
                <w:sz w:val="22"/>
                <w:szCs w:val="22"/>
              </w:rPr>
              <w:t>14477,20</w:t>
            </w:r>
          </w:p>
        </w:tc>
      </w:tr>
      <w:tr w:rsidR="0044093F" w:rsidRPr="00B778A6" w:rsidTr="00B778A6">
        <w:trPr>
          <w:trHeight w:val="57"/>
        </w:trPr>
        <w:tc>
          <w:tcPr>
            <w:tcW w:w="297" w:type="pct"/>
            <w:shd w:val="clear" w:color="auto" w:fill="auto"/>
            <w:vAlign w:val="center"/>
          </w:tcPr>
          <w:p w:rsidR="0044093F" w:rsidRPr="00B778A6" w:rsidRDefault="0044093F" w:rsidP="004F1732">
            <w:pPr>
              <w:jc w:val="center"/>
              <w:rPr>
                <w:rFonts w:eastAsia="Times New Roman"/>
                <w:sz w:val="22"/>
                <w:szCs w:val="22"/>
              </w:rPr>
            </w:pPr>
            <w:r w:rsidRPr="00B778A6">
              <w:rPr>
                <w:rFonts w:eastAsia="Times New Roman"/>
                <w:sz w:val="22"/>
                <w:szCs w:val="22"/>
              </w:rPr>
              <w:t>6.</w:t>
            </w:r>
          </w:p>
        </w:tc>
        <w:tc>
          <w:tcPr>
            <w:tcW w:w="3897" w:type="pct"/>
            <w:shd w:val="clear" w:color="auto" w:fill="auto"/>
            <w:noWrap/>
            <w:vAlign w:val="center"/>
          </w:tcPr>
          <w:p w:rsidR="0044093F" w:rsidRPr="00B778A6" w:rsidDel="0044093F" w:rsidRDefault="0044093F" w:rsidP="00B778A6">
            <w:pPr>
              <w:pStyle w:val="Default"/>
              <w:rPr>
                <w:sz w:val="22"/>
                <w:szCs w:val="22"/>
              </w:rPr>
            </w:pPr>
            <w:r w:rsidRPr="00B778A6">
              <w:rPr>
                <w:sz w:val="22"/>
                <w:szCs w:val="22"/>
              </w:rPr>
              <w:t>Apšvietimo sistemos renovacija bendr.</w:t>
            </w:r>
            <w:r w:rsidR="001A3C07">
              <w:rPr>
                <w:sz w:val="22"/>
                <w:szCs w:val="22"/>
              </w:rPr>
              <w:t xml:space="preserve"> </w:t>
            </w:r>
            <w:r w:rsidRPr="00B778A6">
              <w:rPr>
                <w:sz w:val="22"/>
                <w:szCs w:val="22"/>
              </w:rPr>
              <w:t>naud.</w:t>
            </w:r>
            <w:r w:rsidR="001A3C07">
              <w:rPr>
                <w:sz w:val="22"/>
                <w:szCs w:val="22"/>
              </w:rPr>
              <w:t xml:space="preserve"> </w:t>
            </w:r>
            <w:r w:rsidRPr="00B778A6">
              <w:rPr>
                <w:sz w:val="22"/>
                <w:szCs w:val="22"/>
              </w:rPr>
              <w:t xml:space="preserve">patalpose* </w:t>
            </w:r>
          </w:p>
        </w:tc>
        <w:tc>
          <w:tcPr>
            <w:tcW w:w="807" w:type="pct"/>
            <w:shd w:val="clear" w:color="auto" w:fill="auto"/>
            <w:noWrap/>
            <w:vAlign w:val="center"/>
          </w:tcPr>
          <w:p w:rsidR="0044093F" w:rsidRPr="00B778A6" w:rsidDel="0044093F" w:rsidRDefault="00437681" w:rsidP="00B778A6">
            <w:pPr>
              <w:pStyle w:val="Default"/>
              <w:jc w:val="center"/>
              <w:rPr>
                <w:sz w:val="22"/>
                <w:szCs w:val="22"/>
              </w:rPr>
            </w:pPr>
            <w:r w:rsidRPr="00437681">
              <w:rPr>
                <w:sz w:val="22"/>
                <w:szCs w:val="22"/>
              </w:rPr>
              <w:t>5270,56</w:t>
            </w:r>
          </w:p>
        </w:tc>
      </w:tr>
      <w:tr w:rsidR="0044093F" w:rsidRPr="00B778A6" w:rsidTr="00B778A6">
        <w:trPr>
          <w:trHeight w:val="57"/>
        </w:trPr>
        <w:tc>
          <w:tcPr>
            <w:tcW w:w="297" w:type="pct"/>
            <w:shd w:val="clear" w:color="auto" w:fill="auto"/>
            <w:vAlign w:val="center"/>
          </w:tcPr>
          <w:p w:rsidR="0044093F" w:rsidRPr="00B778A6" w:rsidRDefault="0044093F" w:rsidP="004F1732">
            <w:pPr>
              <w:jc w:val="center"/>
              <w:rPr>
                <w:rFonts w:eastAsia="Times New Roman"/>
                <w:sz w:val="22"/>
                <w:szCs w:val="22"/>
              </w:rPr>
            </w:pPr>
            <w:r w:rsidRPr="00B778A6">
              <w:rPr>
                <w:rFonts w:eastAsia="Times New Roman"/>
                <w:sz w:val="22"/>
                <w:szCs w:val="22"/>
              </w:rPr>
              <w:t>7.</w:t>
            </w:r>
          </w:p>
        </w:tc>
        <w:tc>
          <w:tcPr>
            <w:tcW w:w="3897" w:type="pct"/>
            <w:shd w:val="clear" w:color="auto" w:fill="auto"/>
            <w:noWrap/>
            <w:vAlign w:val="center"/>
          </w:tcPr>
          <w:p w:rsidR="0044093F" w:rsidRPr="00B778A6" w:rsidDel="0044093F" w:rsidRDefault="0044093F" w:rsidP="00B778A6">
            <w:pPr>
              <w:pStyle w:val="Default"/>
              <w:rPr>
                <w:sz w:val="22"/>
                <w:szCs w:val="22"/>
              </w:rPr>
            </w:pPr>
            <w:r w:rsidRPr="00B778A6">
              <w:rPr>
                <w:sz w:val="22"/>
                <w:szCs w:val="22"/>
              </w:rPr>
              <w:t xml:space="preserve">Šilumos punkto ir šildymo sistemos modernizavimas (1-2 pak.) </w:t>
            </w:r>
          </w:p>
        </w:tc>
        <w:tc>
          <w:tcPr>
            <w:tcW w:w="807" w:type="pct"/>
            <w:shd w:val="clear" w:color="auto" w:fill="auto"/>
            <w:noWrap/>
            <w:vAlign w:val="center"/>
          </w:tcPr>
          <w:p w:rsidR="0044093F" w:rsidRPr="00B778A6" w:rsidDel="0044093F" w:rsidRDefault="00437681" w:rsidP="00B778A6">
            <w:pPr>
              <w:pStyle w:val="Default"/>
              <w:jc w:val="center"/>
              <w:rPr>
                <w:sz w:val="22"/>
                <w:szCs w:val="22"/>
              </w:rPr>
            </w:pPr>
            <w:r w:rsidRPr="00437681">
              <w:rPr>
                <w:sz w:val="22"/>
                <w:szCs w:val="22"/>
              </w:rPr>
              <w:t>170027,69</w:t>
            </w:r>
          </w:p>
        </w:tc>
      </w:tr>
      <w:tr w:rsidR="0044093F" w:rsidRPr="00B778A6" w:rsidTr="00B778A6">
        <w:trPr>
          <w:trHeight w:val="57"/>
        </w:trPr>
        <w:tc>
          <w:tcPr>
            <w:tcW w:w="297" w:type="pct"/>
            <w:shd w:val="clear" w:color="auto" w:fill="auto"/>
            <w:vAlign w:val="center"/>
          </w:tcPr>
          <w:p w:rsidR="0044093F" w:rsidRPr="00B778A6" w:rsidRDefault="0044093F" w:rsidP="004F1732">
            <w:pPr>
              <w:jc w:val="center"/>
              <w:rPr>
                <w:rFonts w:eastAsia="Times New Roman"/>
                <w:sz w:val="22"/>
                <w:szCs w:val="22"/>
              </w:rPr>
            </w:pPr>
          </w:p>
        </w:tc>
        <w:tc>
          <w:tcPr>
            <w:tcW w:w="3897" w:type="pct"/>
            <w:shd w:val="clear" w:color="auto" w:fill="auto"/>
            <w:noWrap/>
            <w:vAlign w:val="center"/>
          </w:tcPr>
          <w:p w:rsidR="0044093F" w:rsidRPr="00B778A6" w:rsidDel="0044093F" w:rsidRDefault="0044093F" w:rsidP="004F1732">
            <w:pPr>
              <w:rPr>
                <w:rFonts w:eastAsia="Times New Roman"/>
                <w:b/>
                <w:color w:val="000000"/>
                <w:sz w:val="22"/>
                <w:szCs w:val="22"/>
              </w:rPr>
            </w:pPr>
            <w:r w:rsidRPr="00B778A6">
              <w:rPr>
                <w:rFonts w:eastAsia="Times New Roman"/>
                <w:b/>
                <w:color w:val="000000"/>
                <w:sz w:val="22"/>
                <w:szCs w:val="22"/>
              </w:rPr>
              <w:t>VISO ENERGIJĄ TAUPANČIŲ PRIEMONIŲ</w:t>
            </w:r>
          </w:p>
        </w:tc>
        <w:tc>
          <w:tcPr>
            <w:tcW w:w="807" w:type="pct"/>
            <w:shd w:val="clear" w:color="auto" w:fill="auto"/>
            <w:noWrap/>
            <w:vAlign w:val="center"/>
          </w:tcPr>
          <w:p w:rsidR="0044093F" w:rsidRPr="00B778A6" w:rsidDel="0044093F" w:rsidRDefault="00437681" w:rsidP="00B778A6">
            <w:pPr>
              <w:pStyle w:val="Default"/>
              <w:jc w:val="center"/>
              <w:rPr>
                <w:sz w:val="22"/>
                <w:szCs w:val="22"/>
              </w:rPr>
            </w:pPr>
            <w:r w:rsidRPr="00437681">
              <w:rPr>
                <w:b/>
                <w:bCs/>
                <w:sz w:val="22"/>
                <w:szCs w:val="22"/>
              </w:rPr>
              <w:t>899790,67</w:t>
            </w:r>
          </w:p>
        </w:tc>
      </w:tr>
      <w:tr w:rsidR="0044093F" w:rsidRPr="00B778A6" w:rsidTr="00B778A6">
        <w:trPr>
          <w:trHeight w:val="57"/>
        </w:trPr>
        <w:tc>
          <w:tcPr>
            <w:tcW w:w="297" w:type="pct"/>
            <w:shd w:val="clear" w:color="auto" w:fill="auto"/>
            <w:vAlign w:val="center"/>
          </w:tcPr>
          <w:p w:rsidR="0044093F" w:rsidRPr="00B778A6" w:rsidRDefault="0044093F" w:rsidP="004F1732">
            <w:pPr>
              <w:jc w:val="center"/>
              <w:rPr>
                <w:rFonts w:eastAsia="Times New Roman"/>
                <w:sz w:val="22"/>
                <w:szCs w:val="22"/>
              </w:rPr>
            </w:pPr>
            <w:r w:rsidRPr="00B778A6">
              <w:rPr>
                <w:rFonts w:eastAsia="Times New Roman"/>
                <w:sz w:val="22"/>
                <w:szCs w:val="22"/>
              </w:rPr>
              <w:t>8.</w:t>
            </w:r>
          </w:p>
        </w:tc>
        <w:tc>
          <w:tcPr>
            <w:tcW w:w="3897" w:type="pct"/>
            <w:shd w:val="clear" w:color="auto" w:fill="auto"/>
            <w:noWrap/>
            <w:vAlign w:val="center"/>
          </w:tcPr>
          <w:p w:rsidR="0044093F" w:rsidRPr="00B778A6" w:rsidDel="0044093F" w:rsidRDefault="0044093F" w:rsidP="00B778A6">
            <w:pPr>
              <w:pStyle w:val="Default"/>
              <w:rPr>
                <w:sz w:val="22"/>
                <w:szCs w:val="22"/>
              </w:rPr>
            </w:pPr>
            <w:r w:rsidRPr="00B778A6">
              <w:rPr>
                <w:sz w:val="22"/>
                <w:szCs w:val="22"/>
              </w:rPr>
              <w:t>Dalinis elektros sistemos atnaujinimas</w:t>
            </w:r>
          </w:p>
        </w:tc>
        <w:tc>
          <w:tcPr>
            <w:tcW w:w="807" w:type="pct"/>
            <w:shd w:val="clear" w:color="auto" w:fill="auto"/>
            <w:noWrap/>
            <w:vAlign w:val="center"/>
          </w:tcPr>
          <w:p w:rsidR="0044093F" w:rsidRPr="00B778A6" w:rsidDel="0044093F" w:rsidRDefault="00437681" w:rsidP="00C668D4">
            <w:pPr>
              <w:pStyle w:val="Default"/>
              <w:jc w:val="center"/>
              <w:rPr>
                <w:sz w:val="22"/>
                <w:szCs w:val="22"/>
              </w:rPr>
            </w:pPr>
            <w:r w:rsidRPr="00B778A6">
              <w:rPr>
                <w:sz w:val="22"/>
                <w:szCs w:val="22"/>
              </w:rPr>
              <w:t>1</w:t>
            </w:r>
            <w:r>
              <w:rPr>
                <w:sz w:val="22"/>
                <w:szCs w:val="22"/>
              </w:rPr>
              <w:t>1</w:t>
            </w:r>
            <w:r w:rsidRPr="00B778A6">
              <w:rPr>
                <w:sz w:val="22"/>
                <w:szCs w:val="22"/>
              </w:rPr>
              <w:t>0000</w:t>
            </w:r>
            <w:r w:rsidR="0044093F" w:rsidRPr="00B778A6">
              <w:rPr>
                <w:sz w:val="22"/>
                <w:szCs w:val="22"/>
              </w:rPr>
              <w:t xml:space="preserve">,00 </w:t>
            </w:r>
          </w:p>
        </w:tc>
      </w:tr>
      <w:tr w:rsidR="0044093F" w:rsidRPr="00B778A6" w:rsidTr="00B778A6">
        <w:trPr>
          <w:trHeight w:val="57"/>
        </w:trPr>
        <w:tc>
          <w:tcPr>
            <w:tcW w:w="297" w:type="pct"/>
            <w:shd w:val="clear" w:color="auto" w:fill="auto"/>
            <w:vAlign w:val="center"/>
          </w:tcPr>
          <w:p w:rsidR="0044093F" w:rsidRPr="00B778A6" w:rsidRDefault="0044093F" w:rsidP="004F1732">
            <w:pPr>
              <w:jc w:val="center"/>
              <w:rPr>
                <w:rFonts w:eastAsia="Times New Roman"/>
                <w:sz w:val="22"/>
                <w:szCs w:val="22"/>
              </w:rPr>
            </w:pPr>
            <w:r w:rsidRPr="00B778A6">
              <w:rPr>
                <w:rFonts w:eastAsia="Times New Roman"/>
                <w:sz w:val="22"/>
                <w:szCs w:val="22"/>
              </w:rPr>
              <w:t>9.</w:t>
            </w:r>
          </w:p>
        </w:tc>
        <w:tc>
          <w:tcPr>
            <w:tcW w:w="3897" w:type="pct"/>
            <w:shd w:val="clear" w:color="auto" w:fill="auto"/>
            <w:noWrap/>
            <w:vAlign w:val="center"/>
          </w:tcPr>
          <w:p w:rsidR="0044093F" w:rsidRPr="00B778A6" w:rsidDel="0044093F" w:rsidRDefault="0044093F" w:rsidP="00B778A6">
            <w:pPr>
              <w:pStyle w:val="Default"/>
              <w:rPr>
                <w:sz w:val="22"/>
                <w:szCs w:val="22"/>
              </w:rPr>
            </w:pPr>
            <w:r w:rsidRPr="00B778A6">
              <w:rPr>
                <w:sz w:val="22"/>
                <w:szCs w:val="22"/>
              </w:rPr>
              <w:t xml:space="preserve">Geriamojo vandens sistemos atnaujinimas </w:t>
            </w:r>
          </w:p>
        </w:tc>
        <w:tc>
          <w:tcPr>
            <w:tcW w:w="807" w:type="pct"/>
            <w:shd w:val="clear" w:color="auto" w:fill="auto"/>
            <w:noWrap/>
            <w:vAlign w:val="center"/>
          </w:tcPr>
          <w:p w:rsidR="0044093F" w:rsidRPr="00B778A6" w:rsidDel="0044093F" w:rsidRDefault="0044093F" w:rsidP="00B778A6">
            <w:pPr>
              <w:pStyle w:val="Default"/>
              <w:jc w:val="center"/>
              <w:rPr>
                <w:sz w:val="22"/>
                <w:szCs w:val="22"/>
              </w:rPr>
            </w:pPr>
            <w:r w:rsidRPr="00B778A6">
              <w:rPr>
                <w:sz w:val="22"/>
                <w:szCs w:val="22"/>
              </w:rPr>
              <w:t xml:space="preserve">15000,00 </w:t>
            </w:r>
          </w:p>
        </w:tc>
      </w:tr>
      <w:tr w:rsidR="0044093F" w:rsidRPr="00B778A6" w:rsidTr="00B778A6">
        <w:trPr>
          <w:trHeight w:val="57"/>
        </w:trPr>
        <w:tc>
          <w:tcPr>
            <w:tcW w:w="297" w:type="pct"/>
            <w:shd w:val="clear" w:color="auto" w:fill="auto"/>
            <w:vAlign w:val="center"/>
          </w:tcPr>
          <w:p w:rsidR="0044093F" w:rsidRPr="00B778A6" w:rsidRDefault="0044093F" w:rsidP="004F1732">
            <w:pPr>
              <w:jc w:val="center"/>
              <w:rPr>
                <w:rFonts w:eastAsia="Times New Roman"/>
                <w:sz w:val="22"/>
                <w:szCs w:val="22"/>
              </w:rPr>
            </w:pPr>
            <w:r w:rsidRPr="00B778A6">
              <w:rPr>
                <w:rFonts w:eastAsia="Times New Roman"/>
                <w:sz w:val="22"/>
                <w:szCs w:val="22"/>
              </w:rPr>
              <w:t>10.</w:t>
            </w:r>
          </w:p>
        </w:tc>
        <w:tc>
          <w:tcPr>
            <w:tcW w:w="3897" w:type="pct"/>
            <w:shd w:val="clear" w:color="auto" w:fill="auto"/>
            <w:noWrap/>
            <w:vAlign w:val="center"/>
          </w:tcPr>
          <w:p w:rsidR="0044093F" w:rsidRPr="00B778A6" w:rsidDel="0044093F" w:rsidRDefault="0044093F" w:rsidP="00B778A6">
            <w:pPr>
              <w:pStyle w:val="Default"/>
              <w:rPr>
                <w:sz w:val="22"/>
                <w:szCs w:val="22"/>
              </w:rPr>
            </w:pPr>
            <w:r w:rsidRPr="00B778A6">
              <w:rPr>
                <w:sz w:val="22"/>
                <w:szCs w:val="22"/>
              </w:rPr>
              <w:t xml:space="preserve">Buitinių nuotekų sistemos atnaujinimas </w:t>
            </w:r>
          </w:p>
        </w:tc>
        <w:tc>
          <w:tcPr>
            <w:tcW w:w="807" w:type="pct"/>
            <w:shd w:val="clear" w:color="auto" w:fill="auto"/>
            <w:noWrap/>
            <w:vAlign w:val="center"/>
          </w:tcPr>
          <w:p w:rsidR="0044093F" w:rsidRPr="00B778A6" w:rsidDel="0044093F" w:rsidRDefault="0044093F" w:rsidP="00B778A6">
            <w:pPr>
              <w:pStyle w:val="Default"/>
              <w:jc w:val="center"/>
              <w:rPr>
                <w:sz w:val="22"/>
                <w:szCs w:val="22"/>
              </w:rPr>
            </w:pPr>
            <w:r w:rsidRPr="00B778A6">
              <w:rPr>
                <w:sz w:val="22"/>
                <w:szCs w:val="22"/>
              </w:rPr>
              <w:t xml:space="preserve">15000,00 </w:t>
            </w:r>
          </w:p>
        </w:tc>
      </w:tr>
      <w:tr w:rsidR="0044093F" w:rsidRPr="00B778A6" w:rsidTr="00B778A6">
        <w:trPr>
          <w:trHeight w:val="57"/>
        </w:trPr>
        <w:tc>
          <w:tcPr>
            <w:tcW w:w="297" w:type="pct"/>
            <w:shd w:val="clear" w:color="auto" w:fill="auto"/>
            <w:vAlign w:val="center"/>
          </w:tcPr>
          <w:p w:rsidR="0044093F" w:rsidRPr="00B778A6" w:rsidRDefault="0044093F" w:rsidP="004F1732">
            <w:pPr>
              <w:jc w:val="center"/>
              <w:rPr>
                <w:rFonts w:eastAsia="Times New Roman"/>
                <w:sz w:val="22"/>
                <w:szCs w:val="22"/>
              </w:rPr>
            </w:pPr>
            <w:r w:rsidRPr="00B778A6">
              <w:rPr>
                <w:rFonts w:eastAsia="Times New Roman"/>
                <w:sz w:val="22"/>
                <w:szCs w:val="22"/>
              </w:rPr>
              <w:t>11.</w:t>
            </w:r>
          </w:p>
        </w:tc>
        <w:tc>
          <w:tcPr>
            <w:tcW w:w="3897" w:type="pct"/>
            <w:shd w:val="clear" w:color="auto" w:fill="auto"/>
            <w:noWrap/>
            <w:vAlign w:val="center"/>
          </w:tcPr>
          <w:p w:rsidR="0044093F" w:rsidRPr="00B778A6" w:rsidDel="0044093F" w:rsidRDefault="0044093F" w:rsidP="00B778A6">
            <w:pPr>
              <w:pStyle w:val="Default"/>
              <w:rPr>
                <w:sz w:val="22"/>
                <w:szCs w:val="22"/>
              </w:rPr>
            </w:pPr>
            <w:r w:rsidRPr="00B778A6">
              <w:rPr>
                <w:sz w:val="22"/>
                <w:szCs w:val="22"/>
              </w:rPr>
              <w:t xml:space="preserve">Lietaus ir drenažo sistemų atnaujinimas </w:t>
            </w:r>
          </w:p>
        </w:tc>
        <w:tc>
          <w:tcPr>
            <w:tcW w:w="807" w:type="pct"/>
            <w:shd w:val="clear" w:color="auto" w:fill="auto"/>
            <w:noWrap/>
            <w:vAlign w:val="center"/>
          </w:tcPr>
          <w:p w:rsidR="0044093F" w:rsidRPr="00B778A6" w:rsidDel="0044093F" w:rsidRDefault="0044093F" w:rsidP="00B778A6">
            <w:pPr>
              <w:pStyle w:val="Default"/>
              <w:jc w:val="center"/>
              <w:rPr>
                <w:sz w:val="22"/>
                <w:szCs w:val="22"/>
              </w:rPr>
            </w:pPr>
            <w:r w:rsidRPr="00B778A6">
              <w:rPr>
                <w:sz w:val="22"/>
                <w:szCs w:val="22"/>
              </w:rPr>
              <w:t xml:space="preserve">15000,00 </w:t>
            </w:r>
          </w:p>
        </w:tc>
      </w:tr>
      <w:tr w:rsidR="0044093F" w:rsidRPr="00B778A6" w:rsidTr="00B778A6">
        <w:trPr>
          <w:trHeight w:val="57"/>
        </w:trPr>
        <w:tc>
          <w:tcPr>
            <w:tcW w:w="297" w:type="pct"/>
            <w:shd w:val="clear" w:color="auto" w:fill="auto"/>
            <w:vAlign w:val="center"/>
          </w:tcPr>
          <w:p w:rsidR="0044093F" w:rsidRPr="00B778A6" w:rsidRDefault="0044093F" w:rsidP="004F1732">
            <w:pPr>
              <w:jc w:val="center"/>
              <w:rPr>
                <w:rFonts w:eastAsia="Times New Roman"/>
                <w:sz w:val="22"/>
                <w:szCs w:val="22"/>
              </w:rPr>
            </w:pPr>
            <w:r w:rsidRPr="00B778A6">
              <w:rPr>
                <w:rFonts w:eastAsia="Times New Roman"/>
                <w:sz w:val="22"/>
                <w:szCs w:val="22"/>
              </w:rPr>
              <w:t>12.</w:t>
            </w:r>
          </w:p>
        </w:tc>
        <w:tc>
          <w:tcPr>
            <w:tcW w:w="3897" w:type="pct"/>
            <w:shd w:val="clear" w:color="auto" w:fill="auto"/>
            <w:noWrap/>
            <w:vAlign w:val="center"/>
          </w:tcPr>
          <w:p w:rsidR="0044093F" w:rsidRPr="00B778A6" w:rsidRDefault="0044093F" w:rsidP="0044093F">
            <w:pPr>
              <w:pStyle w:val="Default"/>
              <w:rPr>
                <w:sz w:val="22"/>
                <w:szCs w:val="22"/>
              </w:rPr>
            </w:pPr>
            <w:r w:rsidRPr="00B778A6">
              <w:rPr>
                <w:sz w:val="22"/>
                <w:szCs w:val="22"/>
              </w:rPr>
              <w:t xml:space="preserve">Įėjimo laiptų atnaujinimas </w:t>
            </w:r>
          </w:p>
        </w:tc>
        <w:tc>
          <w:tcPr>
            <w:tcW w:w="807" w:type="pct"/>
            <w:shd w:val="clear" w:color="auto" w:fill="auto"/>
            <w:noWrap/>
            <w:vAlign w:val="center"/>
          </w:tcPr>
          <w:p w:rsidR="0044093F" w:rsidRPr="00B778A6" w:rsidDel="0044093F" w:rsidRDefault="00437681" w:rsidP="00B778A6">
            <w:pPr>
              <w:pStyle w:val="Default"/>
              <w:jc w:val="center"/>
              <w:rPr>
                <w:sz w:val="22"/>
                <w:szCs w:val="22"/>
              </w:rPr>
            </w:pPr>
            <w:r>
              <w:rPr>
                <w:sz w:val="22"/>
                <w:szCs w:val="22"/>
              </w:rPr>
              <w:t>91</w:t>
            </w:r>
            <w:r w:rsidRPr="00B778A6">
              <w:rPr>
                <w:sz w:val="22"/>
                <w:szCs w:val="22"/>
              </w:rPr>
              <w:t>00</w:t>
            </w:r>
            <w:r w:rsidR="0044093F" w:rsidRPr="00B778A6">
              <w:rPr>
                <w:sz w:val="22"/>
                <w:szCs w:val="22"/>
              </w:rPr>
              <w:t xml:space="preserve">,00 </w:t>
            </w:r>
          </w:p>
        </w:tc>
      </w:tr>
      <w:tr w:rsidR="000E76CF" w:rsidRPr="00B778A6" w:rsidTr="00B778A6">
        <w:trPr>
          <w:trHeight w:val="57"/>
        </w:trPr>
        <w:tc>
          <w:tcPr>
            <w:tcW w:w="297" w:type="pct"/>
            <w:shd w:val="clear" w:color="auto" w:fill="auto"/>
            <w:vAlign w:val="center"/>
            <w:hideMark/>
          </w:tcPr>
          <w:p w:rsidR="000E76CF" w:rsidRPr="00B778A6" w:rsidRDefault="0044093F" w:rsidP="004F1732">
            <w:pPr>
              <w:jc w:val="center"/>
              <w:rPr>
                <w:rFonts w:eastAsia="Times New Roman"/>
                <w:sz w:val="22"/>
                <w:szCs w:val="22"/>
              </w:rPr>
            </w:pPr>
            <w:r w:rsidRPr="00B778A6">
              <w:rPr>
                <w:rFonts w:eastAsia="Times New Roman"/>
                <w:sz w:val="22"/>
                <w:szCs w:val="22"/>
              </w:rPr>
              <w:t>13.</w:t>
            </w:r>
          </w:p>
        </w:tc>
        <w:tc>
          <w:tcPr>
            <w:tcW w:w="3897" w:type="pct"/>
            <w:shd w:val="clear" w:color="auto" w:fill="auto"/>
            <w:noWrap/>
            <w:vAlign w:val="center"/>
          </w:tcPr>
          <w:p w:rsidR="000E76CF" w:rsidRPr="00B778A6" w:rsidRDefault="0044093F" w:rsidP="00B778A6">
            <w:pPr>
              <w:pStyle w:val="Default"/>
              <w:rPr>
                <w:sz w:val="22"/>
                <w:szCs w:val="22"/>
              </w:rPr>
            </w:pPr>
            <w:r w:rsidRPr="00B778A6">
              <w:rPr>
                <w:sz w:val="22"/>
                <w:szCs w:val="22"/>
              </w:rPr>
              <w:t xml:space="preserve">Stogelių virš įėjimų sutvarkymas </w:t>
            </w:r>
          </w:p>
        </w:tc>
        <w:tc>
          <w:tcPr>
            <w:tcW w:w="807" w:type="pct"/>
            <w:shd w:val="clear" w:color="auto" w:fill="auto"/>
            <w:noWrap/>
            <w:vAlign w:val="center"/>
          </w:tcPr>
          <w:p w:rsidR="000E76CF" w:rsidRPr="00B778A6" w:rsidRDefault="00437681" w:rsidP="00B778A6">
            <w:pPr>
              <w:pStyle w:val="Default"/>
              <w:jc w:val="center"/>
              <w:rPr>
                <w:sz w:val="22"/>
                <w:szCs w:val="22"/>
              </w:rPr>
            </w:pPr>
            <w:r>
              <w:rPr>
                <w:sz w:val="22"/>
                <w:szCs w:val="22"/>
              </w:rPr>
              <w:t>15</w:t>
            </w:r>
            <w:r w:rsidRPr="00B778A6">
              <w:rPr>
                <w:sz w:val="22"/>
                <w:szCs w:val="22"/>
              </w:rPr>
              <w:t>000</w:t>
            </w:r>
            <w:r w:rsidR="0044093F" w:rsidRPr="00B778A6">
              <w:rPr>
                <w:sz w:val="22"/>
                <w:szCs w:val="22"/>
              </w:rPr>
              <w:t xml:space="preserve">,02 </w:t>
            </w:r>
          </w:p>
        </w:tc>
      </w:tr>
      <w:tr w:rsidR="0044093F" w:rsidRPr="00B778A6" w:rsidTr="00B778A6">
        <w:trPr>
          <w:trHeight w:val="57"/>
        </w:trPr>
        <w:tc>
          <w:tcPr>
            <w:tcW w:w="297" w:type="pct"/>
            <w:shd w:val="clear" w:color="auto" w:fill="auto"/>
            <w:vAlign w:val="center"/>
          </w:tcPr>
          <w:p w:rsidR="0044093F" w:rsidRPr="00B778A6" w:rsidDel="0044093F" w:rsidRDefault="0044093F" w:rsidP="004F1732">
            <w:pPr>
              <w:jc w:val="center"/>
              <w:rPr>
                <w:rFonts w:eastAsia="Times New Roman"/>
                <w:sz w:val="22"/>
                <w:szCs w:val="22"/>
              </w:rPr>
            </w:pPr>
          </w:p>
        </w:tc>
        <w:tc>
          <w:tcPr>
            <w:tcW w:w="3897" w:type="pct"/>
            <w:shd w:val="clear" w:color="auto" w:fill="auto"/>
            <w:noWrap/>
            <w:vAlign w:val="center"/>
          </w:tcPr>
          <w:p w:rsidR="0044093F" w:rsidRPr="00B778A6" w:rsidRDefault="0044093F" w:rsidP="0044093F">
            <w:pPr>
              <w:pStyle w:val="Default"/>
              <w:rPr>
                <w:b/>
                <w:sz w:val="22"/>
                <w:szCs w:val="22"/>
              </w:rPr>
            </w:pPr>
            <w:r w:rsidRPr="00B778A6">
              <w:rPr>
                <w:b/>
                <w:sz w:val="22"/>
                <w:szCs w:val="22"/>
              </w:rPr>
              <w:t>VISO ENERGIJĄ NETAUPANČIŲ PRIEMONIŲ</w:t>
            </w:r>
          </w:p>
        </w:tc>
        <w:tc>
          <w:tcPr>
            <w:tcW w:w="807" w:type="pct"/>
            <w:shd w:val="clear" w:color="auto" w:fill="auto"/>
            <w:noWrap/>
            <w:vAlign w:val="center"/>
          </w:tcPr>
          <w:p w:rsidR="0044093F" w:rsidRPr="00B778A6" w:rsidRDefault="00437681" w:rsidP="00C668D4">
            <w:pPr>
              <w:pStyle w:val="Default"/>
              <w:jc w:val="center"/>
              <w:rPr>
                <w:sz w:val="22"/>
                <w:szCs w:val="22"/>
              </w:rPr>
            </w:pPr>
            <w:r w:rsidRPr="00B778A6">
              <w:rPr>
                <w:b/>
                <w:bCs/>
                <w:sz w:val="22"/>
                <w:szCs w:val="22"/>
              </w:rPr>
              <w:t>1</w:t>
            </w:r>
            <w:r>
              <w:rPr>
                <w:b/>
                <w:bCs/>
                <w:sz w:val="22"/>
                <w:szCs w:val="22"/>
              </w:rPr>
              <w:t>791</w:t>
            </w:r>
            <w:r w:rsidRPr="00B778A6">
              <w:rPr>
                <w:b/>
                <w:bCs/>
                <w:sz w:val="22"/>
                <w:szCs w:val="22"/>
              </w:rPr>
              <w:t>00</w:t>
            </w:r>
            <w:r w:rsidR="0044093F" w:rsidRPr="00B778A6">
              <w:rPr>
                <w:b/>
                <w:bCs/>
                <w:sz w:val="22"/>
                <w:szCs w:val="22"/>
              </w:rPr>
              <w:t xml:space="preserve">,02 </w:t>
            </w:r>
          </w:p>
        </w:tc>
      </w:tr>
    </w:tbl>
    <w:p w:rsidR="000E76CF" w:rsidRPr="00B778A6" w:rsidRDefault="000E76CF" w:rsidP="00292D6C">
      <w:pPr>
        <w:tabs>
          <w:tab w:val="left" w:pos="720"/>
        </w:tabs>
        <w:ind w:firstLine="720"/>
        <w:jc w:val="both"/>
        <w:rPr>
          <w:lang w:eastAsia="en-US"/>
        </w:rPr>
      </w:pPr>
    </w:p>
    <w:p w:rsidR="0017137F" w:rsidRPr="00B778A6" w:rsidRDefault="0017137F" w:rsidP="0017137F">
      <w:pPr>
        <w:tabs>
          <w:tab w:val="left" w:pos="720"/>
        </w:tabs>
        <w:ind w:firstLine="720"/>
        <w:jc w:val="both"/>
        <w:rPr>
          <w:b/>
          <w:lang w:eastAsia="en-US"/>
        </w:rPr>
      </w:pPr>
      <w:r w:rsidRPr="00B778A6">
        <w:rPr>
          <w:b/>
          <w:lang w:eastAsia="en-US"/>
        </w:rPr>
        <w:t>Paslaugos</w:t>
      </w:r>
    </w:p>
    <w:p w:rsidR="001E4A22" w:rsidRPr="00B778A6" w:rsidRDefault="001E4A22" w:rsidP="001E4A22">
      <w:pPr>
        <w:tabs>
          <w:tab w:val="left" w:pos="720"/>
        </w:tabs>
        <w:ind w:firstLine="720"/>
        <w:jc w:val="both"/>
        <w:rPr>
          <w:i/>
          <w:lang w:eastAsia="en-US"/>
        </w:rPr>
      </w:pPr>
      <w:r w:rsidRPr="00B778A6">
        <w:t xml:space="preserve">Atliekant darbus yra būtinos projektavimo, ekspertizės, techninės priežiūros, projekto vykdymo priežiūros paslaugos. Remiantis </w:t>
      </w:r>
      <w:r w:rsidR="000E76CF" w:rsidRPr="00B778A6">
        <w:rPr>
          <w:lang w:eastAsia="en-US"/>
        </w:rPr>
        <w:t>praktika</w:t>
      </w:r>
      <w:r w:rsidRPr="00B778A6">
        <w:t xml:space="preserve">, su darbais susijusioms paslaugoms skiriami </w:t>
      </w:r>
      <w:r w:rsidR="0044093F" w:rsidRPr="00B778A6">
        <w:t xml:space="preserve">6 </w:t>
      </w:r>
      <w:r w:rsidRPr="00B778A6">
        <w:t>% nuo darbų vertės. Projektavimo ir inžinerinių paslaugų išlaidos</w:t>
      </w:r>
      <w:r w:rsidR="000E76CF" w:rsidRPr="00B778A6">
        <w:t>, remiantis UAB „Sistela“</w:t>
      </w:r>
      <w:r w:rsidR="00E74BFD" w:rsidRPr="00B778A6">
        <w:t>,</w:t>
      </w:r>
      <w:r w:rsidRPr="00B778A6">
        <w:t xml:space="preserve"> paskirstomos taip:</w:t>
      </w:r>
    </w:p>
    <w:p w:rsidR="001E4A22" w:rsidRPr="00B778A6" w:rsidRDefault="001E4A22" w:rsidP="001E4A22">
      <w:pPr>
        <w:numPr>
          <w:ilvl w:val="0"/>
          <w:numId w:val="28"/>
        </w:numPr>
        <w:tabs>
          <w:tab w:val="left" w:pos="720"/>
        </w:tabs>
        <w:spacing w:after="200"/>
        <w:contextualSpacing/>
        <w:jc w:val="both"/>
      </w:pPr>
      <w:r w:rsidRPr="00B778A6">
        <w:t>72 % projektavimo darbams;</w:t>
      </w:r>
    </w:p>
    <w:p w:rsidR="001E4A22" w:rsidRPr="00B778A6" w:rsidRDefault="001E4A22" w:rsidP="001E4A22">
      <w:pPr>
        <w:numPr>
          <w:ilvl w:val="0"/>
          <w:numId w:val="28"/>
        </w:numPr>
        <w:tabs>
          <w:tab w:val="left" w:pos="720"/>
        </w:tabs>
        <w:spacing w:after="200"/>
        <w:contextualSpacing/>
        <w:jc w:val="both"/>
      </w:pPr>
      <w:r w:rsidRPr="00B778A6">
        <w:t>14 % statybos techninei priežiūrai;</w:t>
      </w:r>
    </w:p>
    <w:p w:rsidR="001E4A22" w:rsidRPr="00B778A6" w:rsidRDefault="001E4A22" w:rsidP="001E4A22">
      <w:pPr>
        <w:numPr>
          <w:ilvl w:val="0"/>
          <w:numId w:val="28"/>
        </w:numPr>
        <w:tabs>
          <w:tab w:val="left" w:pos="720"/>
        </w:tabs>
        <w:spacing w:after="200"/>
        <w:contextualSpacing/>
        <w:jc w:val="both"/>
      </w:pPr>
      <w:r w:rsidRPr="00B778A6">
        <w:t>7 % statinio projekto vykdymo priežiūrai;</w:t>
      </w:r>
    </w:p>
    <w:p w:rsidR="001E4A22" w:rsidRPr="00B778A6" w:rsidRDefault="001E4A22" w:rsidP="001E4A22">
      <w:pPr>
        <w:numPr>
          <w:ilvl w:val="0"/>
          <w:numId w:val="28"/>
        </w:numPr>
        <w:tabs>
          <w:tab w:val="left" w:pos="720"/>
        </w:tabs>
        <w:spacing w:after="200"/>
        <w:contextualSpacing/>
        <w:jc w:val="both"/>
      </w:pPr>
      <w:r w:rsidRPr="00B778A6">
        <w:t>7 % projekto ekspertizei.</w:t>
      </w:r>
    </w:p>
    <w:p w:rsidR="001E4A22" w:rsidRPr="00B778A6" w:rsidRDefault="001E4A22" w:rsidP="001E4A22">
      <w:pPr>
        <w:tabs>
          <w:tab w:val="left" w:pos="720"/>
        </w:tabs>
        <w:ind w:firstLine="720"/>
        <w:jc w:val="both"/>
        <w:rPr>
          <w:lang w:eastAsia="en-US"/>
        </w:rPr>
      </w:pPr>
    </w:p>
    <w:p w:rsidR="00530022" w:rsidRPr="00B778A6" w:rsidRDefault="00530022" w:rsidP="00530022">
      <w:pPr>
        <w:tabs>
          <w:tab w:val="left" w:pos="720"/>
        </w:tabs>
        <w:ind w:firstLine="720"/>
        <w:jc w:val="both"/>
        <w:rPr>
          <w:b/>
        </w:rPr>
      </w:pPr>
      <w:r w:rsidRPr="00B778A6">
        <w:rPr>
          <w:b/>
        </w:rPr>
        <w:t>Reinvesticijos</w:t>
      </w:r>
    </w:p>
    <w:p w:rsidR="00530022" w:rsidRPr="00B778A6" w:rsidRDefault="00530022" w:rsidP="00530022">
      <w:pPr>
        <w:tabs>
          <w:tab w:val="left" w:pos="720"/>
        </w:tabs>
        <w:ind w:firstLine="720"/>
        <w:jc w:val="both"/>
      </w:pPr>
      <w:r w:rsidRPr="00B778A6">
        <w:t>Nenumatomos, nes sukurtos infrastruktūros nereikės iš esmės atnaujinti ne mažiau kaip 25 metus.</w:t>
      </w:r>
    </w:p>
    <w:p w:rsidR="0017137F" w:rsidRPr="00B778A6" w:rsidRDefault="0017137F" w:rsidP="00292D6C">
      <w:pPr>
        <w:tabs>
          <w:tab w:val="left" w:pos="720"/>
        </w:tabs>
        <w:ind w:firstLine="720"/>
        <w:jc w:val="both"/>
        <w:rPr>
          <w:lang w:eastAsia="en-US"/>
        </w:rPr>
      </w:pPr>
    </w:p>
    <w:p w:rsidR="00292D6C" w:rsidRPr="00B778A6" w:rsidRDefault="00292D6C" w:rsidP="00292D6C">
      <w:pPr>
        <w:pStyle w:val="Default"/>
        <w:rPr>
          <w:u w:val="single"/>
        </w:rPr>
      </w:pPr>
      <w:r w:rsidRPr="00B778A6">
        <w:rPr>
          <w:u w:val="single"/>
        </w:rPr>
        <w:t>Alternatyva „</w:t>
      </w:r>
      <w:r w:rsidR="00B778A6">
        <w:rPr>
          <w:u w:val="single"/>
        </w:rPr>
        <w:t>Esamo pastato pardavimas ir naujo pastato statyba</w:t>
      </w:r>
      <w:r w:rsidRPr="00B778A6">
        <w:rPr>
          <w:u w:val="single"/>
        </w:rPr>
        <w:t>“</w:t>
      </w:r>
    </w:p>
    <w:p w:rsidR="00292D6C" w:rsidRPr="00B778A6" w:rsidRDefault="00292D6C" w:rsidP="00292D6C">
      <w:pPr>
        <w:tabs>
          <w:tab w:val="left" w:pos="720"/>
        </w:tabs>
        <w:ind w:firstLine="720"/>
        <w:jc w:val="both"/>
        <w:rPr>
          <w:lang w:eastAsia="en-US"/>
        </w:rPr>
      </w:pPr>
    </w:p>
    <w:p w:rsidR="007D507B" w:rsidRPr="00B778A6" w:rsidRDefault="007D507B" w:rsidP="007D507B">
      <w:pPr>
        <w:ind w:firstLine="720"/>
        <w:jc w:val="both"/>
        <w:rPr>
          <w:lang w:eastAsia="en-US"/>
        </w:rPr>
      </w:pPr>
      <w:r w:rsidRPr="00B778A6">
        <w:rPr>
          <w:lang w:eastAsia="en-US"/>
        </w:rPr>
        <w:t>Lentelėje</w:t>
      </w:r>
      <w:r w:rsidR="00A51954" w:rsidRPr="00B778A6">
        <w:rPr>
          <w:lang w:eastAsia="en-US"/>
        </w:rPr>
        <w:t xml:space="preserve"> pateikiamas projekto biudžetas.</w:t>
      </w:r>
    </w:p>
    <w:p w:rsidR="007D507B" w:rsidRPr="00B778A6" w:rsidRDefault="007D507B" w:rsidP="007D507B">
      <w:pPr>
        <w:tabs>
          <w:tab w:val="left" w:pos="720"/>
        </w:tabs>
        <w:ind w:firstLine="720"/>
        <w:jc w:val="both"/>
        <w:rPr>
          <w:lang w:eastAsia="en-US"/>
        </w:rPr>
      </w:pPr>
    </w:p>
    <w:p w:rsidR="007D507B" w:rsidRPr="00B778A6" w:rsidRDefault="007D507B" w:rsidP="007D507B">
      <w:pPr>
        <w:tabs>
          <w:tab w:val="left" w:pos="720"/>
        </w:tabs>
        <w:jc w:val="center"/>
        <w:rPr>
          <w:b/>
          <w:lang w:eastAsia="en-US"/>
        </w:rPr>
      </w:pPr>
      <w:r w:rsidRPr="00B778A6">
        <w:rPr>
          <w:b/>
          <w:lang w:eastAsia="en-US"/>
        </w:rPr>
        <w:t>4.3.1.</w:t>
      </w:r>
      <w:r w:rsidR="001E4A22" w:rsidRPr="00B778A6">
        <w:rPr>
          <w:b/>
          <w:lang w:eastAsia="en-US"/>
        </w:rPr>
        <w:t>3</w:t>
      </w:r>
      <w:r w:rsidRPr="00B778A6">
        <w:rPr>
          <w:b/>
          <w:lang w:eastAsia="en-US"/>
        </w:rPr>
        <w:t xml:space="preserve">. </w:t>
      </w:r>
      <w:r w:rsidR="000E6147">
        <w:rPr>
          <w:b/>
          <w:lang w:eastAsia="en-US"/>
        </w:rPr>
        <w:t>l</w:t>
      </w:r>
      <w:r w:rsidR="000E6147" w:rsidRPr="00B778A6">
        <w:rPr>
          <w:b/>
          <w:lang w:eastAsia="en-US"/>
        </w:rPr>
        <w:t>entelė</w:t>
      </w:r>
      <w:r w:rsidRPr="00B778A6">
        <w:rPr>
          <w:b/>
          <w:lang w:eastAsia="en-US"/>
        </w:rPr>
        <w:t>. Projekto biudžetas</w:t>
      </w:r>
      <w:r w:rsidR="00AC662E" w:rsidRPr="00B778A6">
        <w:rPr>
          <w:b/>
          <w:lang w:eastAsia="en-US"/>
        </w:rPr>
        <w:t xml:space="preserve"> (II alternatyva)</w:t>
      </w:r>
    </w:p>
    <w:tbl>
      <w:tblPr>
        <w:tblW w:w="4887" w:type="pct"/>
        <w:tblInd w:w="108" w:type="dxa"/>
        <w:tblLook w:val="04A0"/>
      </w:tblPr>
      <w:tblGrid>
        <w:gridCol w:w="737"/>
        <w:gridCol w:w="3941"/>
        <w:gridCol w:w="1277"/>
        <w:gridCol w:w="1152"/>
        <w:gridCol w:w="1262"/>
        <w:gridCol w:w="1262"/>
      </w:tblGrid>
      <w:tr w:rsidR="0044093F" w:rsidRPr="00B778A6" w:rsidTr="00B778A6">
        <w:trPr>
          <w:trHeight w:val="20"/>
        </w:trPr>
        <w:tc>
          <w:tcPr>
            <w:tcW w:w="383"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44093F" w:rsidRPr="00B778A6" w:rsidRDefault="0044093F" w:rsidP="0044093F">
            <w:pPr>
              <w:jc w:val="center"/>
              <w:rPr>
                <w:rFonts w:eastAsia="Times New Roman"/>
                <w:b/>
                <w:bCs/>
                <w:color w:val="000000"/>
                <w:sz w:val="22"/>
                <w:szCs w:val="22"/>
              </w:rPr>
            </w:pPr>
            <w:r w:rsidRPr="00B778A6">
              <w:rPr>
                <w:rFonts w:eastAsia="Times New Roman"/>
                <w:b/>
                <w:bCs/>
                <w:color w:val="000000"/>
                <w:sz w:val="22"/>
                <w:szCs w:val="22"/>
              </w:rPr>
              <w:t>Eil. Nr.</w:t>
            </w:r>
          </w:p>
        </w:tc>
        <w:tc>
          <w:tcPr>
            <w:tcW w:w="2046" w:type="pct"/>
            <w:tcBorders>
              <w:top w:val="single" w:sz="4" w:space="0" w:color="auto"/>
              <w:left w:val="nil"/>
              <w:bottom w:val="single" w:sz="4" w:space="0" w:color="auto"/>
              <w:right w:val="single" w:sz="4" w:space="0" w:color="auto"/>
            </w:tcBorders>
            <w:shd w:val="clear" w:color="000000" w:fill="BFBFBF"/>
            <w:vAlign w:val="center"/>
            <w:hideMark/>
          </w:tcPr>
          <w:p w:rsidR="0044093F" w:rsidRPr="00B778A6" w:rsidRDefault="0044093F" w:rsidP="0044093F">
            <w:pPr>
              <w:jc w:val="center"/>
              <w:rPr>
                <w:rFonts w:eastAsia="Times New Roman"/>
                <w:b/>
                <w:bCs/>
                <w:color w:val="000000"/>
                <w:sz w:val="22"/>
                <w:szCs w:val="22"/>
              </w:rPr>
            </w:pPr>
            <w:r w:rsidRPr="00B778A6">
              <w:rPr>
                <w:rFonts w:eastAsia="Times New Roman"/>
                <w:b/>
                <w:bCs/>
                <w:color w:val="000000"/>
                <w:sz w:val="22"/>
                <w:szCs w:val="22"/>
              </w:rPr>
              <w:t>Išlaidos</w:t>
            </w:r>
          </w:p>
        </w:tc>
        <w:tc>
          <w:tcPr>
            <w:tcW w:w="663" w:type="pct"/>
            <w:tcBorders>
              <w:top w:val="single" w:sz="4" w:space="0" w:color="auto"/>
              <w:left w:val="nil"/>
              <w:bottom w:val="single" w:sz="4" w:space="0" w:color="auto"/>
              <w:right w:val="single" w:sz="4" w:space="0" w:color="auto"/>
            </w:tcBorders>
            <w:shd w:val="clear" w:color="000000" w:fill="BFBFBF"/>
            <w:vAlign w:val="center"/>
            <w:hideMark/>
          </w:tcPr>
          <w:p w:rsidR="0044093F" w:rsidRPr="00B778A6" w:rsidRDefault="0044093F" w:rsidP="0044093F">
            <w:pPr>
              <w:jc w:val="center"/>
              <w:rPr>
                <w:rFonts w:eastAsia="Times New Roman"/>
                <w:b/>
                <w:bCs/>
                <w:color w:val="000000"/>
                <w:sz w:val="22"/>
                <w:szCs w:val="22"/>
              </w:rPr>
            </w:pPr>
            <w:r w:rsidRPr="00B778A6">
              <w:rPr>
                <w:rFonts w:eastAsia="Times New Roman"/>
                <w:b/>
                <w:bCs/>
                <w:color w:val="000000"/>
                <w:sz w:val="22"/>
                <w:szCs w:val="22"/>
              </w:rPr>
              <w:t>Suma su PVM, EUR</w:t>
            </w:r>
          </w:p>
        </w:tc>
        <w:tc>
          <w:tcPr>
            <w:tcW w:w="598" w:type="pct"/>
            <w:tcBorders>
              <w:top w:val="single" w:sz="4" w:space="0" w:color="auto"/>
              <w:left w:val="nil"/>
              <w:bottom w:val="single" w:sz="4" w:space="0" w:color="auto"/>
              <w:right w:val="single" w:sz="4" w:space="0" w:color="auto"/>
            </w:tcBorders>
            <w:shd w:val="clear" w:color="000000" w:fill="BFBFBF"/>
            <w:vAlign w:val="center"/>
            <w:hideMark/>
          </w:tcPr>
          <w:p w:rsidR="0044093F" w:rsidRPr="00B778A6" w:rsidRDefault="0044093F" w:rsidP="0044093F">
            <w:pPr>
              <w:jc w:val="center"/>
              <w:rPr>
                <w:rFonts w:eastAsia="Times New Roman"/>
                <w:b/>
                <w:bCs/>
                <w:color w:val="000000"/>
                <w:sz w:val="22"/>
                <w:szCs w:val="22"/>
              </w:rPr>
            </w:pPr>
            <w:r w:rsidRPr="00B778A6">
              <w:rPr>
                <w:rFonts w:eastAsia="Times New Roman"/>
                <w:b/>
                <w:bCs/>
                <w:color w:val="000000"/>
                <w:sz w:val="22"/>
                <w:szCs w:val="22"/>
              </w:rPr>
              <w:t>2022</w:t>
            </w:r>
          </w:p>
        </w:tc>
        <w:tc>
          <w:tcPr>
            <w:tcW w:w="655" w:type="pct"/>
            <w:tcBorders>
              <w:top w:val="single" w:sz="4" w:space="0" w:color="auto"/>
              <w:left w:val="nil"/>
              <w:bottom w:val="single" w:sz="4" w:space="0" w:color="auto"/>
              <w:right w:val="single" w:sz="4" w:space="0" w:color="auto"/>
            </w:tcBorders>
            <w:shd w:val="clear" w:color="000000" w:fill="BFBFBF"/>
            <w:vAlign w:val="center"/>
            <w:hideMark/>
          </w:tcPr>
          <w:p w:rsidR="0044093F" w:rsidRPr="00B778A6" w:rsidRDefault="0044093F" w:rsidP="0044093F">
            <w:pPr>
              <w:jc w:val="center"/>
              <w:rPr>
                <w:rFonts w:eastAsia="Times New Roman"/>
                <w:b/>
                <w:bCs/>
                <w:color w:val="000000"/>
                <w:sz w:val="22"/>
                <w:szCs w:val="22"/>
              </w:rPr>
            </w:pPr>
            <w:r w:rsidRPr="00B778A6">
              <w:rPr>
                <w:rFonts w:eastAsia="Times New Roman"/>
                <w:b/>
                <w:bCs/>
                <w:color w:val="000000"/>
                <w:sz w:val="22"/>
                <w:szCs w:val="22"/>
              </w:rPr>
              <w:t>2023</w:t>
            </w:r>
          </w:p>
        </w:tc>
        <w:tc>
          <w:tcPr>
            <w:tcW w:w="655" w:type="pct"/>
            <w:tcBorders>
              <w:top w:val="single" w:sz="4" w:space="0" w:color="auto"/>
              <w:left w:val="nil"/>
              <w:bottom w:val="single" w:sz="4" w:space="0" w:color="auto"/>
              <w:right w:val="single" w:sz="4" w:space="0" w:color="auto"/>
            </w:tcBorders>
            <w:shd w:val="clear" w:color="000000" w:fill="BFBFBF"/>
            <w:vAlign w:val="center"/>
            <w:hideMark/>
          </w:tcPr>
          <w:p w:rsidR="0044093F" w:rsidRPr="00B778A6" w:rsidRDefault="0044093F" w:rsidP="0044093F">
            <w:pPr>
              <w:jc w:val="center"/>
              <w:rPr>
                <w:rFonts w:eastAsia="Times New Roman"/>
                <w:b/>
                <w:bCs/>
                <w:color w:val="000000"/>
                <w:sz w:val="22"/>
                <w:szCs w:val="22"/>
              </w:rPr>
            </w:pPr>
            <w:r w:rsidRPr="00B778A6">
              <w:rPr>
                <w:rFonts w:eastAsia="Times New Roman"/>
                <w:b/>
                <w:bCs/>
                <w:color w:val="000000"/>
                <w:sz w:val="22"/>
                <w:szCs w:val="22"/>
              </w:rPr>
              <w:t>2024</w:t>
            </w:r>
          </w:p>
        </w:tc>
      </w:tr>
      <w:tr w:rsidR="00437681" w:rsidRPr="00B778A6" w:rsidTr="00C668D4">
        <w:trPr>
          <w:trHeight w:val="20"/>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437681" w:rsidRPr="00B778A6" w:rsidRDefault="00437681" w:rsidP="0044093F">
            <w:pPr>
              <w:jc w:val="center"/>
              <w:rPr>
                <w:rFonts w:eastAsia="Times New Roman"/>
                <w:color w:val="000000"/>
                <w:sz w:val="22"/>
                <w:szCs w:val="22"/>
              </w:rPr>
            </w:pPr>
            <w:r w:rsidRPr="00B778A6">
              <w:rPr>
                <w:rFonts w:eastAsia="Times New Roman"/>
                <w:color w:val="000000"/>
                <w:sz w:val="22"/>
                <w:szCs w:val="22"/>
              </w:rPr>
              <w:t>1</w:t>
            </w:r>
            <w:r>
              <w:rPr>
                <w:rFonts w:eastAsia="Times New Roman"/>
                <w:color w:val="000000"/>
                <w:sz w:val="22"/>
                <w:szCs w:val="22"/>
              </w:rPr>
              <w:t>.</w:t>
            </w:r>
          </w:p>
        </w:tc>
        <w:tc>
          <w:tcPr>
            <w:tcW w:w="2046" w:type="pct"/>
            <w:tcBorders>
              <w:top w:val="nil"/>
              <w:left w:val="nil"/>
              <w:bottom w:val="single" w:sz="4" w:space="0" w:color="auto"/>
              <w:right w:val="single" w:sz="4" w:space="0" w:color="auto"/>
            </w:tcBorders>
            <w:shd w:val="clear" w:color="auto" w:fill="auto"/>
            <w:noWrap/>
            <w:vAlign w:val="center"/>
            <w:hideMark/>
          </w:tcPr>
          <w:p w:rsidR="00437681" w:rsidRPr="00B778A6" w:rsidRDefault="00437681" w:rsidP="0044093F">
            <w:pPr>
              <w:rPr>
                <w:rFonts w:eastAsia="Times New Roman"/>
                <w:color w:val="000000"/>
                <w:sz w:val="22"/>
                <w:szCs w:val="22"/>
              </w:rPr>
            </w:pPr>
            <w:r w:rsidRPr="00B778A6">
              <w:rPr>
                <w:rFonts w:eastAsia="Times New Roman"/>
                <w:color w:val="000000"/>
                <w:sz w:val="22"/>
                <w:szCs w:val="22"/>
              </w:rPr>
              <w:t>Naujo pastato statyba</w:t>
            </w:r>
          </w:p>
        </w:tc>
        <w:tc>
          <w:tcPr>
            <w:tcW w:w="663" w:type="pct"/>
            <w:tcBorders>
              <w:top w:val="nil"/>
              <w:left w:val="nil"/>
              <w:bottom w:val="single" w:sz="4" w:space="0" w:color="auto"/>
              <w:right w:val="single" w:sz="4" w:space="0" w:color="auto"/>
            </w:tcBorders>
            <w:shd w:val="clear" w:color="auto" w:fill="auto"/>
            <w:noWrap/>
            <w:vAlign w:val="center"/>
            <w:hideMark/>
          </w:tcPr>
          <w:p w:rsidR="00437681" w:rsidRPr="00B778A6" w:rsidRDefault="00437681" w:rsidP="00C668D4">
            <w:pPr>
              <w:jc w:val="center"/>
              <w:rPr>
                <w:rFonts w:eastAsia="Times New Roman"/>
                <w:sz w:val="22"/>
                <w:szCs w:val="22"/>
              </w:rPr>
            </w:pPr>
            <w:r>
              <w:rPr>
                <w:sz w:val="22"/>
                <w:szCs w:val="22"/>
              </w:rPr>
              <w:t>3183200,00</w:t>
            </w:r>
          </w:p>
        </w:tc>
        <w:tc>
          <w:tcPr>
            <w:tcW w:w="598" w:type="pct"/>
            <w:tcBorders>
              <w:top w:val="nil"/>
              <w:left w:val="nil"/>
              <w:bottom w:val="single" w:sz="4" w:space="0" w:color="auto"/>
              <w:right w:val="single" w:sz="4" w:space="0" w:color="auto"/>
            </w:tcBorders>
            <w:shd w:val="clear" w:color="auto" w:fill="auto"/>
            <w:noWrap/>
            <w:vAlign w:val="center"/>
            <w:hideMark/>
          </w:tcPr>
          <w:p w:rsidR="00437681" w:rsidRPr="00B778A6" w:rsidRDefault="00437681" w:rsidP="00C668D4">
            <w:pPr>
              <w:jc w:val="center"/>
              <w:rPr>
                <w:rFonts w:eastAsia="Times New Roman"/>
                <w:color w:val="000000"/>
                <w:sz w:val="22"/>
                <w:szCs w:val="22"/>
              </w:rPr>
            </w:pPr>
          </w:p>
        </w:tc>
        <w:tc>
          <w:tcPr>
            <w:tcW w:w="655" w:type="pct"/>
            <w:tcBorders>
              <w:top w:val="nil"/>
              <w:left w:val="nil"/>
              <w:bottom w:val="single" w:sz="4" w:space="0" w:color="auto"/>
              <w:right w:val="single" w:sz="4" w:space="0" w:color="auto"/>
            </w:tcBorders>
            <w:shd w:val="clear" w:color="auto" w:fill="auto"/>
            <w:noWrap/>
            <w:vAlign w:val="center"/>
            <w:hideMark/>
          </w:tcPr>
          <w:p w:rsidR="00437681" w:rsidRPr="00B778A6" w:rsidRDefault="00437681" w:rsidP="00C668D4">
            <w:pPr>
              <w:jc w:val="center"/>
              <w:rPr>
                <w:rFonts w:eastAsia="Times New Roman"/>
                <w:color w:val="000000"/>
                <w:sz w:val="22"/>
                <w:szCs w:val="22"/>
              </w:rPr>
            </w:pPr>
            <w:r>
              <w:rPr>
                <w:color w:val="000000"/>
                <w:sz w:val="22"/>
                <w:szCs w:val="22"/>
              </w:rPr>
              <w:t>1591600,00</w:t>
            </w:r>
          </w:p>
        </w:tc>
        <w:tc>
          <w:tcPr>
            <w:tcW w:w="655" w:type="pct"/>
            <w:tcBorders>
              <w:top w:val="nil"/>
              <w:left w:val="nil"/>
              <w:bottom w:val="single" w:sz="4" w:space="0" w:color="auto"/>
              <w:right w:val="single" w:sz="4" w:space="0" w:color="auto"/>
            </w:tcBorders>
            <w:shd w:val="clear" w:color="auto" w:fill="auto"/>
            <w:noWrap/>
            <w:vAlign w:val="center"/>
            <w:hideMark/>
          </w:tcPr>
          <w:p w:rsidR="00437681" w:rsidRPr="00B778A6" w:rsidRDefault="00437681" w:rsidP="00C668D4">
            <w:pPr>
              <w:jc w:val="center"/>
              <w:rPr>
                <w:rFonts w:eastAsia="Times New Roman"/>
                <w:color w:val="000000"/>
                <w:sz w:val="22"/>
                <w:szCs w:val="22"/>
              </w:rPr>
            </w:pPr>
            <w:r>
              <w:rPr>
                <w:color w:val="000000"/>
                <w:sz w:val="22"/>
                <w:szCs w:val="22"/>
              </w:rPr>
              <w:t>1591600,00</w:t>
            </w:r>
          </w:p>
        </w:tc>
      </w:tr>
      <w:tr w:rsidR="00437681" w:rsidRPr="00B778A6" w:rsidTr="00C668D4">
        <w:trPr>
          <w:trHeight w:val="20"/>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437681" w:rsidRPr="00B778A6" w:rsidRDefault="00437681" w:rsidP="0044093F">
            <w:pPr>
              <w:jc w:val="center"/>
              <w:rPr>
                <w:rFonts w:eastAsia="Times New Roman"/>
                <w:color w:val="000000"/>
                <w:sz w:val="22"/>
                <w:szCs w:val="22"/>
              </w:rPr>
            </w:pPr>
            <w:r w:rsidRPr="00B778A6">
              <w:rPr>
                <w:rFonts w:eastAsia="Times New Roman"/>
                <w:color w:val="000000"/>
                <w:sz w:val="22"/>
                <w:szCs w:val="22"/>
              </w:rPr>
              <w:t>2</w:t>
            </w:r>
            <w:r>
              <w:rPr>
                <w:rFonts w:eastAsia="Times New Roman"/>
                <w:color w:val="000000"/>
                <w:sz w:val="22"/>
                <w:szCs w:val="22"/>
              </w:rPr>
              <w:t>.</w:t>
            </w:r>
          </w:p>
        </w:tc>
        <w:tc>
          <w:tcPr>
            <w:tcW w:w="2046" w:type="pct"/>
            <w:tcBorders>
              <w:top w:val="nil"/>
              <w:left w:val="nil"/>
              <w:bottom w:val="single" w:sz="4" w:space="0" w:color="auto"/>
              <w:right w:val="single" w:sz="4" w:space="0" w:color="auto"/>
            </w:tcBorders>
            <w:shd w:val="clear" w:color="auto" w:fill="auto"/>
            <w:noWrap/>
            <w:vAlign w:val="center"/>
            <w:hideMark/>
          </w:tcPr>
          <w:p w:rsidR="00437681" w:rsidRPr="00B778A6" w:rsidRDefault="00437681" w:rsidP="0044093F">
            <w:pPr>
              <w:rPr>
                <w:rFonts w:eastAsia="Times New Roman"/>
                <w:color w:val="000000"/>
                <w:sz w:val="22"/>
                <w:szCs w:val="22"/>
              </w:rPr>
            </w:pPr>
            <w:r w:rsidRPr="00B778A6">
              <w:rPr>
                <w:rFonts w:eastAsia="Times New Roman"/>
                <w:color w:val="000000"/>
                <w:sz w:val="22"/>
                <w:szCs w:val="22"/>
              </w:rPr>
              <w:t>Projektavimo ir inžinerinės paslaugos</w:t>
            </w:r>
          </w:p>
        </w:tc>
        <w:tc>
          <w:tcPr>
            <w:tcW w:w="663" w:type="pct"/>
            <w:tcBorders>
              <w:top w:val="nil"/>
              <w:left w:val="nil"/>
              <w:bottom w:val="single" w:sz="4" w:space="0" w:color="auto"/>
              <w:right w:val="single" w:sz="4" w:space="0" w:color="auto"/>
            </w:tcBorders>
            <w:shd w:val="clear" w:color="auto" w:fill="auto"/>
            <w:noWrap/>
            <w:vAlign w:val="center"/>
            <w:hideMark/>
          </w:tcPr>
          <w:p w:rsidR="00437681" w:rsidRPr="00B778A6" w:rsidRDefault="00437681" w:rsidP="00C668D4">
            <w:pPr>
              <w:jc w:val="center"/>
              <w:rPr>
                <w:rFonts w:eastAsia="Times New Roman"/>
                <w:color w:val="000000"/>
                <w:sz w:val="22"/>
                <w:szCs w:val="22"/>
              </w:rPr>
            </w:pPr>
            <w:r>
              <w:rPr>
                <w:color w:val="000000"/>
                <w:sz w:val="22"/>
                <w:szCs w:val="22"/>
              </w:rPr>
              <w:t>190992,00</w:t>
            </w:r>
          </w:p>
        </w:tc>
        <w:tc>
          <w:tcPr>
            <w:tcW w:w="598" w:type="pct"/>
            <w:tcBorders>
              <w:top w:val="nil"/>
              <w:left w:val="nil"/>
              <w:bottom w:val="single" w:sz="4" w:space="0" w:color="auto"/>
              <w:right w:val="single" w:sz="4" w:space="0" w:color="auto"/>
            </w:tcBorders>
            <w:shd w:val="clear" w:color="auto" w:fill="auto"/>
            <w:noWrap/>
            <w:vAlign w:val="center"/>
            <w:hideMark/>
          </w:tcPr>
          <w:p w:rsidR="00437681" w:rsidRPr="00B778A6" w:rsidRDefault="00437681" w:rsidP="00C668D4">
            <w:pPr>
              <w:jc w:val="center"/>
              <w:rPr>
                <w:rFonts w:eastAsia="Times New Roman"/>
                <w:color w:val="000000"/>
                <w:sz w:val="22"/>
                <w:szCs w:val="22"/>
              </w:rPr>
            </w:pPr>
            <w:r>
              <w:rPr>
                <w:color w:val="000000"/>
                <w:sz w:val="22"/>
                <w:szCs w:val="22"/>
              </w:rPr>
              <w:t>150883,68</w:t>
            </w:r>
          </w:p>
        </w:tc>
        <w:tc>
          <w:tcPr>
            <w:tcW w:w="655" w:type="pct"/>
            <w:tcBorders>
              <w:top w:val="nil"/>
              <w:left w:val="nil"/>
              <w:bottom w:val="single" w:sz="4" w:space="0" w:color="auto"/>
              <w:right w:val="single" w:sz="4" w:space="0" w:color="auto"/>
            </w:tcBorders>
            <w:shd w:val="clear" w:color="auto" w:fill="auto"/>
            <w:noWrap/>
            <w:vAlign w:val="center"/>
            <w:hideMark/>
          </w:tcPr>
          <w:p w:rsidR="00437681" w:rsidRPr="00B778A6" w:rsidRDefault="00437681" w:rsidP="00C668D4">
            <w:pPr>
              <w:jc w:val="center"/>
              <w:rPr>
                <w:rFonts w:eastAsia="Times New Roman"/>
                <w:color w:val="000000"/>
                <w:sz w:val="22"/>
                <w:szCs w:val="22"/>
              </w:rPr>
            </w:pPr>
            <w:r>
              <w:rPr>
                <w:color w:val="000000"/>
                <w:sz w:val="22"/>
                <w:szCs w:val="22"/>
              </w:rPr>
              <w:t>20054,16</w:t>
            </w:r>
          </w:p>
        </w:tc>
        <w:tc>
          <w:tcPr>
            <w:tcW w:w="655" w:type="pct"/>
            <w:tcBorders>
              <w:top w:val="nil"/>
              <w:left w:val="nil"/>
              <w:bottom w:val="single" w:sz="4" w:space="0" w:color="auto"/>
              <w:right w:val="single" w:sz="4" w:space="0" w:color="auto"/>
            </w:tcBorders>
            <w:shd w:val="clear" w:color="auto" w:fill="auto"/>
            <w:noWrap/>
            <w:vAlign w:val="center"/>
            <w:hideMark/>
          </w:tcPr>
          <w:p w:rsidR="00437681" w:rsidRPr="00B778A6" w:rsidRDefault="00437681" w:rsidP="00C668D4">
            <w:pPr>
              <w:jc w:val="center"/>
              <w:rPr>
                <w:rFonts w:eastAsia="Times New Roman"/>
                <w:color w:val="000000"/>
                <w:sz w:val="22"/>
                <w:szCs w:val="22"/>
              </w:rPr>
            </w:pPr>
            <w:r>
              <w:rPr>
                <w:color w:val="000000"/>
                <w:sz w:val="22"/>
                <w:szCs w:val="22"/>
              </w:rPr>
              <w:t>20054,16</w:t>
            </w:r>
          </w:p>
        </w:tc>
      </w:tr>
      <w:tr w:rsidR="00437681" w:rsidRPr="00B778A6" w:rsidTr="00C668D4">
        <w:trPr>
          <w:trHeight w:val="20"/>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437681" w:rsidRPr="00B778A6" w:rsidRDefault="00437681" w:rsidP="0044093F">
            <w:pPr>
              <w:jc w:val="center"/>
              <w:rPr>
                <w:rFonts w:eastAsia="Times New Roman"/>
                <w:b/>
                <w:bCs/>
                <w:color w:val="000000"/>
                <w:sz w:val="22"/>
                <w:szCs w:val="22"/>
              </w:rPr>
            </w:pPr>
            <w:r w:rsidRPr="00B778A6">
              <w:rPr>
                <w:rFonts w:eastAsia="Times New Roman"/>
                <w:b/>
                <w:bCs/>
                <w:color w:val="000000"/>
                <w:sz w:val="22"/>
                <w:szCs w:val="22"/>
              </w:rPr>
              <w:t> </w:t>
            </w:r>
          </w:p>
        </w:tc>
        <w:tc>
          <w:tcPr>
            <w:tcW w:w="2046" w:type="pct"/>
            <w:tcBorders>
              <w:top w:val="nil"/>
              <w:left w:val="nil"/>
              <w:bottom w:val="single" w:sz="4" w:space="0" w:color="auto"/>
              <w:right w:val="single" w:sz="4" w:space="0" w:color="auto"/>
            </w:tcBorders>
            <w:shd w:val="clear" w:color="auto" w:fill="auto"/>
            <w:noWrap/>
            <w:vAlign w:val="center"/>
            <w:hideMark/>
          </w:tcPr>
          <w:p w:rsidR="00437681" w:rsidRPr="00B778A6" w:rsidRDefault="00437681" w:rsidP="0044093F">
            <w:pPr>
              <w:rPr>
                <w:rFonts w:eastAsia="Times New Roman"/>
                <w:b/>
                <w:bCs/>
                <w:color w:val="000000"/>
                <w:sz w:val="22"/>
                <w:szCs w:val="22"/>
              </w:rPr>
            </w:pPr>
            <w:r w:rsidRPr="00B778A6">
              <w:rPr>
                <w:rFonts w:eastAsia="Times New Roman"/>
                <w:b/>
                <w:bCs/>
                <w:color w:val="000000"/>
                <w:sz w:val="22"/>
                <w:szCs w:val="22"/>
              </w:rPr>
              <w:t>VISO</w:t>
            </w:r>
          </w:p>
        </w:tc>
        <w:tc>
          <w:tcPr>
            <w:tcW w:w="663" w:type="pct"/>
            <w:tcBorders>
              <w:top w:val="nil"/>
              <w:left w:val="nil"/>
              <w:bottom w:val="single" w:sz="4" w:space="0" w:color="auto"/>
              <w:right w:val="single" w:sz="4" w:space="0" w:color="auto"/>
            </w:tcBorders>
            <w:shd w:val="clear" w:color="auto" w:fill="auto"/>
            <w:noWrap/>
            <w:vAlign w:val="center"/>
            <w:hideMark/>
          </w:tcPr>
          <w:p w:rsidR="00437681" w:rsidRPr="00B778A6" w:rsidRDefault="00437681" w:rsidP="00C668D4">
            <w:pPr>
              <w:jc w:val="center"/>
              <w:rPr>
                <w:rFonts w:eastAsia="Times New Roman"/>
                <w:b/>
                <w:bCs/>
                <w:color w:val="000000"/>
                <w:sz w:val="22"/>
                <w:szCs w:val="22"/>
              </w:rPr>
            </w:pPr>
            <w:r>
              <w:rPr>
                <w:b/>
                <w:bCs/>
                <w:color w:val="000000"/>
                <w:sz w:val="22"/>
                <w:szCs w:val="22"/>
              </w:rPr>
              <w:t>3374192,00</w:t>
            </w:r>
          </w:p>
        </w:tc>
        <w:tc>
          <w:tcPr>
            <w:tcW w:w="598" w:type="pct"/>
            <w:tcBorders>
              <w:top w:val="nil"/>
              <w:left w:val="nil"/>
              <w:bottom w:val="single" w:sz="4" w:space="0" w:color="auto"/>
              <w:right w:val="single" w:sz="4" w:space="0" w:color="auto"/>
            </w:tcBorders>
            <w:shd w:val="clear" w:color="auto" w:fill="auto"/>
            <w:noWrap/>
            <w:vAlign w:val="center"/>
            <w:hideMark/>
          </w:tcPr>
          <w:p w:rsidR="00437681" w:rsidRPr="00B778A6" w:rsidRDefault="00437681" w:rsidP="00C668D4">
            <w:pPr>
              <w:jc w:val="center"/>
              <w:rPr>
                <w:rFonts w:eastAsia="Times New Roman"/>
                <w:b/>
                <w:bCs/>
                <w:color w:val="000000"/>
                <w:sz w:val="22"/>
                <w:szCs w:val="22"/>
              </w:rPr>
            </w:pPr>
            <w:r>
              <w:rPr>
                <w:b/>
                <w:bCs/>
                <w:color w:val="000000"/>
                <w:sz w:val="22"/>
                <w:szCs w:val="22"/>
              </w:rPr>
              <w:t>150883,68</w:t>
            </w:r>
          </w:p>
        </w:tc>
        <w:tc>
          <w:tcPr>
            <w:tcW w:w="655" w:type="pct"/>
            <w:tcBorders>
              <w:top w:val="nil"/>
              <w:left w:val="nil"/>
              <w:bottom w:val="single" w:sz="4" w:space="0" w:color="auto"/>
              <w:right w:val="single" w:sz="4" w:space="0" w:color="auto"/>
            </w:tcBorders>
            <w:shd w:val="clear" w:color="auto" w:fill="auto"/>
            <w:noWrap/>
            <w:vAlign w:val="center"/>
            <w:hideMark/>
          </w:tcPr>
          <w:p w:rsidR="00437681" w:rsidRPr="00B778A6" w:rsidRDefault="00437681" w:rsidP="00C668D4">
            <w:pPr>
              <w:jc w:val="center"/>
              <w:rPr>
                <w:rFonts w:eastAsia="Times New Roman"/>
                <w:b/>
                <w:bCs/>
                <w:color w:val="000000"/>
                <w:sz w:val="22"/>
                <w:szCs w:val="22"/>
              </w:rPr>
            </w:pPr>
            <w:r>
              <w:rPr>
                <w:b/>
                <w:bCs/>
                <w:color w:val="000000"/>
                <w:sz w:val="22"/>
                <w:szCs w:val="22"/>
              </w:rPr>
              <w:t>1611654,16</w:t>
            </w:r>
          </w:p>
        </w:tc>
        <w:tc>
          <w:tcPr>
            <w:tcW w:w="655" w:type="pct"/>
            <w:tcBorders>
              <w:top w:val="nil"/>
              <w:left w:val="nil"/>
              <w:bottom w:val="single" w:sz="4" w:space="0" w:color="auto"/>
              <w:right w:val="single" w:sz="4" w:space="0" w:color="auto"/>
            </w:tcBorders>
            <w:shd w:val="clear" w:color="auto" w:fill="auto"/>
            <w:noWrap/>
            <w:vAlign w:val="center"/>
            <w:hideMark/>
          </w:tcPr>
          <w:p w:rsidR="00437681" w:rsidRPr="00B778A6" w:rsidRDefault="00437681" w:rsidP="00C668D4">
            <w:pPr>
              <w:jc w:val="center"/>
              <w:rPr>
                <w:rFonts w:eastAsia="Times New Roman"/>
                <w:b/>
                <w:bCs/>
                <w:color w:val="000000"/>
                <w:sz w:val="22"/>
                <w:szCs w:val="22"/>
              </w:rPr>
            </w:pPr>
            <w:r>
              <w:rPr>
                <w:b/>
                <w:bCs/>
                <w:color w:val="000000"/>
                <w:sz w:val="22"/>
                <w:szCs w:val="22"/>
              </w:rPr>
              <w:t>1611654,16</w:t>
            </w:r>
          </w:p>
        </w:tc>
      </w:tr>
    </w:tbl>
    <w:p w:rsidR="0011232A" w:rsidRPr="00B778A6" w:rsidRDefault="0011232A" w:rsidP="003F09D4">
      <w:pPr>
        <w:tabs>
          <w:tab w:val="left" w:pos="720"/>
        </w:tabs>
        <w:ind w:firstLine="720"/>
        <w:jc w:val="both"/>
        <w:rPr>
          <w:b/>
          <w:color w:val="000000"/>
          <w:lang w:eastAsia="en-US"/>
        </w:rPr>
      </w:pPr>
    </w:p>
    <w:p w:rsidR="00D553C7" w:rsidRPr="00B778A6" w:rsidRDefault="00F76B34" w:rsidP="00EC755B">
      <w:pPr>
        <w:tabs>
          <w:tab w:val="left" w:pos="720"/>
        </w:tabs>
        <w:ind w:firstLine="720"/>
        <w:jc w:val="both"/>
        <w:rPr>
          <w:b/>
          <w:lang w:eastAsia="en-US"/>
        </w:rPr>
      </w:pPr>
      <w:r w:rsidRPr="00B778A6">
        <w:rPr>
          <w:lang w:eastAsia="en-US"/>
        </w:rPr>
        <w:t xml:space="preserve">Vadovaujantis Sistela sustambintais įkainiais, 1 kub. m mokslo paskirties pastato nauja statyba kainuoja </w:t>
      </w:r>
      <w:r w:rsidR="00437681">
        <w:rPr>
          <w:lang w:eastAsia="en-US"/>
        </w:rPr>
        <w:t>apie 400</w:t>
      </w:r>
      <w:r w:rsidRPr="00B778A6">
        <w:rPr>
          <w:lang w:eastAsia="en-US"/>
        </w:rPr>
        <w:t xml:space="preserve"> EUR. Projektavimo ir inžinerinėms paslaugoms - analogiškas procentas kaip ir I alternatyvos atveju. Naujos statybos darbų trukmė ilgesnė - 2 metai.</w:t>
      </w:r>
      <w:r w:rsidRPr="00B778A6" w:rsidDel="00F76B34">
        <w:rPr>
          <w:lang w:eastAsia="en-US"/>
        </w:rPr>
        <w:t xml:space="preserve"> </w:t>
      </w:r>
    </w:p>
    <w:p w:rsidR="00F76B34" w:rsidRPr="00B778A6" w:rsidRDefault="00F76B34" w:rsidP="00EC755B">
      <w:pPr>
        <w:tabs>
          <w:tab w:val="left" w:pos="720"/>
        </w:tabs>
        <w:ind w:firstLine="720"/>
        <w:jc w:val="both"/>
        <w:rPr>
          <w:b/>
          <w:lang w:eastAsia="en-US"/>
        </w:rPr>
      </w:pPr>
    </w:p>
    <w:p w:rsidR="00EC755B" w:rsidRPr="00B778A6" w:rsidRDefault="00EC755B" w:rsidP="00EC755B">
      <w:pPr>
        <w:tabs>
          <w:tab w:val="left" w:pos="720"/>
        </w:tabs>
        <w:ind w:firstLine="720"/>
        <w:jc w:val="both"/>
        <w:rPr>
          <w:b/>
        </w:rPr>
      </w:pPr>
      <w:r w:rsidRPr="00B778A6">
        <w:rPr>
          <w:b/>
        </w:rPr>
        <w:t>Reinvesticijos</w:t>
      </w:r>
    </w:p>
    <w:p w:rsidR="00EC755B" w:rsidRPr="00B778A6" w:rsidRDefault="00EC755B" w:rsidP="00EC755B">
      <w:pPr>
        <w:tabs>
          <w:tab w:val="left" w:pos="720"/>
        </w:tabs>
        <w:ind w:firstLine="720"/>
        <w:jc w:val="both"/>
      </w:pPr>
      <w:r w:rsidRPr="00B778A6">
        <w:t>Nenumatomos, nes sukurtos infrastruktūros nereikės iš esmės atnaujinti ne mažiau kaip 25 metus.</w:t>
      </w:r>
    </w:p>
    <w:p w:rsidR="006B0DF9" w:rsidRDefault="006B0DF9" w:rsidP="00EC755B">
      <w:pPr>
        <w:tabs>
          <w:tab w:val="left" w:pos="720"/>
        </w:tabs>
        <w:ind w:firstLine="720"/>
        <w:jc w:val="both"/>
      </w:pPr>
    </w:p>
    <w:p w:rsidR="00B778A6" w:rsidRPr="00B778A6" w:rsidRDefault="00B778A6" w:rsidP="00EC755B">
      <w:pPr>
        <w:tabs>
          <w:tab w:val="left" w:pos="720"/>
        </w:tabs>
        <w:ind w:firstLine="720"/>
        <w:jc w:val="both"/>
      </w:pPr>
    </w:p>
    <w:p w:rsidR="00FD1BF7" w:rsidRPr="00B778A6" w:rsidRDefault="002F314C" w:rsidP="00B54573">
      <w:pPr>
        <w:pStyle w:val="Heading3"/>
        <w:rPr>
          <w:rFonts w:ascii="Times New Roman" w:hAnsi="Times New Roman"/>
        </w:rPr>
      </w:pPr>
      <w:bookmarkStart w:id="33" w:name="_Toc34924488"/>
      <w:r w:rsidRPr="00B778A6">
        <w:rPr>
          <w:rFonts w:ascii="Times New Roman" w:hAnsi="Times New Roman"/>
          <w:lang w:val="lt-LT"/>
        </w:rPr>
        <w:lastRenderedPageBreak/>
        <w:t>4</w:t>
      </w:r>
      <w:r w:rsidR="00FD1BF7" w:rsidRPr="00B778A6">
        <w:rPr>
          <w:rFonts w:ascii="Times New Roman" w:hAnsi="Times New Roman"/>
          <w:lang w:val="lt-LT"/>
        </w:rPr>
        <w:t xml:space="preserve">.3.2. </w:t>
      </w:r>
      <w:r w:rsidRPr="00B778A6">
        <w:rPr>
          <w:rFonts w:ascii="Times New Roman" w:hAnsi="Times New Roman"/>
          <w:lang w:val="lt-LT"/>
        </w:rPr>
        <w:t>I</w:t>
      </w:r>
      <w:r w:rsidR="00B54573" w:rsidRPr="00B778A6">
        <w:rPr>
          <w:rFonts w:ascii="Times New Roman" w:hAnsi="Times New Roman"/>
          <w:lang w:val="lt-LT"/>
        </w:rPr>
        <w:t>nvesticijų likutinė vertė</w:t>
      </w:r>
      <w:bookmarkEnd w:id="33"/>
    </w:p>
    <w:p w:rsidR="00292D6C" w:rsidRPr="00B778A6" w:rsidRDefault="00292D6C" w:rsidP="00292D6C">
      <w:pPr>
        <w:tabs>
          <w:tab w:val="left" w:pos="720"/>
        </w:tabs>
        <w:jc w:val="both"/>
        <w:rPr>
          <w:u w:val="single"/>
          <w:lang w:eastAsia="en-US"/>
        </w:rPr>
      </w:pPr>
    </w:p>
    <w:p w:rsidR="00AA44A5" w:rsidRPr="00B778A6" w:rsidRDefault="00AA44A5" w:rsidP="00AA44A5">
      <w:pPr>
        <w:tabs>
          <w:tab w:val="left" w:pos="720"/>
        </w:tabs>
        <w:jc w:val="both"/>
        <w:rPr>
          <w:lang w:eastAsia="en-US"/>
        </w:rPr>
      </w:pPr>
      <w:r w:rsidRPr="00B778A6">
        <w:rPr>
          <w:u w:val="single"/>
          <w:lang w:eastAsia="en-US"/>
        </w:rPr>
        <w:t>Alternatyva „</w:t>
      </w:r>
      <w:r w:rsidR="00B778A6">
        <w:rPr>
          <w:u w:val="single"/>
          <w:lang w:eastAsia="en-US"/>
        </w:rPr>
        <w:t>Esamo pastato/patalpų dalies kapitalinis remontas</w:t>
      </w:r>
      <w:r w:rsidRPr="00B778A6">
        <w:rPr>
          <w:u w:val="single"/>
          <w:lang w:eastAsia="en-US"/>
        </w:rPr>
        <w:t>“</w:t>
      </w:r>
    </w:p>
    <w:p w:rsidR="00AA44A5" w:rsidRPr="00B778A6" w:rsidRDefault="00AA44A5" w:rsidP="00AA44A5">
      <w:pPr>
        <w:tabs>
          <w:tab w:val="left" w:pos="720"/>
        </w:tabs>
        <w:ind w:firstLine="720"/>
        <w:jc w:val="both"/>
        <w:rPr>
          <w:lang w:eastAsia="en-US"/>
        </w:rPr>
      </w:pPr>
    </w:p>
    <w:p w:rsidR="00715B3B" w:rsidRDefault="00715B3B" w:rsidP="00AA44A5">
      <w:pPr>
        <w:tabs>
          <w:tab w:val="left" w:pos="720"/>
        </w:tabs>
        <w:ind w:firstLine="720"/>
        <w:jc w:val="both"/>
        <w:rPr>
          <w:color w:val="000000"/>
        </w:rPr>
      </w:pPr>
      <w:r w:rsidRPr="00715B3B">
        <w:rPr>
          <w:color w:val="000000"/>
        </w:rPr>
        <w:t>Vadovaujantis 2009 m. birželio 10 d. įsakymu Nr. 564 LR Vyriausybės patvirtinto "Ilgalaikio turto nusidėvėjimo (amortizacijos) minimalių ir maksimalių ekonominių normatyvų viešojo sektoriaus subjektams sąrašo" 5.2 p., nustatytas amortizacijos laikotarpis „Pastatai“ – 75 metai. Apskaičiuota likutinė vertė: (899790,67+179100,02)*(75-24)/75=733645,67 EUR.</w:t>
      </w:r>
    </w:p>
    <w:p w:rsidR="00F06576" w:rsidRPr="00B778A6" w:rsidRDefault="00F06576" w:rsidP="00AA44A5">
      <w:pPr>
        <w:tabs>
          <w:tab w:val="left" w:pos="720"/>
        </w:tabs>
        <w:ind w:firstLine="720"/>
        <w:jc w:val="both"/>
        <w:rPr>
          <w:lang w:eastAsia="en-US"/>
        </w:rPr>
      </w:pPr>
    </w:p>
    <w:p w:rsidR="00AA44A5" w:rsidRPr="00B778A6" w:rsidRDefault="00AA44A5" w:rsidP="00AA44A5">
      <w:pPr>
        <w:pStyle w:val="Default"/>
        <w:rPr>
          <w:u w:val="single"/>
        </w:rPr>
      </w:pPr>
      <w:r w:rsidRPr="00B778A6">
        <w:rPr>
          <w:u w:val="single"/>
        </w:rPr>
        <w:t>Alternatyva „</w:t>
      </w:r>
      <w:r w:rsidR="00B778A6">
        <w:rPr>
          <w:u w:val="single"/>
        </w:rPr>
        <w:t>Esamo pastato pardavimas ir naujo pastato statyba</w:t>
      </w:r>
      <w:r w:rsidRPr="00B778A6">
        <w:rPr>
          <w:u w:val="single"/>
        </w:rPr>
        <w:t>“</w:t>
      </w:r>
    </w:p>
    <w:p w:rsidR="00AA44A5" w:rsidRPr="00B778A6" w:rsidRDefault="00AA44A5" w:rsidP="00AA44A5">
      <w:pPr>
        <w:tabs>
          <w:tab w:val="left" w:pos="720"/>
        </w:tabs>
        <w:ind w:firstLine="720"/>
        <w:jc w:val="both"/>
        <w:rPr>
          <w:lang w:eastAsia="en-US"/>
        </w:rPr>
      </w:pPr>
    </w:p>
    <w:p w:rsidR="00981BA4" w:rsidRPr="00B778A6" w:rsidRDefault="00715B3B" w:rsidP="00292D6C">
      <w:pPr>
        <w:tabs>
          <w:tab w:val="left" w:pos="720"/>
        </w:tabs>
        <w:ind w:firstLine="720"/>
        <w:jc w:val="both"/>
      </w:pPr>
      <w:r w:rsidRPr="00715B3B">
        <w:rPr>
          <w:color w:val="000000"/>
        </w:rPr>
        <w:t>Vadovaujantis 2009 m. birželio 10 d. įsakymu Nr. 564 LR Vyriausybės patvirtinto "Ilgalaikio turto nusidėvėjimo (amortizacijos) minimalių ir maksimalių ekonominių normatyvų viešojo sektoriaus subjektams sąrašo" 5.2 p., nustatytas amortizacijos laikotarpis „Pastatai“ – 75 metai. Apskaičiuota likutinė vertė: (3183200)*(75-23)/75=2207018,67 EUR.</w:t>
      </w:r>
      <w:r w:rsidR="00F06576" w:rsidRPr="00B778A6">
        <w:rPr>
          <w:color w:val="000000"/>
        </w:rPr>
        <w:tab/>
      </w:r>
      <w:r w:rsidR="00F06576" w:rsidRPr="00B778A6">
        <w:rPr>
          <w:color w:val="000000"/>
        </w:rPr>
        <w:tab/>
      </w:r>
    </w:p>
    <w:p w:rsidR="00FD1BF7" w:rsidRPr="00B778A6" w:rsidRDefault="002F314C" w:rsidP="00B54573">
      <w:pPr>
        <w:pStyle w:val="Heading3"/>
        <w:rPr>
          <w:rFonts w:ascii="Times New Roman" w:hAnsi="Times New Roman"/>
        </w:rPr>
      </w:pPr>
      <w:bookmarkStart w:id="34" w:name="_Toc34924489"/>
      <w:r w:rsidRPr="00B778A6">
        <w:rPr>
          <w:rFonts w:ascii="Times New Roman" w:hAnsi="Times New Roman"/>
          <w:lang w:val="lt-LT"/>
        </w:rPr>
        <w:t>4</w:t>
      </w:r>
      <w:r w:rsidR="00B54573" w:rsidRPr="00B778A6">
        <w:rPr>
          <w:rFonts w:ascii="Times New Roman" w:hAnsi="Times New Roman"/>
          <w:lang w:val="lt-LT"/>
        </w:rPr>
        <w:t xml:space="preserve">.3.3. </w:t>
      </w:r>
      <w:r w:rsidRPr="00B778A6">
        <w:rPr>
          <w:rFonts w:ascii="Times New Roman" w:hAnsi="Times New Roman"/>
          <w:lang w:val="lt-LT"/>
        </w:rPr>
        <w:t>V</w:t>
      </w:r>
      <w:r w:rsidR="00B54573" w:rsidRPr="00B778A6">
        <w:rPr>
          <w:rFonts w:ascii="Times New Roman" w:hAnsi="Times New Roman"/>
          <w:lang w:val="lt-LT"/>
        </w:rPr>
        <w:t>eiklos pajamos</w:t>
      </w:r>
      <w:bookmarkEnd w:id="34"/>
    </w:p>
    <w:p w:rsidR="00292D6C" w:rsidRPr="00B778A6" w:rsidRDefault="00292D6C" w:rsidP="00292D6C">
      <w:pPr>
        <w:tabs>
          <w:tab w:val="left" w:pos="720"/>
        </w:tabs>
        <w:jc w:val="both"/>
        <w:rPr>
          <w:u w:val="single"/>
          <w:lang w:eastAsia="en-US"/>
        </w:rPr>
      </w:pPr>
    </w:p>
    <w:p w:rsidR="00F06576" w:rsidRPr="00B778A6" w:rsidRDefault="00F06576" w:rsidP="00F06576">
      <w:pPr>
        <w:tabs>
          <w:tab w:val="left" w:pos="720"/>
        </w:tabs>
        <w:jc w:val="both"/>
        <w:rPr>
          <w:lang w:eastAsia="en-US"/>
        </w:rPr>
      </w:pPr>
      <w:r w:rsidRPr="00B778A6">
        <w:rPr>
          <w:u w:val="single"/>
          <w:lang w:eastAsia="en-US"/>
        </w:rPr>
        <w:t>Alternatyva „</w:t>
      </w:r>
      <w:r w:rsidR="00B778A6">
        <w:rPr>
          <w:u w:val="single"/>
          <w:lang w:eastAsia="en-US"/>
        </w:rPr>
        <w:t>Esamo pastato/patalpų dalies kapitalinis remontas</w:t>
      </w:r>
      <w:r w:rsidRPr="00B778A6">
        <w:rPr>
          <w:u w:val="single"/>
          <w:lang w:eastAsia="en-US"/>
        </w:rPr>
        <w:t>“</w:t>
      </w:r>
    </w:p>
    <w:p w:rsidR="00F06576" w:rsidRPr="00B778A6" w:rsidRDefault="00F06576" w:rsidP="00292D6C">
      <w:pPr>
        <w:tabs>
          <w:tab w:val="left" w:pos="720"/>
        </w:tabs>
        <w:jc w:val="both"/>
        <w:rPr>
          <w:u w:val="single"/>
          <w:lang w:eastAsia="en-US"/>
        </w:rPr>
      </w:pPr>
    </w:p>
    <w:p w:rsidR="00050891" w:rsidRPr="00B778A6" w:rsidRDefault="00B15E94" w:rsidP="00292D6C">
      <w:pPr>
        <w:tabs>
          <w:tab w:val="left" w:pos="720"/>
        </w:tabs>
        <w:ind w:firstLine="720"/>
        <w:jc w:val="both"/>
      </w:pPr>
      <w:r w:rsidRPr="00B778A6">
        <w:rPr>
          <w:lang w:eastAsia="en-US"/>
        </w:rPr>
        <w:t>Neplanuojamos.</w:t>
      </w:r>
      <w:r w:rsidR="00F06576" w:rsidRPr="00B778A6">
        <w:rPr>
          <w:lang w:eastAsia="en-US"/>
        </w:rPr>
        <w:tab/>
      </w:r>
      <w:r w:rsidR="00F06576" w:rsidRPr="00B778A6">
        <w:rPr>
          <w:lang w:eastAsia="en-US"/>
        </w:rPr>
        <w:tab/>
      </w:r>
      <w:r w:rsidR="00F06576" w:rsidRPr="00B778A6">
        <w:rPr>
          <w:lang w:eastAsia="en-US"/>
        </w:rPr>
        <w:tab/>
      </w:r>
    </w:p>
    <w:p w:rsidR="00292D6C" w:rsidRPr="00B778A6" w:rsidRDefault="00292D6C" w:rsidP="00FD1BF7">
      <w:pPr>
        <w:pStyle w:val="ColorfulList-Accent11"/>
        <w:rPr>
          <w:szCs w:val="24"/>
        </w:rPr>
      </w:pPr>
    </w:p>
    <w:p w:rsidR="00F06576" w:rsidRPr="00B778A6" w:rsidRDefault="00F06576" w:rsidP="00F06576">
      <w:pPr>
        <w:pStyle w:val="ColorfulList-Accent11"/>
        <w:ind w:left="0"/>
        <w:rPr>
          <w:u w:val="single"/>
        </w:rPr>
      </w:pPr>
      <w:r w:rsidRPr="00B778A6">
        <w:rPr>
          <w:u w:val="single"/>
        </w:rPr>
        <w:t>Alternatyva „</w:t>
      </w:r>
      <w:r w:rsidR="00B778A6">
        <w:rPr>
          <w:u w:val="single"/>
        </w:rPr>
        <w:t>Esamo pastato pardavimas ir naujo pastato statyba</w:t>
      </w:r>
      <w:r w:rsidRPr="00B778A6">
        <w:rPr>
          <w:u w:val="single"/>
        </w:rPr>
        <w:t>“</w:t>
      </w:r>
    </w:p>
    <w:p w:rsidR="00F06576" w:rsidRPr="00B778A6" w:rsidRDefault="00F06576" w:rsidP="00F06576">
      <w:pPr>
        <w:pStyle w:val="ColorfulList-Accent11"/>
        <w:ind w:left="0"/>
        <w:rPr>
          <w:u w:val="single"/>
        </w:rPr>
      </w:pPr>
    </w:p>
    <w:p w:rsidR="00F06576" w:rsidRPr="00B778A6" w:rsidRDefault="00F06576" w:rsidP="00424CF6">
      <w:pPr>
        <w:tabs>
          <w:tab w:val="left" w:pos="720"/>
        </w:tabs>
        <w:ind w:firstLine="720"/>
        <w:jc w:val="both"/>
        <w:rPr>
          <w:lang w:eastAsia="en-US"/>
        </w:rPr>
      </w:pPr>
      <w:r w:rsidRPr="00B778A6">
        <w:rPr>
          <w:lang w:eastAsia="en-US"/>
        </w:rPr>
        <w:t xml:space="preserve">Pastato, esančio </w:t>
      </w:r>
      <w:r w:rsidR="002675B4" w:rsidRPr="00B778A6">
        <w:rPr>
          <w:lang w:eastAsia="en-US"/>
        </w:rPr>
        <w:t>Statybininkų g. 17</w:t>
      </w:r>
      <w:r w:rsidRPr="00B778A6">
        <w:rPr>
          <w:lang w:eastAsia="en-US"/>
        </w:rPr>
        <w:t xml:space="preserve">, </w:t>
      </w:r>
      <w:r w:rsidR="00B15E94" w:rsidRPr="00B778A6">
        <w:rPr>
          <w:lang w:eastAsia="en-US"/>
        </w:rPr>
        <w:t>Prienai</w:t>
      </w:r>
      <w:r w:rsidRPr="00B778A6">
        <w:rPr>
          <w:lang w:eastAsia="en-US"/>
        </w:rPr>
        <w:t xml:space="preserve">, pardavimas. Pastačius naują pastatą, esamą planuojama parduoti. Vadovaujantis </w:t>
      </w:r>
      <w:r w:rsidR="00B15E94" w:rsidRPr="00B778A6">
        <w:rPr>
          <w:lang w:eastAsia="en-US"/>
        </w:rPr>
        <w:t>registrų centro duomenimis, 2022-01-01 d. ši pastato vidutinė rinkos vertė siekia 150000</w:t>
      </w:r>
      <w:r w:rsidR="00715B3B">
        <w:rPr>
          <w:lang w:eastAsia="en-US"/>
        </w:rPr>
        <w:t>,00</w:t>
      </w:r>
      <w:r w:rsidR="00B15E94" w:rsidRPr="00B778A6">
        <w:rPr>
          <w:lang w:eastAsia="en-US"/>
        </w:rPr>
        <w:t xml:space="preserve"> EUR.</w:t>
      </w:r>
      <w:r w:rsidR="00424CF6" w:rsidRPr="00B778A6">
        <w:rPr>
          <w:lang w:eastAsia="en-US"/>
        </w:rPr>
        <w:tab/>
        <w:t xml:space="preserve"> </w:t>
      </w:r>
      <w:r w:rsidRPr="00B778A6">
        <w:rPr>
          <w:lang w:eastAsia="en-US"/>
        </w:rPr>
        <w:tab/>
      </w:r>
      <w:r w:rsidRPr="00B778A6">
        <w:rPr>
          <w:lang w:eastAsia="en-US"/>
        </w:rPr>
        <w:tab/>
      </w:r>
      <w:r w:rsidRPr="00B778A6">
        <w:rPr>
          <w:lang w:eastAsia="en-US"/>
        </w:rPr>
        <w:tab/>
      </w:r>
    </w:p>
    <w:p w:rsidR="00F06576" w:rsidRPr="00B778A6" w:rsidRDefault="00F06576" w:rsidP="00424CF6">
      <w:pPr>
        <w:tabs>
          <w:tab w:val="left" w:pos="720"/>
        </w:tabs>
        <w:ind w:firstLine="720"/>
        <w:jc w:val="both"/>
      </w:pPr>
      <w:r w:rsidRPr="00B778A6">
        <w:tab/>
      </w:r>
      <w:r w:rsidRPr="00B778A6">
        <w:tab/>
      </w:r>
      <w:r w:rsidRPr="00B778A6">
        <w:tab/>
      </w:r>
    </w:p>
    <w:p w:rsidR="00FD1BF7" w:rsidRPr="00B778A6" w:rsidRDefault="002F314C" w:rsidP="00B54573">
      <w:pPr>
        <w:pStyle w:val="Heading3"/>
        <w:rPr>
          <w:rFonts w:ascii="Times New Roman" w:hAnsi="Times New Roman"/>
        </w:rPr>
      </w:pPr>
      <w:bookmarkStart w:id="35" w:name="_Toc34924490"/>
      <w:r w:rsidRPr="00B778A6">
        <w:rPr>
          <w:rFonts w:ascii="Times New Roman" w:hAnsi="Times New Roman"/>
          <w:lang w:val="lt-LT"/>
        </w:rPr>
        <w:t>4</w:t>
      </w:r>
      <w:r w:rsidR="00B54573" w:rsidRPr="00B778A6">
        <w:rPr>
          <w:rFonts w:ascii="Times New Roman" w:hAnsi="Times New Roman"/>
          <w:lang w:val="lt-LT"/>
        </w:rPr>
        <w:t xml:space="preserve">.3.4. </w:t>
      </w:r>
      <w:r w:rsidRPr="00B778A6">
        <w:rPr>
          <w:rFonts w:ascii="Times New Roman" w:hAnsi="Times New Roman"/>
          <w:lang w:val="lt-LT"/>
        </w:rPr>
        <w:t>V</w:t>
      </w:r>
      <w:r w:rsidR="00B54573" w:rsidRPr="00B778A6">
        <w:rPr>
          <w:rFonts w:ascii="Times New Roman" w:hAnsi="Times New Roman"/>
          <w:lang w:val="lt-LT"/>
        </w:rPr>
        <w:t>eiklos išlaidos</w:t>
      </w:r>
      <w:bookmarkEnd w:id="35"/>
    </w:p>
    <w:p w:rsidR="00292D6C" w:rsidRPr="00B778A6" w:rsidRDefault="00292D6C" w:rsidP="00292D6C">
      <w:pPr>
        <w:tabs>
          <w:tab w:val="left" w:pos="720"/>
        </w:tabs>
        <w:jc w:val="both"/>
        <w:rPr>
          <w:u w:val="single"/>
          <w:lang w:eastAsia="en-US"/>
        </w:rPr>
      </w:pPr>
    </w:p>
    <w:p w:rsidR="00D12DEF" w:rsidRPr="00B778A6" w:rsidRDefault="00D12DEF" w:rsidP="00292D6C">
      <w:pPr>
        <w:tabs>
          <w:tab w:val="left" w:pos="720"/>
        </w:tabs>
        <w:jc w:val="both"/>
        <w:rPr>
          <w:lang w:eastAsia="en-US"/>
        </w:rPr>
      </w:pPr>
      <w:r w:rsidRPr="00B778A6">
        <w:rPr>
          <w:lang w:eastAsia="en-US"/>
        </w:rPr>
        <w:tab/>
        <w:t>Dėl projekto įgyvendinimo pasikeis šios išlaidos:</w:t>
      </w:r>
    </w:p>
    <w:p w:rsidR="00424CF6" w:rsidRPr="00B778A6" w:rsidRDefault="00424CF6" w:rsidP="00424CF6">
      <w:pPr>
        <w:tabs>
          <w:tab w:val="left" w:pos="720"/>
        </w:tabs>
        <w:jc w:val="both"/>
        <w:rPr>
          <w:lang w:eastAsia="en-US"/>
        </w:rPr>
      </w:pPr>
    </w:p>
    <w:p w:rsidR="00424CF6" w:rsidRPr="00B778A6" w:rsidRDefault="00424CF6" w:rsidP="00424CF6">
      <w:pPr>
        <w:tabs>
          <w:tab w:val="left" w:pos="720"/>
        </w:tabs>
        <w:jc w:val="both"/>
        <w:rPr>
          <w:lang w:eastAsia="en-US"/>
        </w:rPr>
      </w:pPr>
      <w:r w:rsidRPr="00B778A6">
        <w:rPr>
          <w:u w:val="single"/>
          <w:lang w:eastAsia="en-US"/>
        </w:rPr>
        <w:t>Alternatyva „</w:t>
      </w:r>
      <w:r w:rsidR="00B778A6">
        <w:rPr>
          <w:u w:val="single"/>
          <w:lang w:eastAsia="en-US"/>
        </w:rPr>
        <w:t>Esamo pastato/patalpų dalies kapitalinis remontas</w:t>
      </w:r>
      <w:r w:rsidRPr="00B778A6">
        <w:rPr>
          <w:u w:val="single"/>
          <w:lang w:eastAsia="en-US"/>
        </w:rPr>
        <w:t>“</w:t>
      </w:r>
    </w:p>
    <w:p w:rsidR="00424CF6" w:rsidRPr="00B778A6" w:rsidRDefault="00424CF6" w:rsidP="00424CF6">
      <w:pPr>
        <w:tabs>
          <w:tab w:val="left" w:pos="720"/>
        </w:tabs>
        <w:jc w:val="both"/>
        <w:rPr>
          <w:lang w:eastAsia="en-US"/>
        </w:rPr>
      </w:pPr>
    </w:p>
    <w:p w:rsidR="005B15B7" w:rsidRPr="00B778A6" w:rsidRDefault="005B15B7" w:rsidP="00B778A6">
      <w:pPr>
        <w:numPr>
          <w:ilvl w:val="0"/>
          <w:numId w:val="37"/>
        </w:numPr>
        <w:tabs>
          <w:tab w:val="left" w:pos="720"/>
        </w:tabs>
        <w:jc w:val="both"/>
        <w:rPr>
          <w:lang w:eastAsia="en-US"/>
        </w:rPr>
      </w:pPr>
      <w:r w:rsidRPr="00B778A6">
        <w:rPr>
          <w:lang w:eastAsia="en-US"/>
        </w:rPr>
        <w:t>Pastato šildymas. Įdiegus energiją taupančias priemones metinės išlaidos pastato šildymui sumažės 1226</w:t>
      </w:r>
      <w:r w:rsidR="00715B3B">
        <w:rPr>
          <w:lang w:eastAsia="en-US"/>
        </w:rPr>
        <w:t>1</w:t>
      </w:r>
      <w:r w:rsidRPr="00B778A6">
        <w:rPr>
          <w:lang w:eastAsia="en-US"/>
        </w:rPr>
        <w:t xml:space="preserve"> EUR per metus. Apskaičiuota remiantis energijos vartojimo auditu ir šios skaičiuoklės spec. darbalaukiu energetikos projektams.</w:t>
      </w:r>
      <w:r w:rsidRPr="00B778A6">
        <w:rPr>
          <w:lang w:eastAsia="en-US"/>
        </w:rPr>
        <w:tab/>
      </w:r>
      <w:r w:rsidRPr="00B778A6">
        <w:rPr>
          <w:lang w:eastAsia="en-US"/>
        </w:rPr>
        <w:tab/>
      </w:r>
      <w:r w:rsidRPr="00B778A6">
        <w:rPr>
          <w:lang w:eastAsia="en-US"/>
        </w:rPr>
        <w:tab/>
      </w:r>
    </w:p>
    <w:p w:rsidR="005B15B7" w:rsidRPr="00B778A6" w:rsidRDefault="005B15B7" w:rsidP="005B15B7">
      <w:pPr>
        <w:numPr>
          <w:ilvl w:val="0"/>
          <w:numId w:val="37"/>
        </w:numPr>
        <w:tabs>
          <w:tab w:val="left" w:pos="720"/>
        </w:tabs>
        <w:jc w:val="both"/>
        <w:rPr>
          <w:lang w:eastAsia="en-US"/>
        </w:rPr>
      </w:pPr>
      <w:r w:rsidRPr="00B778A6">
        <w:rPr>
          <w:lang w:eastAsia="en-US"/>
        </w:rPr>
        <w:t>Pastato elektros išlaidos. Įdiegus energiją taupančias priemones metinės išlaidos pastato elektros energijai sumažės 319 EUR per metus. Apskaičiuota remiantis energijos vartojimo auditu ir šios skaičiuoklės spec. darbalaukiu energetikos projektams.</w:t>
      </w:r>
    </w:p>
    <w:p w:rsidR="00E72195" w:rsidRDefault="005B15B7" w:rsidP="00B778A6">
      <w:pPr>
        <w:tabs>
          <w:tab w:val="left" w:pos="720"/>
        </w:tabs>
        <w:ind w:left="720"/>
        <w:jc w:val="both"/>
        <w:rPr>
          <w:lang w:eastAsia="en-US"/>
        </w:rPr>
      </w:pPr>
      <w:r w:rsidRPr="00B778A6">
        <w:rPr>
          <w:lang w:eastAsia="en-US"/>
        </w:rPr>
        <w:t xml:space="preserve">Išlaidos pastato remontui. 2016-2020 m. vidutinės išlaidos pastato remontui siekė </w:t>
      </w:r>
      <w:r w:rsidR="00C3088C" w:rsidRPr="00B778A6">
        <w:rPr>
          <w:lang w:eastAsia="en-US"/>
        </w:rPr>
        <w:t xml:space="preserve">840 </w:t>
      </w:r>
      <w:r w:rsidRPr="00B778A6">
        <w:rPr>
          <w:lang w:eastAsia="en-US"/>
        </w:rPr>
        <w:t xml:space="preserve">EUR per metus. Atlikus kai kuriuos darbus jos sumažės, tačiau planuojama, kad kas 10 metų bus reikalingos didesnės investicijos atnaujinimui. Tad bendros išlaidos išliks nepakitusios.  </w:t>
      </w:r>
      <w:r w:rsidRPr="00B778A6">
        <w:rPr>
          <w:lang w:eastAsia="en-US"/>
        </w:rPr>
        <w:tab/>
      </w:r>
      <w:r w:rsidR="00424CF6" w:rsidRPr="00B778A6">
        <w:rPr>
          <w:lang w:eastAsia="en-US"/>
        </w:rPr>
        <w:tab/>
      </w:r>
      <w:r w:rsidR="00424CF6" w:rsidRPr="00B778A6">
        <w:rPr>
          <w:lang w:eastAsia="en-US"/>
        </w:rPr>
        <w:tab/>
      </w:r>
      <w:r w:rsidR="00424CF6" w:rsidRPr="00B778A6">
        <w:rPr>
          <w:lang w:eastAsia="en-US"/>
        </w:rPr>
        <w:tab/>
      </w:r>
    </w:p>
    <w:p w:rsidR="00E72195" w:rsidRDefault="00E72195" w:rsidP="00B778A6">
      <w:pPr>
        <w:tabs>
          <w:tab w:val="left" w:pos="720"/>
        </w:tabs>
        <w:ind w:left="720"/>
        <w:jc w:val="both"/>
        <w:rPr>
          <w:lang w:eastAsia="en-US"/>
        </w:rPr>
      </w:pPr>
    </w:p>
    <w:p w:rsidR="00E72195" w:rsidRDefault="00E72195" w:rsidP="00B778A6">
      <w:pPr>
        <w:tabs>
          <w:tab w:val="left" w:pos="720"/>
        </w:tabs>
        <w:ind w:left="720"/>
        <w:jc w:val="both"/>
        <w:rPr>
          <w:lang w:eastAsia="en-US"/>
        </w:rPr>
      </w:pPr>
    </w:p>
    <w:p w:rsidR="00E72195" w:rsidRDefault="00E72195" w:rsidP="00B778A6">
      <w:pPr>
        <w:tabs>
          <w:tab w:val="left" w:pos="720"/>
        </w:tabs>
        <w:ind w:left="720"/>
        <w:jc w:val="both"/>
        <w:rPr>
          <w:lang w:eastAsia="en-US"/>
        </w:rPr>
      </w:pPr>
    </w:p>
    <w:p w:rsidR="00424CF6" w:rsidRPr="00B778A6" w:rsidRDefault="00424CF6" w:rsidP="00B778A6">
      <w:pPr>
        <w:tabs>
          <w:tab w:val="left" w:pos="720"/>
        </w:tabs>
        <w:ind w:left="720"/>
        <w:jc w:val="both"/>
        <w:rPr>
          <w:lang w:eastAsia="en-US"/>
        </w:rPr>
      </w:pPr>
      <w:r w:rsidRPr="00B778A6">
        <w:rPr>
          <w:lang w:eastAsia="en-US"/>
        </w:rPr>
        <w:tab/>
      </w:r>
    </w:p>
    <w:p w:rsidR="00424CF6" w:rsidRPr="00B778A6" w:rsidRDefault="00424CF6" w:rsidP="00424CF6">
      <w:pPr>
        <w:pStyle w:val="ColorfulList-Accent11"/>
        <w:ind w:left="0"/>
        <w:rPr>
          <w:u w:val="single"/>
        </w:rPr>
      </w:pPr>
      <w:r w:rsidRPr="00B778A6">
        <w:rPr>
          <w:u w:val="single"/>
        </w:rPr>
        <w:lastRenderedPageBreak/>
        <w:t>Alternatyva „</w:t>
      </w:r>
      <w:r w:rsidR="00B778A6">
        <w:rPr>
          <w:u w:val="single"/>
        </w:rPr>
        <w:t>Esamo pastato pardavimas ir naujo pastato statyba</w:t>
      </w:r>
      <w:r w:rsidRPr="00B778A6">
        <w:rPr>
          <w:u w:val="single"/>
        </w:rPr>
        <w:t>“</w:t>
      </w:r>
    </w:p>
    <w:p w:rsidR="00424CF6" w:rsidRPr="00B778A6" w:rsidRDefault="00424CF6" w:rsidP="00292D6C">
      <w:pPr>
        <w:tabs>
          <w:tab w:val="left" w:pos="720"/>
        </w:tabs>
        <w:jc w:val="both"/>
        <w:rPr>
          <w:lang w:eastAsia="en-US"/>
        </w:rPr>
      </w:pPr>
    </w:p>
    <w:p w:rsidR="005B15B7" w:rsidRPr="00B778A6" w:rsidRDefault="005B15B7" w:rsidP="00B778A6">
      <w:pPr>
        <w:numPr>
          <w:ilvl w:val="0"/>
          <w:numId w:val="37"/>
        </w:numPr>
        <w:tabs>
          <w:tab w:val="left" w:pos="720"/>
        </w:tabs>
        <w:jc w:val="both"/>
        <w:rPr>
          <w:lang w:eastAsia="en-US"/>
        </w:rPr>
      </w:pPr>
      <w:r w:rsidRPr="00B778A6">
        <w:rPr>
          <w:lang w:eastAsia="en-US"/>
        </w:rPr>
        <w:t>Pastato šildymas. Naujos statybos atveju metinės išlaidos pastato šildymui sumažės 2124</w:t>
      </w:r>
      <w:r w:rsidR="00715B3B">
        <w:rPr>
          <w:lang w:eastAsia="en-US"/>
        </w:rPr>
        <w:t xml:space="preserve">6 </w:t>
      </w:r>
      <w:r w:rsidRPr="00B778A6">
        <w:rPr>
          <w:lang w:eastAsia="en-US"/>
        </w:rPr>
        <w:t>EUR per metus. Apskaičiuota remiantis energijos vartojimo auditu ir šios skaičiuoklės spec. darbalaukiu energetikos projektams.</w:t>
      </w:r>
      <w:r w:rsidRPr="00B778A6">
        <w:rPr>
          <w:lang w:eastAsia="en-US"/>
        </w:rPr>
        <w:tab/>
      </w:r>
      <w:r w:rsidRPr="00B778A6">
        <w:rPr>
          <w:lang w:eastAsia="en-US"/>
        </w:rPr>
        <w:tab/>
      </w:r>
      <w:r w:rsidRPr="00B778A6">
        <w:rPr>
          <w:lang w:eastAsia="en-US"/>
        </w:rPr>
        <w:tab/>
      </w:r>
    </w:p>
    <w:p w:rsidR="005B15B7" w:rsidRPr="00B778A6" w:rsidRDefault="005B15B7" w:rsidP="00B778A6">
      <w:pPr>
        <w:numPr>
          <w:ilvl w:val="0"/>
          <w:numId w:val="37"/>
        </w:numPr>
        <w:tabs>
          <w:tab w:val="left" w:pos="720"/>
        </w:tabs>
        <w:jc w:val="both"/>
        <w:rPr>
          <w:lang w:eastAsia="en-US"/>
        </w:rPr>
      </w:pPr>
      <w:r w:rsidRPr="00B778A6">
        <w:rPr>
          <w:lang w:eastAsia="en-US"/>
        </w:rPr>
        <w:t>Pastato elektros išlaidos. Naujos statybos atveju metinės išlaidos pastato elektros energijai sumažės 319</w:t>
      </w:r>
      <w:r w:rsidR="00715B3B">
        <w:rPr>
          <w:lang w:eastAsia="en-US"/>
        </w:rPr>
        <w:t xml:space="preserve"> </w:t>
      </w:r>
      <w:r w:rsidRPr="00B778A6">
        <w:rPr>
          <w:lang w:eastAsia="en-US"/>
        </w:rPr>
        <w:t>EUR per metus. Apskaičiuota remiantis energijos vartojimo auditu ir šios skaičiuoklės spec. darbalaukiu energetikos projektams.</w:t>
      </w:r>
    </w:p>
    <w:p w:rsidR="005B15B7" w:rsidRPr="00B778A6" w:rsidRDefault="005B15B7" w:rsidP="00B778A6">
      <w:pPr>
        <w:numPr>
          <w:ilvl w:val="0"/>
          <w:numId w:val="37"/>
        </w:numPr>
        <w:tabs>
          <w:tab w:val="left" w:pos="720"/>
        </w:tabs>
        <w:jc w:val="both"/>
        <w:rPr>
          <w:lang w:eastAsia="en-US"/>
        </w:rPr>
      </w:pPr>
      <w:r w:rsidRPr="00B778A6">
        <w:rPr>
          <w:lang w:eastAsia="en-US"/>
        </w:rPr>
        <w:t xml:space="preserve">Išlaidos pastato remontui. 2016-2020 m. vidutinės išlaidos pastato remontui siekė </w:t>
      </w:r>
      <w:r w:rsidR="00C3088C" w:rsidRPr="00B778A6">
        <w:rPr>
          <w:lang w:eastAsia="en-US"/>
        </w:rPr>
        <w:t>840</w:t>
      </w:r>
      <w:r w:rsidRPr="00B778A6">
        <w:rPr>
          <w:lang w:eastAsia="en-US"/>
        </w:rPr>
        <w:t xml:space="preserve"> EUR per metus. Atlikus kai kuriuos darbus jos sumažės, tačiau planuojama, kad kas 10 metų bus reikalingos didesnės investicijos atnaujinimui. Tad bendros išlaidos išliks nepakitusios.  </w:t>
      </w:r>
    </w:p>
    <w:p w:rsidR="00424CF6" w:rsidRPr="00B778A6" w:rsidRDefault="00424CF6" w:rsidP="00B778A6">
      <w:pPr>
        <w:tabs>
          <w:tab w:val="left" w:pos="720"/>
        </w:tabs>
        <w:jc w:val="both"/>
        <w:rPr>
          <w:lang w:eastAsia="en-US"/>
        </w:rPr>
      </w:pPr>
    </w:p>
    <w:p w:rsidR="00FD1BF7" w:rsidRPr="00B778A6" w:rsidRDefault="002F314C" w:rsidP="00B54573">
      <w:pPr>
        <w:pStyle w:val="Heading3"/>
        <w:rPr>
          <w:rFonts w:ascii="Times New Roman" w:hAnsi="Times New Roman"/>
        </w:rPr>
      </w:pPr>
      <w:bookmarkStart w:id="36" w:name="_Toc34924491"/>
      <w:r w:rsidRPr="00B778A6">
        <w:rPr>
          <w:rFonts w:ascii="Times New Roman" w:hAnsi="Times New Roman"/>
          <w:lang w:val="lt-LT"/>
        </w:rPr>
        <w:t>4</w:t>
      </w:r>
      <w:r w:rsidR="00BC7586" w:rsidRPr="00B778A6">
        <w:rPr>
          <w:rFonts w:ascii="Times New Roman" w:hAnsi="Times New Roman"/>
          <w:lang w:val="lt-LT"/>
        </w:rPr>
        <w:t xml:space="preserve">.3.5. </w:t>
      </w:r>
      <w:r w:rsidRPr="00B778A6">
        <w:rPr>
          <w:rFonts w:ascii="Times New Roman" w:hAnsi="Times New Roman"/>
          <w:lang w:val="lt-LT"/>
        </w:rPr>
        <w:t>M</w:t>
      </w:r>
      <w:r w:rsidR="00BC7586" w:rsidRPr="00B778A6">
        <w:rPr>
          <w:rFonts w:ascii="Times New Roman" w:hAnsi="Times New Roman"/>
          <w:lang w:val="lt-LT"/>
        </w:rPr>
        <w:t>okesčiai</w:t>
      </w:r>
      <w:bookmarkEnd w:id="36"/>
    </w:p>
    <w:p w:rsidR="00BC7586" w:rsidRPr="00B778A6" w:rsidRDefault="00BC7586" w:rsidP="00FD1BF7">
      <w:pPr>
        <w:pStyle w:val="ColorfulList-Accent11"/>
        <w:rPr>
          <w:szCs w:val="24"/>
        </w:rPr>
      </w:pPr>
    </w:p>
    <w:p w:rsidR="00F50F83" w:rsidRPr="00B778A6" w:rsidRDefault="00F50F83" w:rsidP="00F50F83">
      <w:pPr>
        <w:tabs>
          <w:tab w:val="left" w:pos="720"/>
        </w:tabs>
        <w:ind w:firstLine="720"/>
        <w:jc w:val="both"/>
        <w:rPr>
          <w:lang w:eastAsia="en-US"/>
        </w:rPr>
      </w:pPr>
      <w:r w:rsidRPr="00B778A6">
        <w:rPr>
          <w:lang w:eastAsia="en-US"/>
        </w:rPr>
        <w:t>Projekto „</w:t>
      </w:r>
      <w:r w:rsidR="00167A6F" w:rsidRPr="00B778A6">
        <w:rPr>
          <w:lang w:eastAsia="en-US"/>
        </w:rPr>
        <w:t>Lopšelio – darželio Gintarėlis modernizavimas</w:t>
      </w:r>
      <w:r w:rsidRPr="00B778A6">
        <w:rPr>
          <w:lang w:eastAsia="en-US"/>
        </w:rPr>
        <w:t xml:space="preserve">“ vykdytojas yra </w:t>
      </w:r>
      <w:r w:rsidR="0033067A" w:rsidRPr="00B778A6">
        <w:rPr>
          <w:lang w:eastAsia="en-US"/>
        </w:rPr>
        <w:t>Prienų</w:t>
      </w:r>
      <w:r w:rsidRPr="00B778A6">
        <w:rPr>
          <w:lang w:eastAsia="en-US"/>
        </w:rPr>
        <w:t xml:space="preserve"> rajono savivaldybės administracija – ne PVM mokėtojas, kuris traukia PVM į savo sąnaudas ir jo susigrąžinti negali. Tokiu atveju PVM yra tinkamos projekto išlaidos.</w:t>
      </w:r>
    </w:p>
    <w:p w:rsidR="00F50F83" w:rsidRPr="00B778A6" w:rsidRDefault="00F50F83" w:rsidP="00FD1BF7">
      <w:pPr>
        <w:pStyle w:val="ColorfulList-Accent11"/>
        <w:rPr>
          <w:szCs w:val="24"/>
        </w:rPr>
      </w:pPr>
    </w:p>
    <w:p w:rsidR="00FD1BF7" w:rsidRPr="00B778A6" w:rsidRDefault="002F314C" w:rsidP="00B54573">
      <w:pPr>
        <w:pStyle w:val="Heading3"/>
        <w:rPr>
          <w:rFonts w:ascii="Times New Roman" w:hAnsi="Times New Roman"/>
        </w:rPr>
      </w:pPr>
      <w:bookmarkStart w:id="37" w:name="_Toc34924492"/>
      <w:r w:rsidRPr="00B778A6">
        <w:rPr>
          <w:rFonts w:ascii="Times New Roman" w:hAnsi="Times New Roman"/>
          <w:lang w:val="lt-LT"/>
        </w:rPr>
        <w:t>4</w:t>
      </w:r>
      <w:r w:rsidR="00FD1BF7" w:rsidRPr="00B778A6">
        <w:rPr>
          <w:rFonts w:ascii="Times New Roman" w:hAnsi="Times New Roman"/>
          <w:lang w:val="lt-LT"/>
        </w:rPr>
        <w:t xml:space="preserve">.3.6. </w:t>
      </w:r>
      <w:r w:rsidRPr="00B778A6">
        <w:rPr>
          <w:rFonts w:ascii="Times New Roman" w:hAnsi="Times New Roman"/>
          <w:lang w:val="lt-LT"/>
        </w:rPr>
        <w:t>F</w:t>
      </w:r>
      <w:r w:rsidR="00FD1BF7" w:rsidRPr="00B778A6">
        <w:rPr>
          <w:rFonts w:ascii="Times New Roman" w:hAnsi="Times New Roman"/>
          <w:lang w:val="lt-LT"/>
        </w:rPr>
        <w:t>inansavimas</w:t>
      </w:r>
      <w:bookmarkEnd w:id="37"/>
    </w:p>
    <w:p w:rsidR="00F50F83" w:rsidRPr="00B778A6" w:rsidRDefault="00F50F83" w:rsidP="00F50F83">
      <w:pPr>
        <w:tabs>
          <w:tab w:val="left" w:pos="720"/>
        </w:tabs>
        <w:jc w:val="both"/>
        <w:rPr>
          <w:u w:val="single"/>
          <w:lang w:eastAsia="en-US"/>
        </w:rPr>
      </w:pPr>
    </w:p>
    <w:p w:rsidR="00F01467" w:rsidRPr="00B778A6" w:rsidRDefault="00AA44A5" w:rsidP="00B64C65">
      <w:pPr>
        <w:tabs>
          <w:tab w:val="left" w:pos="720"/>
        </w:tabs>
        <w:ind w:firstLine="709"/>
        <w:jc w:val="both"/>
        <w:rPr>
          <w:lang w:eastAsia="en-US"/>
        </w:rPr>
      </w:pPr>
      <w:r w:rsidRPr="00B778A6">
        <w:t xml:space="preserve">Kadangi </w:t>
      </w:r>
      <w:r w:rsidR="0033067A" w:rsidRPr="00B778A6">
        <w:t>Prienų</w:t>
      </w:r>
      <w:r w:rsidRPr="00B778A6">
        <w:t xml:space="preserve"> rajono savivaldybė nėra pajėgi savo lėšomis finansuoti projekt</w:t>
      </w:r>
      <w:r w:rsidR="00B64C65" w:rsidRPr="00B778A6">
        <w:t>o, bus imama lengvatinė paskola</w:t>
      </w:r>
      <w:r w:rsidR="00B64C65" w:rsidRPr="00B778A6">
        <w:rPr>
          <w:lang w:eastAsia="en-US"/>
        </w:rPr>
        <w:t xml:space="preserve">. </w:t>
      </w:r>
      <w:r w:rsidR="00F01467" w:rsidRPr="00B778A6">
        <w:rPr>
          <w:lang w:eastAsia="en-US"/>
        </w:rPr>
        <w:t xml:space="preserve">Abiejų alternatyvų atvejais numatomas finansavimas paskolos lėšomis. </w:t>
      </w:r>
      <w:r w:rsidRPr="00B778A6">
        <w:t xml:space="preserve">Numatomas paskolos grąžinimo terminas – </w:t>
      </w:r>
      <w:r w:rsidR="00F01467" w:rsidRPr="00B778A6">
        <w:t>1</w:t>
      </w:r>
      <w:r w:rsidRPr="00B778A6">
        <w:t xml:space="preserve">0 metų. </w:t>
      </w:r>
      <w:r w:rsidR="00F01467" w:rsidRPr="00B778A6">
        <w:t>Palūkanų norma: 53 proc. paskolos – nuo 1,25 proc.</w:t>
      </w:r>
      <w:r w:rsidR="00B64C65" w:rsidRPr="00B778A6">
        <w:t xml:space="preserve"> palūkanų norma</w:t>
      </w:r>
      <w:r w:rsidR="00F01467" w:rsidRPr="00B778A6">
        <w:t xml:space="preserve">, 47 proc. </w:t>
      </w:r>
      <w:r w:rsidR="00B64C65" w:rsidRPr="00B778A6">
        <w:t xml:space="preserve">paskolos </w:t>
      </w:r>
      <w:r w:rsidR="00F01467" w:rsidRPr="00B778A6">
        <w:t>– 0</w:t>
      </w:r>
      <w:r w:rsidR="00B64C65" w:rsidRPr="00B778A6">
        <w:t xml:space="preserve"> proc. palūkanų norma</w:t>
      </w:r>
      <w:r w:rsidR="00F01467" w:rsidRPr="00B778A6">
        <w:t>.</w:t>
      </w:r>
    </w:p>
    <w:p w:rsidR="00AA44A5" w:rsidRPr="00B778A6" w:rsidRDefault="00A5732B" w:rsidP="00AA44A5">
      <w:pPr>
        <w:pStyle w:val="ColorfulList-Accent11"/>
        <w:ind w:left="0" w:firstLine="709"/>
        <w:jc w:val="both"/>
        <w:rPr>
          <w:szCs w:val="24"/>
        </w:rPr>
      </w:pPr>
      <w:r w:rsidRPr="00B778A6">
        <w:rPr>
          <w:szCs w:val="24"/>
        </w:rPr>
        <w:t>Detalus p</w:t>
      </w:r>
      <w:r w:rsidR="00AA44A5" w:rsidRPr="00B778A6">
        <w:rPr>
          <w:szCs w:val="24"/>
        </w:rPr>
        <w:t>askolos grąžinim</w:t>
      </w:r>
      <w:r w:rsidRPr="00B778A6">
        <w:rPr>
          <w:szCs w:val="24"/>
        </w:rPr>
        <w:t>o ir palūkanų mokėjimo grafikas</w:t>
      </w:r>
      <w:r w:rsidR="00AA44A5" w:rsidRPr="00B778A6">
        <w:rPr>
          <w:szCs w:val="24"/>
        </w:rPr>
        <w:t xml:space="preserve"> pateik</w:t>
      </w:r>
      <w:r w:rsidRPr="00B778A6">
        <w:rPr>
          <w:szCs w:val="24"/>
        </w:rPr>
        <w:t>iamas</w:t>
      </w:r>
      <w:r w:rsidR="00AA44A5" w:rsidRPr="00B778A6">
        <w:rPr>
          <w:szCs w:val="24"/>
        </w:rPr>
        <w:t xml:space="preserve"> </w:t>
      </w:r>
      <w:r w:rsidRPr="00B778A6">
        <w:rPr>
          <w:szCs w:val="24"/>
        </w:rPr>
        <w:t xml:space="preserve">SNA </w:t>
      </w:r>
      <w:r w:rsidR="00AA44A5" w:rsidRPr="00B778A6">
        <w:rPr>
          <w:szCs w:val="24"/>
        </w:rPr>
        <w:t>skaičiuoklėje.</w:t>
      </w:r>
    </w:p>
    <w:p w:rsidR="00B204CA" w:rsidRPr="00B778A6" w:rsidRDefault="00B204CA" w:rsidP="00AA44A5">
      <w:pPr>
        <w:pStyle w:val="ColorfulList-Accent11"/>
        <w:rPr>
          <w:szCs w:val="24"/>
        </w:rPr>
      </w:pPr>
    </w:p>
    <w:p w:rsidR="00302AE2" w:rsidRPr="00B778A6" w:rsidRDefault="002F314C" w:rsidP="00302AE2">
      <w:pPr>
        <w:pStyle w:val="Heading2"/>
        <w:rPr>
          <w:rFonts w:ascii="Times New Roman" w:hAnsi="Times New Roman"/>
        </w:rPr>
      </w:pPr>
      <w:bookmarkStart w:id="38" w:name="_Toc34924493"/>
      <w:r w:rsidRPr="00B778A6">
        <w:rPr>
          <w:rFonts w:ascii="Times New Roman" w:hAnsi="Times New Roman"/>
          <w:lang w:val="lt-LT"/>
        </w:rPr>
        <w:t>4</w:t>
      </w:r>
      <w:r w:rsidR="00FD1BF7" w:rsidRPr="00B778A6">
        <w:rPr>
          <w:rFonts w:ascii="Times New Roman" w:hAnsi="Times New Roman"/>
          <w:lang w:val="lt-LT"/>
        </w:rPr>
        <w:t xml:space="preserve">.4. </w:t>
      </w:r>
      <w:r w:rsidRPr="00B778A6">
        <w:rPr>
          <w:rFonts w:ascii="Times New Roman" w:hAnsi="Times New Roman"/>
          <w:lang w:val="lt-LT"/>
        </w:rPr>
        <w:t>Finansiniai rodikliai</w:t>
      </w:r>
      <w:bookmarkEnd w:id="38"/>
    </w:p>
    <w:p w:rsidR="005B1F33" w:rsidRPr="00B778A6" w:rsidRDefault="002F314C" w:rsidP="00004DEE">
      <w:pPr>
        <w:pStyle w:val="Heading3"/>
        <w:rPr>
          <w:rFonts w:ascii="Times New Roman" w:hAnsi="Times New Roman"/>
        </w:rPr>
      </w:pPr>
      <w:bookmarkStart w:id="39" w:name="_Toc34924494"/>
      <w:r w:rsidRPr="00B778A6">
        <w:rPr>
          <w:rFonts w:ascii="Times New Roman" w:hAnsi="Times New Roman"/>
          <w:lang w:val="lt-LT"/>
        </w:rPr>
        <w:t>4</w:t>
      </w:r>
      <w:r w:rsidR="00004DEE" w:rsidRPr="00B778A6">
        <w:rPr>
          <w:rFonts w:ascii="Times New Roman" w:hAnsi="Times New Roman"/>
          <w:lang w:val="lt-LT"/>
        </w:rPr>
        <w:t>.4.1. Investicijų finansiniai</w:t>
      </w:r>
      <w:r w:rsidR="00FD1BF7" w:rsidRPr="00B778A6">
        <w:rPr>
          <w:rFonts w:ascii="Times New Roman" w:hAnsi="Times New Roman"/>
          <w:lang w:val="lt-LT"/>
        </w:rPr>
        <w:t xml:space="preserve"> rodik</w:t>
      </w:r>
      <w:r w:rsidR="00B54573" w:rsidRPr="00B778A6">
        <w:rPr>
          <w:rFonts w:ascii="Times New Roman" w:hAnsi="Times New Roman"/>
          <w:lang w:val="lt-LT"/>
        </w:rPr>
        <w:t>liai</w:t>
      </w:r>
      <w:bookmarkEnd w:id="39"/>
      <w:r w:rsidR="00B54573" w:rsidRPr="00B778A6">
        <w:rPr>
          <w:rFonts w:ascii="Times New Roman" w:hAnsi="Times New Roman"/>
          <w:lang w:val="lt-LT"/>
        </w:rPr>
        <w:t xml:space="preserve"> </w:t>
      </w:r>
    </w:p>
    <w:p w:rsidR="00004DEE" w:rsidRPr="00B778A6" w:rsidRDefault="00004DEE" w:rsidP="00004DEE"/>
    <w:p w:rsidR="00302AE2" w:rsidRPr="00B778A6" w:rsidRDefault="00302AE2" w:rsidP="00D46F4D">
      <w:pPr>
        <w:tabs>
          <w:tab w:val="left" w:pos="720"/>
        </w:tabs>
        <w:ind w:firstLine="720"/>
        <w:jc w:val="both"/>
        <w:rPr>
          <w:lang w:eastAsia="en-US"/>
        </w:rPr>
      </w:pPr>
      <w:r w:rsidRPr="00B778A6">
        <w:rPr>
          <w:lang w:eastAsia="en-US"/>
        </w:rPr>
        <w:t>Projekto „</w:t>
      </w:r>
      <w:r w:rsidR="00411565" w:rsidRPr="00B778A6">
        <w:rPr>
          <w:lang w:eastAsia="en-US"/>
        </w:rPr>
        <w:t>Lopšelio-</w:t>
      </w:r>
      <w:r w:rsidR="00167A6F" w:rsidRPr="00B778A6">
        <w:rPr>
          <w:lang w:eastAsia="en-US"/>
        </w:rPr>
        <w:t>darželio Gintarėlis modernizavimas</w:t>
      </w:r>
      <w:r w:rsidRPr="00B778A6">
        <w:rPr>
          <w:lang w:eastAsia="en-US"/>
        </w:rPr>
        <w:t>“ investiciniai rodikliai:</w:t>
      </w:r>
    </w:p>
    <w:tbl>
      <w:tblPr>
        <w:tblW w:w="0" w:type="auto"/>
        <w:tblBorders>
          <w:top w:val="nil"/>
          <w:left w:val="nil"/>
          <w:bottom w:val="nil"/>
          <w:right w:val="nil"/>
        </w:tblBorders>
        <w:tblLayout w:type="fixed"/>
        <w:tblLook w:val="0000"/>
      </w:tblPr>
      <w:tblGrid>
        <w:gridCol w:w="9747"/>
      </w:tblGrid>
      <w:tr w:rsidR="00302AE2" w:rsidRPr="00B778A6" w:rsidTr="00CD02E2">
        <w:trPr>
          <w:trHeight w:val="648"/>
        </w:trPr>
        <w:tc>
          <w:tcPr>
            <w:tcW w:w="9747" w:type="dxa"/>
          </w:tcPr>
          <w:p w:rsidR="00302AE2" w:rsidRPr="00B778A6" w:rsidRDefault="00302AE2" w:rsidP="00CD02E2">
            <w:pPr>
              <w:numPr>
                <w:ilvl w:val="0"/>
                <w:numId w:val="7"/>
              </w:numPr>
              <w:autoSpaceDE w:val="0"/>
              <w:autoSpaceDN w:val="0"/>
              <w:adjustRightInd w:val="0"/>
              <w:jc w:val="both"/>
              <w:rPr>
                <w:color w:val="000000"/>
              </w:rPr>
            </w:pPr>
            <w:r w:rsidRPr="00B778A6">
              <w:rPr>
                <w:b/>
                <w:bCs/>
                <w:color w:val="000000"/>
              </w:rPr>
              <w:t xml:space="preserve">Investicijų finansinė grynoji dabartinė vertė, FGDV(I) </w:t>
            </w:r>
            <w:r w:rsidRPr="00B778A6">
              <w:rPr>
                <w:color w:val="000000"/>
              </w:rPr>
              <w:t xml:space="preserve">(angl. </w:t>
            </w:r>
            <w:r w:rsidRPr="00B778A6">
              <w:rPr>
                <w:i/>
                <w:iCs/>
                <w:color w:val="000000"/>
              </w:rPr>
              <w:t>FNPV of the investment</w:t>
            </w:r>
            <w:r w:rsidRPr="00B778A6">
              <w:rPr>
                <w:color w:val="000000"/>
              </w:rPr>
              <w:t xml:space="preserve">) – apskaičiuojama sudedant diskontuotus investicijų, investicijų likutinės vertės ir grynųjų veiklos pajamų srautus per projekto ataskaitinį laikotarpį. Rodiklis parodo, kaip projekto grynųjų veiklos pajamų srautas per visą ataskaitinį laikotarpį, skaičiuojant šios dienos pinigų verte, padengia investicijas. </w:t>
            </w:r>
          </w:p>
        </w:tc>
      </w:tr>
    </w:tbl>
    <w:p w:rsidR="00302AE2" w:rsidRPr="00B778A6" w:rsidRDefault="00302AE2" w:rsidP="00302AE2">
      <w:pPr>
        <w:numPr>
          <w:ilvl w:val="0"/>
          <w:numId w:val="7"/>
        </w:numPr>
        <w:autoSpaceDE w:val="0"/>
        <w:autoSpaceDN w:val="0"/>
        <w:adjustRightInd w:val="0"/>
        <w:jc w:val="both"/>
        <w:rPr>
          <w:color w:val="000000"/>
        </w:rPr>
      </w:pPr>
      <w:r w:rsidRPr="00B778A6">
        <w:rPr>
          <w:b/>
          <w:bCs/>
          <w:color w:val="000000"/>
        </w:rPr>
        <w:t xml:space="preserve">Investicijų finansinė vidinė grąžos norma, FVGN(I) </w:t>
      </w:r>
      <w:r w:rsidRPr="00B778A6">
        <w:rPr>
          <w:color w:val="000000"/>
        </w:rPr>
        <w:t xml:space="preserve">(angl. </w:t>
      </w:r>
      <w:r w:rsidRPr="00B778A6">
        <w:rPr>
          <w:i/>
          <w:iCs/>
          <w:color w:val="000000"/>
        </w:rPr>
        <w:t>FIRR of the investment</w:t>
      </w:r>
      <w:r w:rsidRPr="00B778A6">
        <w:rPr>
          <w:color w:val="000000"/>
        </w:rPr>
        <w:t xml:space="preserve">) – diskonto norma, kuriai esant diskontuotų investicijų vertė lygi diskontuotai grynųjų pinigų srautų vertei, t.y. diskonto norma, kurią pritaikius FGDV(I) lygi nuliui. </w:t>
      </w:r>
    </w:p>
    <w:p w:rsidR="00302AE2" w:rsidRPr="00B778A6" w:rsidRDefault="00302AE2" w:rsidP="00302AE2">
      <w:pPr>
        <w:numPr>
          <w:ilvl w:val="0"/>
          <w:numId w:val="7"/>
        </w:numPr>
        <w:autoSpaceDE w:val="0"/>
        <w:autoSpaceDN w:val="0"/>
        <w:adjustRightInd w:val="0"/>
        <w:jc w:val="both"/>
        <w:rPr>
          <w:color w:val="000000"/>
        </w:rPr>
      </w:pPr>
      <w:r w:rsidRPr="00B778A6">
        <w:rPr>
          <w:b/>
          <w:bCs/>
          <w:color w:val="000000"/>
        </w:rPr>
        <w:t xml:space="preserve">Finansinis naudos ir išlaidų santykis, FNIS </w:t>
      </w:r>
      <w:r w:rsidRPr="00B778A6">
        <w:rPr>
          <w:color w:val="000000"/>
        </w:rPr>
        <w:t xml:space="preserve">(angl. </w:t>
      </w:r>
      <w:r w:rsidRPr="00B778A6">
        <w:rPr>
          <w:i/>
          <w:iCs/>
          <w:color w:val="000000"/>
        </w:rPr>
        <w:t>financial benefit/cost ratio</w:t>
      </w:r>
      <w:r w:rsidRPr="00B778A6">
        <w:rPr>
          <w:color w:val="000000"/>
        </w:rPr>
        <w:t xml:space="preserve">) – finansinės analizės rodiklis, atskleidžiantis, kiek kartų IP sukuriama finansinė nauda viršija jam įgyvendinti reikalingas finansines išlaidas. </w:t>
      </w:r>
    </w:p>
    <w:p w:rsidR="00302AE2" w:rsidRPr="00B778A6" w:rsidRDefault="00302AE2" w:rsidP="00302AE2"/>
    <w:p w:rsidR="00302AE2" w:rsidRPr="00B778A6" w:rsidRDefault="00302AE2" w:rsidP="00302AE2">
      <w:pPr>
        <w:tabs>
          <w:tab w:val="left" w:pos="720"/>
        </w:tabs>
        <w:ind w:firstLine="720"/>
        <w:jc w:val="both"/>
        <w:rPr>
          <w:lang w:eastAsia="en-US"/>
        </w:rPr>
      </w:pPr>
      <w:r w:rsidRPr="00B778A6">
        <w:rPr>
          <w:lang w:eastAsia="en-US"/>
        </w:rPr>
        <w:lastRenderedPageBreak/>
        <w:t>Rodikliai apskaičiuoti naudojant oficialią skaičiuoklę</w:t>
      </w:r>
      <w:r w:rsidRPr="00B778A6">
        <w:rPr>
          <w:rStyle w:val="FootnoteReference"/>
          <w:lang w:eastAsia="en-US"/>
        </w:rPr>
        <w:footnoteReference w:id="4"/>
      </w:r>
      <w:r w:rsidRPr="00B778A6">
        <w:rPr>
          <w:lang w:eastAsia="en-US"/>
        </w:rPr>
        <w:t xml:space="preserve">. Skaičiuoklė su rezultatais pateikiama, kaip savarankiškas investicijų projekto priedas. </w:t>
      </w:r>
    </w:p>
    <w:p w:rsidR="00302AE2" w:rsidRPr="00B778A6" w:rsidRDefault="00302AE2" w:rsidP="00302AE2">
      <w:pPr>
        <w:tabs>
          <w:tab w:val="left" w:pos="720"/>
        </w:tabs>
        <w:ind w:firstLine="720"/>
        <w:jc w:val="both"/>
        <w:rPr>
          <w:lang w:eastAsia="en-US"/>
        </w:rPr>
      </w:pPr>
    </w:p>
    <w:p w:rsidR="00302AE2" w:rsidRPr="00B778A6" w:rsidRDefault="00302AE2" w:rsidP="00302AE2">
      <w:pPr>
        <w:tabs>
          <w:tab w:val="left" w:pos="720"/>
        </w:tabs>
        <w:jc w:val="both"/>
        <w:rPr>
          <w:lang w:eastAsia="en-US"/>
        </w:rPr>
      </w:pPr>
      <w:r w:rsidRPr="00B778A6">
        <w:rPr>
          <w:u w:val="single"/>
          <w:lang w:eastAsia="en-US"/>
        </w:rPr>
        <w:t>Alternatyva „</w:t>
      </w:r>
      <w:r w:rsidR="00B778A6">
        <w:rPr>
          <w:u w:val="single"/>
          <w:lang w:eastAsia="en-US"/>
        </w:rPr>
        <w:t>Esamo pastato/patalpų dalies kapitalinis remontas</w:t>
      </w:r>
      <w:r w:rsidRPr="00B778A6">
        <w:rPr>
          <w:u w:val="single"/>
          <w:lang w:eastAsia="en-US"/>
        </w:rPr>
        <w:t>“</w:t>
      </w:r>
    </w:p>
    <w:p w:rsidR="00302AE2" w:rsidRPr="00B778A6" w:rsidRDefault="00302AE2" w:rsidP="00302AE2">
      <w:pPr>
        <w:tabs>
          <w:tab w:val="left" w:pos="720"/>
        </w:tabs>
        <w:ind w:firstLine="720"/>
        <w:jc w:val="both"/>
        <w:rPr>
          <w:lang w:eastAsia="en-US"/>
        </w:rPr>
      </w:pPr>
    </w:p>
    <w:p w:rsidR="00302AE2" w:rsidRPr="00B778A6" w:rsidRDefault="00302AE2" w:rsidP="00302AE2">
      <w:pPr>
        <w:tabs>
          <w:tab w:val="left" w:pos="720"/>
        </w:tabs>
        <w:ind w:firstLine="720"/>
        <w:jc w:val="both"/>
        <w:rPr>
          <w:lang w:eastAsia="en-US"/>
        </w:rPr>
      </w:pPr>
      <w:r w:rsidRPr="00B778A6">
        <w:rPr>
          <w:lang w:eastAsia="en-US"/>
        </w:rPr>
        <w:t>Rodiklių reikšmės:</w:t>
      </w:r>
    </w:p>
    <w:p w:rsidR="00302AE2" w:rsidRPr="00B778A6" w:rsidRDefault="00302AE2" w:rsidP="00302AE2">
      <w:pPr>
        <w:numPr>
          <w:ilvl w:val="0"/>
          <w:numId w:val="6"/>
        </w:numPr>
        <w:autoSpaceDE w:val="0"/>
        <w:autoSpaceDN w:val="0"/>
        <w:adjustRightInd w:val="0"/>
        <w:jc w:val="both"/>
      </w:pPr>
      <w:r w:rsidRPr="00B778A6">
        <w:t>FGDV(I) – (-</w:t>
      </w:r>
      <w:r w:rsidR="00DA1A2F" w:rsidRPr="00B778A6">
        <w:t>0,</w:t>
      </w:r>
      <w:r w:rsidR="00C668D4">
        <w:t>631</w:t>
      </w:r>
      <w:r w:rsidR="006F41CD" w:rsidRPr="00B778A6">
        <w:t xml:space="preserve">) </w:t>
      </w:r>
      <w:r w:rsidR="00DA1A2F" w:rsidRPr="00B778A6">
        <w:t>mln</w:t>
      </w:r>
      <w:r w:rsidR="006F41CD" w:rsidRPr="00B778A6">
        <w:t>.</w:t>
      </w:r>
      <w:r w:rsidRPr="00B778A6">
        <w:t xml:space="preserve"> EUR;</w:t>
      </w:r>
    </w:p>
    <w:p w:rsidR="00302AE2" w:rsidRPr="00B778A6" w:rsidRDefault="006F41CD" w:rsidP="00302AE2">
      <w:pPr>
        <w:numPr>
          <w:ilvl w:val="0"/>
          <w:numId w:val="6"/>
        </w:numPr>
        <w:autoSpaceDE w:val="0"/>
        <w:autoSpaceDN w:val="0"/>
        <w:adjustRightInd w:val="0"/>
        <w:jc w:val="both"/>
      </w:pPr>
      <w:r w:rsidRPr="00B778A6">
        <w:t xml:space="preserve">FVGN(I) – </w:t>
      </w:r>
      <w:r w:rsidR="002001A7" w:rsidRPr="00B778A6">
        <w:t>(</w:t>
      </w:r>
      <w:r w:rsidR="00167A6F" w:rsidRPr="00B778A6">
        <w:t>-0,</w:t>
      </w:r>
      <w:r w:rsidR="00C668D4">
        <w:t>43</w:t>
      </w:r>
      <w:r w:rsidR="002001A7" w:rsidRPr="00B778A6">
        <w:t>)</w:t>
      </w:r>
      <w:r w:rsidR="00302AE2" w:rsidRPr="00B778A6">
        <w:t xml:space="preserve"> proc.;</w:t>
      </w:r>
    </w:p>
    <w:p w:rsidR="00302AE2" w:rsidRPr="00B778A6" w:rsidRDefault="00302AE2" w:rsidP="00302AE2">
      <w:pPr>
        <w:pStyle w:val="Default"/>
        <w:numPr>
          <w:ilvl w:val="0"/>
          <w:numId w:val="6"/>
        </w:numPr>
        <w:rPr>
          <w:rFonts w:eastAsia="Calibri"/>
        </w:rPr>
      </w:pPr>
      <w:r w:rsidRPr="00B778A6">
        <w:t>FNIS – 0,</w:t>
      </w:r>
      <w:r w:rsidR="00C668D4" w:rsidRPr="00B778A6">
        <w:t>2</w:t>
      </w:r>
      <w:r w:rsidR="00C668D4">
        <w:t>3</w:t>
      </w:r>
      <w:r w:rsidRPr="00B778A6">
        <w:rPr>
          <w:rFonts w:eastAsia="Calibri"/>
        </w:rPr>
        <w:t>.</w:t>
      </w:r>
    </w:p>
    <w:p w:rsidR="00302AE2" w:rsidRPr="00B778A6" w:rsidRDefault="00302AE2" w:rsidP="00302AE2">
      <w:pPr>
        <w:pStyle w:val="Default"/>
        <w:rPr>
          <w:rFonts w:eastAsia="Calibri"/>
        </w:rPr>
      </w:pPr>
    </w:p>
    <w:p w:rsidR="00302AE2" w:rsidRPr="00B778A6" w:rsidRDefault="00302AE2" w:rsidP="00302AE2">
      <w:pPr>
        <w:pStyle w:val="Default"/>
        <w:rPr>
          <w:u w:val="single"/>
        </w:rPr>
      </w:pPr>
      <w:r w:rsidRPr="00B778A6">
        <w:rPr>
          <w:u w:val="single"/>
        </w:rPr>
        <w:t>Alternatyva „</w:t>
      </w:r>
      <w:r w:rsidR="00B778A6">
        <w:rPr>
          <w:u w:val="single"/>
        </w:rPr>
        <w:t>Esamo pastato pardavimas ir naujo pastato statyba</w:t>
      </w:r>
      <w:r w:rsidRPr="00B778A6">
        <w:rPr>
          <w:u w:val="single"/>
        </w:rPr>
        <w:t>“</w:t>
      </w:r>
    </w:p>
    <w:p w:rsidR="00302AE2" w:rsidRPr="00B778A6" w:rsidRDefault="00302AE2" w:rsidP="00302AE2"/>
    <w:p w:rsidR="00302AE2" w:rsidRPr="00B778A6" w:rsidRDefault="00302AE2" w:rsidP="00302AE2">
      <w:pPr>
        <w:tabs>
          <w:tab w:val="left" w:pos="720"/>
        </w:tabs>
        <w:ind w:firstLine="720"/>
        <w:jc w:val="both"/>
        <w:rPr>
          <w:lang w:eastAsia="en-US"/>
        </w:rPr>
      </w:pPr>
      <w:r w:rsidRPr="00B778A6">
        <w:rPr>
          <w:lang w:eastAsia="en-US"/>
        </w:rPr>
        <w:t>Rodiklių reikšmės:</w:t>
      </w:r>
    </w:p>
    <w:p w:rsidR="00302AE2" w:rsidRPr="00B778A6" w:rsidRDefault="00302AE2" w:rsidP="00302AE2">
      <w:pPr>
        <w:numPr>
          <w:ilvl w:val="0"/>
          <w:numId w:val="6"/>
        </w:numPr>
        <w:autoSpaceDE w:val="0"/>
        <w:autoSpaceDN w:val="0"/>
        <w:adjustRightInd w:val="0"/>
        <w:jc w:val="both"/>
      </w:pPr>
      <w:r w:rsidRPr="00B778A6">
        <w:t xml:space="preserve">FGDV(I) – </w:t>
      </w:r>
      <w:r w:rsidR="009D479D" w:rsidRPr="00B778A6">
        <w:t>(</w:t>
      </w:r>
      <w:r w:rsidR="002347E7" w:rsidRPr="00B778A6">
        <w:t>-1,</w:t>
      </w:r>
      <w:r w:rsidR="00C668D4">
        <w:t>933</w:t>
      </w:r>
      <w:r w:rsidR="009D479D" w:rsidRPr="00B778A6">
        <w:t>)</w:t>
      </w:r>
      <w:r w:rsidR="006F41CD" w:rsidRPr="00B778A6">
        <w:t xml:space="preserve"> </w:t>
      </w:r>
      <w:r w:rsidR="00DA1A2F" w:rsidRPr="00B778A6">
        <w:t>mln</w:t>
      </w:r>
      <w:r w:rsidR="006F41CD" w:rsidRPr="00B778A6">
        <w:t>.</w:t>
      </w:r>
      <w:r w:rsidRPr="00B778A6">
        <w:t xml:space="preserve"> EUR;</w:t>
      </w:r>
    </w:p>
    <w:p w:rsidR="00302AE2" w:rsidRPr="00B778A6" w:rsidRDefault="00302AE2" w:rsidP="00302AE2">
      <w:pPr>
        <w:numPr>
          <w:ilvl w:val="0"/>
          <w:numId w:val="6"/>
        </w:numPr>
        <w:autoSpaceDE w:val="0"/>
        <w:autoSpaceDN w:val="0"/>
        <w:adjustRightInd w:val="0"/>
        <w:jc w:val="both"/>
      </w:pPr>
      <w:r w:rsidRPr="00B778A6">
        <w:t xml:space="preserve">FVGN(I) – </w:t>
      </w:r>
      <w:r w:rsidR="002347E7" w:rsidRPr="00B778A6">
        <w:t>(</w:t>
      </w:r>
      <w:r w:rsidR="00167A6F" w:rsidRPr="00B778A6">
        <w:t>-0,</w:t>
      </w:r>
      <w:r w:rsidR="00C668D4">
        <w:t>81</w:t>
      </w:r>
      <w:r w:rsidR="002001A7" w:rsidRPr="00B778A6">
        <w:t>)</w:t>
      </w:r>
      <w:r w:rsidRPr="00B778A6">
        <w:t xml:space="preserve"> proc.;</w:t>
      </w:r>
    </w:p>
    <w:p w:rsidR="00302AE2" w:rsidRPr="00B778A6" w:rsidRDefault="003E7206" w:rsidP="00302AE2">
      <w:pPr>
        <w:numPr>
          <w:ilvl w:val="0"/>
          <w:numId w:val="6"/>
        </w:numPr>
        <w:autoSpaceDE w:val="0"/>
        <w:autoSpaceDN w:val="0"/>
        <w:adjustRightInd w:val="0"/>
        <w:jc w:val="both"/>
      </w:pPr>
      <w:r w:rsidRPr="00B778A6">
        <w:t>FNIS – 0,</w:t>
      </w:r>
      <w:r w:rsidR="00C668D4">
        <w:t>18</w:t>
      </w:r>
      <w:r w:rsidR="00302AE2" w:rsidRPr="00B778A6">
        <w:t>.</w:t>
      </w:r>
    </w:p>
    <w:p w:rsidR="00FD1BF7" w:rsidRPr="00B778A6" w:rsidRDefault="00004DEE" w:rsidP="00B54573">
      <w:pPr>
        <w:pStyle w:val="Heading3"/>
        <w:rPr>
          <w:rFonts w:ascii="Times New Roman" w:hAnsi="Times New Roman"/>
        </w:rPr>
      </w:pPr>
      <w:bookmarkStart w:id="40" w:name="_Toc34924495"/>
      <w:r w:rsidRPr="00B778A6">
        <w:rPr>
          <w:rFonts w:ascii="Times New Roman" w:hAnsi="Times New Roman"/>
          <w:lang w:val="lt-LT"/>
        </w:rPr>
        <w:t>4</w:t>
      </w:r>
      <w:r w:rsidR="00FD1BF7" w:rsidRPr="00B778A6">
        <w:rPr>
          <w:rFonts w:ascii="Times New Roman" w:hAnsi="Times New Roman"/>
          <w:lang w:val="lt-LT"/>
        </w:rPr>
        <w:t>.4.2. Iš</w:t>
      </w:r>
      <w:r w:rsidR="00B54573" w:rsidRPr="00B778A6">
        <w:rPr>
          <w:rFonts w:ascii="Times New Roman" w:hAnsi="Times New Roman"/>
          <w:lang w:val="lt-LT"/>
        </w:rPr>
        <w:t>vada dėl finansinio gyvybingumo</w:t>
      </w:r>
      <w:bookmarkEnd w:id="40"/>
    </w:p>
    <w:p w:rsidR="005C78E1" w:rsidRPr="00B778A6" w:rsidRDefault="005C78E1" w:rsidP="00FD1BF7">
      <w:pPr>
        <w:pStyle w:val="ColorfulList-Accent11"/>
        <w:rPr>
          <w:szCs w:val="24"/>
        </w:rPr>
      </w:pPr>
    </w:p>
    <w:p w:rsidR="00302AE2" w:rsidRPr="00B778A6" w:rsidRDefault="00302AE2" w:rsidP="006602CA">
      <w:pPr>
        <w:tabs>
          <w:tab w:val="left" w:pos="720"/>
        </w:tabs>
        <w:ind w:firstLine="720"/>
        <w:jc w:val="both"/>
      </w:pPr>
      <w:r w:rsidRPr="00B778A6">
        <w:rPr>
          <w:lang w:eastAsia="en-US"/>
        </w:rPr>
        <w:t>Projektas „</w:t>
      </w:r>
      <w:r w:rsidR="00411565" w:rsidRPr="00B778A6">
        <w:rPr>
          <w:lang w:eastAsia="en-US"/>
        </w:rPr>
        <w:t>Lopšelio-d</w:t>
      </w:r>
      <w:r w:rsidR="003420ED" w:rsidRPr="00B778A6">
        <w:rPr>
          <w:lang w:eastAsia="en-US"/>
        </w:rPr>
        <w:t>arželio Gintarėlis modernizavimas</w:t>
      </w:r>
      <w:r w:rsidRPr="00B778A6">
        <w:rPr>
          <w:lang w:eastAsia="en-US"/>
        </w:rPr>
        <w:t xml:space="preserve">“ </w:t>
      </w:r>
      <w:r w:rsidR="009D479D" w:rsidRPr="00B778A6">
        <w:rPr>
          <w:lang w:eastAsia="en-US"/>
        </w:rPr>
        <w:t xml:space="preserve">abiejų alternatyvų atveju finansiškai gyvybingas (pakanka lėšų apmokėti investicijas), tačiau abiem atvejais nerentabilus (finansiniai rodikliai neigiami). </w:t>
      </w:r>
      <w:r w:rsidR="009D479D" w:rsidRPr="00B778A6">
        <w:t>Alternatyvos „</w:t>
      </w:r>
      <w:r w:rsidR="00B778A6">
        <w:t>Esamo pastato pardavimas ir naujo pastato statyba</w:t>
      </w:r>
      <w:r w:rsidR="009D479D" w:rsidRPr="00B778A6">
        <w:t xml:space="preserve">“ rodiklis FGDV(I) yra mažiau neigiamas, nes šios alternatyvos atveju būtų patiriamos mažesnės investicijos, kurias reikia padengti. </w:t>
      </w:r>
    </w:p>
    <w:p w:rsidR="00FD1BF7" w:rsidRPr="00B778A6" w:rsidRDefault="00004DEE" w:rsidP="00B54573">
      <w:pPr>
        <w:pStyle w:val="Heading3"/>
        <w:rPr>
          <w:rFonts w:ascii="Times New Roman" w:hAnsi="Times New Roman"/>
        </w:rPr>
      </w:pPr>
      <w:bookmarkStart w:id="41" w:name="_Toc34924496"/>
      <w:r w:rsidRPr="00B778A6">
        <w:rPr>
          <w:rFonts w:ascii="Times New Roman" w:hAnsi="Times New Roman"/>
          <w:lang w:val="lt-LT"/>
        </w:rPr>
        <w:t>4</w:t>
      </w:r>
      <w:r w:rsidR="00FD1BF7" w:rsidRPr="00B778A6">
        <w:rPr>
          <w:rFonts w:ascii="Times New Roman" w:hAnsi="Times New Roman"/>
          <w:lang w:val="lt-LT"/>
        </w:rPr>
        <w:t>.4.3. Kapitalo</w:t>
      </w:r>
      <w:r w:rsidR="00B54573" w:rsidRPr="00B778A6">
        <w:rPr>
          <w:rFonts w:ascii="Times New Roman" w:hAnsi="Times New Roman"/>
          <w:lang w:val="lt-LT"/>
        </w:rPr>
        <w:t xml:space="preserve"> </w:t>
      </w:r>
      <w:r w:rsidRPr="00B778A6">
        <w:rPr>
          <w:rFonts w:ascii="Times New Roman" w:hAnsi="Times New Roman"/>
          <w:lang w:val="lt-LT"/>
        </w:rPr>
        <w:t xml:space="preserve">finansiniai </w:t>
      </w:r>
      <w:r w:rsidR="00B54573" w:rsidRPr="00B778A6">
        <w:rPr>
          <w:rFonts w:ascii="Times New Roman" w:hAnsi="Times New Roman"/>
          <w:lang w:val="lt-LT"/>
        </w:rPr>
        <w:t>rodikliai</w:t>
      </w:r>
      <w:bookmarkEnd w:id="41"/>
    </w:p>
    <w:p w:rsidR="00302AE2" w:rsidRPr="00B778A6" w:rsidRDefault="00302AE2" w:rsidP="00302AE2"/>
    <w:p w:rsidR="00302AE2" w:rsidRPr="00B778A6" w:rsidRDefault="00302AE2" w:rsidP="00302AE2">
      <w:pPr>
        <w:tabs>
          <w:tab w:val="left" w:pos="720"/>
        </w:tabs>
        <w:ind w:firstLine="720"/>
        <w:jc w:val="both"/>
        <w:rPr>
          <w:lang w:eastAsia="en-US"/>
        </w:rPr>
      </w:pPr>
      <w:r w:rsidRPr="00B778A6">
        <w:rPr>
          <w:lang w:eastAsia="en-US"/>
        </w:rPr>
        <w:t>Projekto „</w:t>
      </w:r>
      <w:r w:rsidR="00411565" w:rsidRPr="00B778A6">
        <w:rPr>
          <w:lang w:eastAsia="en-US"/>
        </w:rPr>
        <w:t>Lopšelio-</w:t>
      </w:r>
      <w:r w:rsidR="003420ED" w:rsidRPr="00B778A6">
        <w:rPr>
          <w:lang w:eastAsia="en-US"/>
        </w:rPr>
        <w:t>darželio Gintarėlis modernizavimas</w:t>
      </w:r>
      <w:r w:rsidRPr="00B778A6">
        <w:rPr>
          <w:lang w:eastAsia="en-US"/>
        </w:rPr>
        <w:t>“ kapitalo rodikliai:</w:t>
      </w:r>
    </w:p>
    <w:tbl>
      <w:tblPr>
        <w:tblW w:w="0" w:type="auto"/>
        <w:tblBorders>
          <w:top w:val="nil"/>
          <w:left w:val="nil"/>
          <w:bottom w:val="nil"/>
          <w:right w:val="nil"/>
        </w:tblBorders>
        <w:tblLayout w:type="fixed"/>
        <w:tblLook w:val="0000"/>
      </w:tblPr>
      <w:tblGrid>
        <w:gridCol w:w="9747"/>
      </w:tblGrid>
      <w:tr w:rsidR="00302AE2" w:rsidRPr="00B778A6" w:rsidTr="00CD02E2">
        <w:trPr>
          <w:trHeight w:val="781"/>
        </w:trPr>
        <w:tc>
          <w:tcPr>
            <w:tcW w:w="9747" w:type="dxa"/>
          </w:tcPr>
          <w:p w:rsidR="00302AE2" w:rsidRPr="00B778A6" w:rsidRDefault="00302AE2" w:rsidP="00CD02E2">
            <w:pPr>
              <w:numPr>
                <w:ilvl w:val="0"/>
                <w:numId w:val="11"/>
              </w:numPr>
              <w:autoSpaceDE w:val="0"/>
              <w:autoSpaceDN w:val="0"/>
              <w:adjustRightInd w:val="0"/>
              <w:jc w:val="both"/>
              <w:rPr>
                <w:color w:val="000000"/>
              </w:rPr>
            </w:pPr>
            <w:r w:rsidRPr="00B778A6">
              <w:rPr>
                <w:b/>
                <w:bCs/>
                <w:color w:val="000000"/>
              </w:rPr>
              <w:t xml:space="preserve">Kapitalo finansinė grynoji dabartinė vertė, FGDV(K) </w:t>
            </w:r>
            <w:r w:rsidRPr="00B778A6">
              <w:rPr>
                <w:color w:val="000000"/>
              </w:rPr>
              <w:t xml:space="preserve">(angl. </w:t>
            </w:r>
            <w:r w:rsidRPr="00B778A6">
              <w:rPr>
                <w:i/>
                <w:iCs/>
                <w:color w:val="000000"/>
              </w:rPr>
              <w:t>FNPV of capital</w:t>
            </w:r>
            <w:r w:rsidRPr="00B778A6">
              <w:rPr>
                <w:color w:val="000000"/>
              </w:rPr>
              <w:t xml:space="preserve">) – apskaičiuojama sudedant projekto savininko skiriamo finansavimo, investicijų likutinės vertės, palūkanų bei grynųjų veiklos pajamų diskontuotus pinigų srautus per projekto ataskaitinį laikotarpį. Rodiklis parodo projekto savininko investuoto kapitalo atsiperkamumą (grynųjų pajamų vertę), skaičiuojant šios dienos pinigų verte. </w:t>
            </w:r>
          </w:p>
          <w:p w:rsidR="00DD427B" w:rsidRPr="00B778A6" w:rsidRDefault="00DD427B" w:rsidP="00CD02E2">
            <w:pPr>
              <w:numPr>
                <w:ilvl w:val="0"/>
                <w:numId w:val="11"/>
              </w:numPr>
              <w:autoSpaceDE w:val="0"/>
              <w:autoSpaceDN w:val="0"/>
              <w:adjustRightInd w:val="0"/>
              <w:jc w:val="both"/>
              <w:rPr>
                <w:color w:val="000000"/>
              </w:rPr>
            </w:pPr>
            <w:r w:rsidRPr="00B778A6">
              <w:rPr>
                <w:b/>
                <w:bCs/>
                <w:color w:val="000000"/>
              </w:rPr>
              <w:t xml:space="preserve">Kapitalo finansinė vidinė grąžos norma, FVGN(K) </w:t>
            </w:r>
            <w:r w:rsidRPr="00B778A6">
              <w:rPr>
                <w:color w:val="000000"/>
              </w:rPr>
              <w:t xml:space="preserve">(angl. </w:t>
            </w:r>
            <w:r w:rsidRPr="00B778A6">
              <w:rPr>
                <w:i/>
                <w:iCs/>
                <w:color w:val="000000"/>
              </w:rPr>
              <w:t>FIRR of capital</w:t>
            </w:r>
            <w:r w:rsidRPr="00B778A6">
              <w:rPr>
                <w:color w:val="000000"/>
              </w:rPr>
              <w:t>) – diskonto norma, kurią pritaikius FGDV(K) lygi nuliui.</w:t>
            </w:r>
          </w:p>
        </w:tc>
      </w:tr>
    </w:tbl>
    <w:p w:rsidR="00302AE2" w:rsidRPr="00B778A6" w:rsidRDefault="00302AE2" w:rsidP="00302AE2">
      <w:pPr>
        <w:tabs>
          <w:tab w:val="left" w:pos="720"/>
        </w:tabs>
        <w:ind w:firstLine="720"/>
        <w:jc w:val="both"/>
        <w:rPr>
          <w:lang w:eastAsia="en-US"/>
        </w:rPr>
      </w:pPr>
      <w:r w:rsidRPr="00B778A6">
        <w:rPr>
          <w:lang w:eastAsia="en-US"/>
        </w:rPr>
        <w:t xml:space="preserve">Rodikliai apskaičiuoti naudojant oficialią skaičiuoklę. Skaičiuoklė su rezultatais pateikiama, kaip savarankiškas investicijų projekto  priedas. </w:t>
      </w:r>
    </w:p>
    <w:p w:rsidR="00302AE2" w:rsidRPr="00B778A6" w:rsidRDefault="00302AE2" w:rsidP="00302AE2">
      <w:pPr>
        <w:tabs>
          <w:tab w:val="left" w:pos="720"/>
        </w:tabs>
        <w:ind w:firstLine="720"/>
        <w:jc w:val="both"/>
        <w:rPr>
          <w:lang w:eastAsia="en-US"/>
        </w:rPr>
      </w:pPr>
    </w:p>
    <w:p w:rsidR="00302AE2" w:rsidRPr="00B778A6" w:rsidRDefault="00302AE2" w:rsidP="00302AE2">
      <w:pPr>
        <w:tabs>
          <w:tab w:val="left" w:pos="720"/>
        </w:tabs>
        <w:jc w:val="both"/>
        <w:rPr>
          <w:lang w:eastAsia="en-US"/>
        </w:rPr>
      </w:pPr>
      <w:r w:rsidRPr="00B778A6">
        <w:rPr>
          <w:u w:val="single"/>
          <w:lang w:eastAsia="en-US"/>
        </w:rPr>
        <w:t>Alternatyva „</w:t>
      </w:r>
      <w:r w:rsidR="00B778A6">
        <w:rPr>
          <w:u w:val="single"/>
          <w:lang w:eastAsia="en-US"/>
        </w:rPr>
        <w:t>Esamo pastato/patalpų dalies kapitalinis remontas</w:t>
      </w:r>
      <w:r w:rsidRPr="00B778A6">
        <w:rPr>
          <w:u w:val="single"/>
          <w:lang w:eastAsia="en-US"/>
        </w:rPr>
        <w:t>“</w:t>
      </w:r>
    </w:p>
    <w:p w:rsidR="00302AE2" w:rsidRPr="00B778A6" w:rsidRDefault="00302AE2" w:rsidP="00302AE2">
      <w:pPr>
        <w:tabs>
          <w:tab w:val="left" w:pos="720"/>
        </w:tabs>
        <w:ind w:firstLine="720"/>
        <w:jc w:val="both"/>
        <w:rPr>
          <w:lang w:eastAsia="en-US"/>
        </w:rPr>
      </w:pPr>
    </w:p>
    <w:p w:rsidR="00302AE2" w:rsidRPr="00B778A6" w:rsidRDefault="00302AE2" w:rsidP="00302AE2">
      <w:pPr>
        <w:tabs>
          <w:tab w:val="left" w:pos="720"/>
        </w:tabs>
        <w:ind w:firstLine="720"/>
        <w:jc w:val="both"/>
        <w:rPr>
          <w:lang w:eastAsia="en-US"/>
        </w:rPr>
      </w:pPr>
      <w:r w:rsidRPr="00B778A6">
        <w:rPr>
          <w:lang w:eastAsia="en-US"/>
        </w:rPr>
        <w:t>Rodiklių reikšmės:</w:t>
      </w:r>
    </w:p>
    <w:p w:rsidR="00302AE2" w:rsidRPr="00B778A6" w:rsidRDefault="00302AE2" w:rsidP="00302AE2">
      <w:pPr>
        <w:numPr>
          <w:ilvl w:val="0"/>
          <w:numId w:val="6"/>
        </w:numPr>
        <w:autoSpaceDE w:val="0"/>
        <w:autoSpaceDN w:val="0"/>
        <w:adjustRightInd w:val="0"/>
        <w:jc w:val="both"/>
      </w:pPr>
      <w:r w:rsidRPr="00B778A6">
        <w:t>FGDV(K) – (-</w:t>
      </w:r>
      <w:r w:rsidR="00167A6F" w:rsidRPr="00B778A6">
        <w:t>1,</w:t>
      </w:r>
      <w:r w:rsidR="00C668D4">
        <w:t>254</w:t>
      </w:r>
      <w:r w:rsidRPr="00B778A6">
        <w:t xml:space="preserve">) </w:t>
      </w:r>
      <w:r w:rsidR="00DA1A2F" w:rsidRPr="00B778A6">
        <w:t>mln</w:t>
      </w:r>
      <w:r w:rsidRPr="00B778A6">
        <w:t>. EUR;</w:t>
      </w:r>
    </w:p>
    <w:p w:rsidR="00302AE2" w:rsidRPr="00B778A6" w:rsidRDefault="00302AE2" w:rsidP="00302AE2">
      <w:pPr>
        <w:pStyle w:val="Default"/>
        <w:numPr>
          <w:ilvl w:val="0"/>
          <w:numId w:val="6"/>
        </w:numPr>
        <w:rPr>
          <w:rFonts w:eastAsia="Calibri"/>
        </w:rPr>
      </w:pPr>
      <w:r w:rsidRPr="00B778A6">
        <w:t xml:space="preserve">FVGN(K) – </w:t>
      </w:r>
      <w:r w:rsidR="00AA43DC" w:rsidRPr="00B778A6">
        <w:t>(-</w:t>
      </w:r>
      <w:r w:rsidR="00167A6F" w:rsidRPr="00B778A6">
        <w:t>4,</w:t>
      </w:r>
      <w:r w:rsidR="00C668D4">
        <w:t>54</w:t>
      </w:r>
      <w:r w:rsidR="00AA43DC" w:rsidRPr="00B778A6">
        <w:t>)</w:t>
      </w:r>
      <w:r w:rsidR="00DA1A2F" w:rsidRPr="00B778A6">
        <w:t xml:space="preserve"> proc</w:t>
      </w:r>
      <w:r w:rsidRPr="00B778A6">
        <w:t>.</w:t>
      </w:r>
    </w:p>
    <w:p w:rsidR="00302AE2" w:rsidRDefault="00302AE2" w:rsidP="00302AE2">
      <w:pPr>
        <w:pStyle w:val="Default"/>
      </w:pPr>
    </w:p>
    <w:p w:rsidR="00E72195" w:rsidRPr="00B778A6" w:rsidRDefault="00E72195" w:rsidP="00302AE2">
      <w:pPr>
        <w:pStyle w:val="Default"/>
      </w:pPr>
    </w:p>
    <w:p w:rsidR="00302AE2" w:rsidRPr="00B778A6" w:rsidRDefault="00302AE2" w:rsidP="00302AE2">
      <w:pPr>
        <w:pStyle w:val="Default"/>
        <w:rPr>
          <w:u w:val="single"/>
        </w:rPr>
      </w:pPr>
      <w:r w:rsidRPr="00B778A6">
        <w:rPr>
          <w:u w:val="single"/>
        </w:rPr>
        <w:lastRenderedPageBreak/>
        <w:t>Alternatyva „</w:t>
      </w:r>
      <w:r w:rsidR="00B778A6">
        <w:rPr>
          <w:u w:val="single"/>
        </w:rPr>
        <w:t>Esamo pastato pardavimas ir naujo pastato statyba</w:t>
      </w:r>
      <w:r w:rsidRPr="00B778A6">
        <w:rPr>
          <w:u w:val="single"/>
        </w:rPr>
        <w:t>“</w:t>
      </w:r>
    </w:p>
    <w:p w:rsidR="00302AE2" w:rsidRPr="00B778A6" w:rsidRDefault="00302AE2" w:rsidP="00302AE2">
      <w:pPr>
        <w:pStyle w:val="Default"/>
        <w:rPr>
          <w:u w:val="single"/>
        </w:rPr>
      </w:pPr>
    </w:p>
    <w:p w:rsidR="00302AE2" w:rsidRPr="00B778A6" w:rsidRDefault="00302AE2" w:rsidP="00302AE2">
      <w:pPr>
        <w:tabs>
          <w:tab w:val="left" w:pos="720"/>
        </w:tabs>
        <w:ind w:firstLine="720"/>
        <w:jc w:val="both"/>
        <w:rPr>
          <w:lang w:eastAsia="en-US"/>
        </w:rPr>
      </w:pPr>
      <w:r w:rsidRPr="00B778A6">
        <w:rPr>
          <w:lang w:eastAsia="en-US"/>
        </w:rPr>
        <w:t>Rodiklių reikšmės:</w:t>
      </w:r>
    </w:p>
    <w:p w:rsidR="00302AE2" w:rsidRPr="00B778A6" w:rsidRDefault="00302AE2" w:rsidP="00302AE2">
      <w:pPr>
        <w:numPr>
          <w:ilvl w:val="0"/>
          <w:numId w:val="6"/>
        </w:numPr>
        <w:autoSpaceDE w:val="0"/>
        <w:autoSpaceDN w:val="0"/>
        <w:adjustRightInd w:val="0"/>
        <w:jc w:val="both"/>
      </w:pPr>
      <w:r w:rsidRPr="00B778A6">
        <w:t xml:space="preserve">FGDV(K) – </w:t>
      </w:r>
      <w:r w:rsidR="00E55CAF" w:rsidRPr="00B778A6">
        <w:t>(-</w:t>
      </w:r>
      <w:r w:rsidR="00167A6F" w:rsidRPr="00B778A6">
        <w:t>3,</w:t>
      </w:r>
      <w:r w:rsidR="00C668D4">
        <w:t>644</w:t>
      </w:r>
      <w:r w:rsidR="00E55CAF" w:rsidRPr="00B778A6">
        <w:t>)</w:t>
      </w:r>
      <w:r w:rsidR="00B137DE" w:rsidRPr="00B778A6">
        <w:t xml:space="preserve"> </w:t>
      </w:r>
      <w:r w:rsidR="00DA1A2F" w:rsidRPr="00B778A6">
        <w:t>mln</w:t>
      </w:r>
      <w:r w:rsidR="00B137DE" w:rsidRPr="00B778A6">
        <w:t>.</w:t>
      </w:r>
      <w:r w:rsidRPr="00B778A6">
        <w:t xml:space="preserve"> EUR;</w:t>
      </w:r>
    </w:p>
    <w:p w:rsidR="00302AE2" w:rsidRPr="00B778A6" w:rsidRDefault="00302AE2" w:rsidP="00302AE2">
      <w:pPr>
        <w:pStyle w:val="Default"/>
        <w:numPr>
          <w:ilvl w:val="0"/>
          <w:numId w:val="6"/>
        </w:numPr>
        <w:rPr>
          <w:rFonts w:eastAsia="Calibri"/>
        </w:rPr>
      </w:pPr>
      <w:r w:rsidRPr="00B778A6">
        <w:t xml:space="preserve">FVGN(K) – </w:t>
      </w:r>
      <w:r w:rsidR="00AA43DC" w:rsidRPr="00B778A6">
        <w:t>(-</w:t>
      </w:r>
      <w:r w:rsidR="00167A6F" w:rsidRPr="00B778A6">
        <w:t>5,</w:t>
      </w:r>
      <w:r w:rsidR="00C668D4">
        <w:t>20</w:t>
      </w:r>
      <w:r w:rsidR="00AA43DC" w:rsidRPr="00B778A6">
        <w:t>)</w:t>
      </w:r>
      <w:r w:rsidR="00DA1A2F" w:rsidRPr="00B778A6">
        <w:t xml:space="preserve"> proc</w:t>
      </w:r>
      <w:r w:rsidR="00B137DE" w:rsidRPr="00B778A6">
        <w:t>.</w:t>
      </w:r>
    </w:p>
    <w:p w:rsidR="00FD1BF7" w:rsidRPr="00B778A6" w:rsidRDefault="00004DEE" w:rsidP="00B54573">
      <w:pPr>
        <w:pStyle w:val="Heading3"/>
        <w:rPr>
          <w:rFonts w:ascii="Times New Roman" w:hAnsi="Times New Roman"/>
        </w:rPr>
      </w:pPr>
      <w:bookmarkStart w:id="42" w:name="_Toc34924497"/>
      <w:r w:rsidRPr="00B778A6">
        <w:rPr>
          <w:rFonts w:ascii="Times New Roman" w:hAnsi="Times New Roman"/>
          <w:lang w:val="lt-LT"/>
        </w:rPr>
        <w:t>4</w:t>
      </w:r>
      <w:r w:rsidR="00FD1BF7" w:rsidRPr="00B778A6">
        <w:rPr>
          <w:rFonts w:ascii="Times New Roman" w:hAnsi="Times New Roman"/>
          <w:lang w:val="lt-LT"/>
        </w:rPr>
        <w:t xml:space="preserve">.4.4. </w:t>
      </w:r>
      <w:r w:rsidRPr="00B778A6">
        <w:rPr>
          <w:rFonts w:ascii="Times New Roman" w:hAnsi="Times New Roman"/>
          <w:lang w:val="lt-LT"/>
        </w:rPr>
        <w:t>Rodiklių</w:t>
      </w:r>
      <w:r w:rsidR="00B54573" w:rsidRPr="00B778A6">
        <w:rPr>
          <w:rFonts w:ascii="Times New Roman" w:hAnsi="Times New Roman"/>
          <w:lang w:val="lt-LT"/>
        </w:rPr>
        <w:t xml:space="preserve"> palyginimas</w:t>
      </w:r>
      <w:bookmarkEnd w:id="42"/>
    </w:p>
    <w:p w:rsidR="00C52894" w:rsidRPr="00B778A6" w:rsidRDefault="00C52894" w:rsidP="00FD1BF7">
      <w:pPr>
        <w:pStyle w:val="ColorfulList-Accent11"/>
        <w:rPr>
          <w:szCs w:val="24"/>
        </w:rPr>
      </w:pPr>
    </w:p>
    <w:p w:rsidR="00C52894" w:rsidRPr="00B778A6" w:rsidRDefault="00E55CAF" w:rsidP="00DD427B">
      <w:pPr>
        <w:pStyle w:val="ListParagraph"/>
        <w:ind w:left="0" w:firstLine="709"/>
        <w:jc w:val="both"/>
      </w:pPr>
      <w:r w:rsidRPr="00B778A6">
        <w:t>Išnagrinėjus alternatyvų kapitalo rodiklius, galima daryti išvadą, kad abiejų alternatyvų atveju pareiškėjo įdėtas kapitalas neatsipirks (diskonto norma, kurią pritaikius FGDV(K) lygi nuliui, abiem atvejais yra neigiama), tačiau kasmet bus gaunami dideli šilumos energijos sutaupymai. Alternatyvos „</w:t>
      </w:r>
      <w:r w:rsidR="00B778A6">
        <w:t>Esamo pastato/patalpų dalies kapitalinis remontas</w:t>
      </w:r>
      <w:r w:rsidRPr="00B778A6">
        <w:t>“ rodiklis FGDV(K) yra mažiau neigiamas, nes šios alternatyvos atveju, pareiškėjo įdėtas kapitalas būtų mažesnis.</w:t>
      </w:r>
    </w:p>
    <w:p w:rsidR="00FD1BF7" w:rsidRPr="00B778A6" w:rsidRDefault="00B54573" w:rsidP="00B54573">
      <w:pPr>
        <w:pStyle w:val="Heading1"/>
        <w:rPr>
          <w:rFonts w:ascii="Times New Roman" w:hAnsi="Times New Roman"/>
        </w:rPr>
      </w:pPr>
      <w:r w:rsidRPr="00B778A6">
        <w:rPr>
          <w:rFonts w:ascii="Times New Roman" w:hAnsi="Times New Roman"/>
          <w:lang w:val="lt-LT"/>
        </w:rPr>
        <w:br w:type="page"/>
      </w:r>
      <w:bookmarkStart w:id="43" w:name="_Toc34924498"/>
      <w:r w:rsidR="00004DEE" w:rsidRPr="00B778A6">
        <w:rPr>
          <w:rFonts w:ascii="Times New Roman" w:hAnsi="Times New Roman"/>
          <w:lang w:val="lt-LT"/>
        </w:rPr>
        <w:lastRenderedPageBreak/>
        <w:t>5</w:t>
      </w:r>
      <w:r w:rsidR="001D4B37" w:rsidRPr="00B778A6">
        <w:rPr>
          <w:rFonts w:ascii="Times New Roman" w:hAnsi="Times New Roman"/>
          <w:lang w:val="lt-LT"/>
        </w:rPr>
        <w:t>.</w:t>
      </w:r>
      <w:r w:rsidR="00004DEE" w:rsidRPr="00B778A6">
        <w:rPr>
          <w:rFonts w:ascii="Times New Roman" w:hAnsi="Times New Roman"/>
          <w:lang w:val="lt-LT"/>
        </w:rPr>
        <w:t xml:space="preserve"> </w:t>
      </w:r>
      <w:r w:rsidR="00FD1BF7" w:rsidRPr="00B778A6">
        <w:rPr>
          <w:rFonts w:ascii="Times New Roman" w:hAnsi="Times New Roman"/>
          <w:lang w:val="lt-LT"/>
        </w:rPr>
        <w:t>EKONOMINĖ ANALIZĖ</w:t>
      </w:r>
      <w:bookmarkEnd w:id="43"/>
    </w:p>
    <w:p w:rsidR="00537546" w:rsidRPr="00B778A6" w:rsidRDefault="00537546" w:rsidP="00FD1BF7">
      <w:pPr>
        <w:pStyle w:val="ColorfulList-Accent11"/>
        <w:ind w:left="0"/>
        <w:rPr>
          <w:szCs w:val="24"/>
        </w:rPr>
      </w:pPr>
    </w:p>
    <w:p w:rsidR="00302AE2" w:rsidRPr="00B778A6" w:rsidRDefault="00302AE2" w:rsidP="00302AE2">
      <w:pPr>
        <w:tabs>
          <w:tab w:val="left" w:pos="720"/>
        </w:tabs>
        <w:ind w:firstLine="720"/>
        <w:jc w:val="both"/>
      </w:pPr>
      <w:r w:rsidRPr="00B778A6">
        <w:rPr>
          <w:lang w:eastAsia="en-US"/>
        </w:rPr>
        <w:t xml:space="preserve">Šioje dalyje atliekama projekto socialinė-ekonominė analizė, t.y. įvertinamas projekto indėlis regiono ar visos šalies gerovei ir poveikis visuomenei (tikslinėms grupėms). Projekto socialinė-ekonominė analizė atliekama vadovaujantis </w:t>
      </w:r>
      <w:r w:rsidRPr="00B778A6">
        <w:t xml:space="preserve">„Metodikos ir modelio, skirto įvertinti investicijų, finansuojamų Europos Sąjungos struktūrinių fondų ir Lietuvos nacionalinio biudžeto lėšomis, socialinį-ekonominį poveikį, sukūrimas. Galutinė ataskaita“. </w:t>
      </w:r>
    </w:p>
    <w:p w:rsidR="00537546" w:rsidRPr="00B778A6" w:rsidRDefault="00537546" w:rsidP="00FD1BF7">
      <w:pPr>
        <w:pStyle w:val="ColorfulList-Accent11"/>
        <w:ind w:left="0"/>
        <w:rPr>
          <w:szCs w:val="24"/>
        </w:rPr>
      </w:pPr>
    </w:p>
    <w:p w:rsidR="00FD1BF7" w:rsidRPr="00B778A6" w:rsidRDefault="00004DEE" w:rsidP="00B54573">
      <w:pPr>
        <w:pStyle w:val="Heading2"/>
        <w:rPr>
          <w:rFonts w:ascii="Times New Roman" w:hAnsi="Times New Roman"/>
        </w:rPr>
      </w:pPr>
      <w:bookmarkStart w:id="44" w:name="_Toc34924499"/>
      <w:r w:rsidRPr="00B778A6">
        <w:rPr>
          <w:rFonts w:ascii="Times New Roman" w:hAnsi="Times New Roman"/>
          <w:lang w:val="lt-LT"/>
        </w:rPr>
        <w:t>5</w:t>
      </w:r>
      <w:r w:rsidR="00FD1BF7" w:rsidRPr="00B778A6">
        <w:rPr>
          <w:rFonts w:ascii="Times New Roman" w:hAnsi="Times New Roman"/>
          <w:lang w:val="lt-LT"/>
        </w:rPr>
        <w:t xml:space="preserve">.1. </w:t>
      </w:r>
      <w:r w:rsidRPr="00B778A6">
        <w:rPr>
          <w:rFonts w:ascii="Times New Roman" w:hAnsi="Times New Roman"/>
          <w:lang w:val="lt-LT"/>
        </w:rPr>
        <w:t>Rinkos kainų pavertimas į ekonomines</w:t>
      </w:r>
      <w:bookmarkEnd w:id="44"/>
    </w:p>
    <w:p w:rsidR="00255AC2" w:rsidRPr="00B778A6" w:rsidRDefault="00255AC2" w:rsidP="00FD1BF7">
      <w:pPr>
        <w:pStyle w:val="ColorfulList-Accent11"/>
        <w:ind w:left="360"/>
        <w:rPr>
          <w:szCs w:val="24"/>
        </w:rPr>
      </w:pPr>
    </w:p>
    <w:p w:rsidR="00302AE2" w:rsidRPr="00B778A6" w:rsidRDefault="00302AE2" w:rsidP="00302AE2">
      <w:pPr>
        <w:tabs>
          <w:tab w:val="left" w:pos="720"/>
        </w:tabs>
        <w:ind w:firstLine="720"/>
        <w:jc w:val="both"/>
        <w:rPr>
          <w:lang w:eastAsia="en-US"/>
        </w:rPr>
      </w:pPr>
      <w:r w:rsidRPr="00B778A6">
        <w:rPr>
          <w:lang w:eastAsia="en-US"/>
        </w:rPr>
        <w:t xml:space="preserve">Finansinėje analizėje apskaičiuotų pinigų srautų vertę paprastai veikia netobula konkurencinė, mokestinė aplinka ir kiti veiksniai, dėl kurių pasireiškimo finansinėje analizėje įvertinti pinigų srautai neatspindi tikrosios pinigų vertės. Todėl ekonominėje analizėje analizuojami ne finansiniai, o ekonominiai pinigų srautai, kurie gaunami pakoregavus finansinės analizės pinigų srautus pagal atitinkamus konversijos koeficientus. Toks konvertavimas yra atliekamas naudojant konversijos koeficientus, kurie yra pateikti VšĮ Centrinės projektų valdymo agentūros </w:t>
      </w:r>
      <w:r w:rsidR="0085728B" w:rsidRPr="00B778A6">
        <w:rPr>
          <w:lang w:eastAsia="en-US"/>
        </w:rPr>
        <w:t xml:space="preserve">patvirtintoje </w:t>
      </w:r>
      <w:r w:rsidRPr="00B778A6">
        <w:rPr>
          <w:lang w:eastAsia="en-US"/>
        </w:rPr>
        <w:t>Investicijų projektų, kuriems siekiama gauti finansavimą iš Europos Sąjungos struktūrinės paramos ir/ar valstybės biudžeto lėšų, rengimo metodikoje.</w:t>
      </w:r>
    </w:p>
    <w:p w:rsidR="00302AE2" w:rsidRPr="00B778A6" w:rsidRDefault="00F22741" w:rsidP="00F22741">
      <w:pPr>
        <w:pStyle w:val="Default"/>
        <w:ind w:firstLine="720"/>
        <w:jc w:val="both"/>
        <w:rPr>
          <w:rFonts w:eastAsia="Calibri"/>
        </w:rPr>
      </w:pPr>
      <w:r w:rsidRPr="00B778A6">
        <w:rPr>
          <w:rFonts w:eastAsia="Calibri"/>
        </w:rPr>
        <w:t>Skaičiuoklės bendrųjų prielaidų darbalapyje Investavimo objekto ir ekonominės veiklos sektoriaus projekto tipo pasirinkimo formoje pateikiama informacija apie pagrindinio investavimo objekto pagrindinį ekonominės veiklos sektorių. Šiuo atveju pagrindinis investavimo objekto ekonominės veiklos sektorius – „Energetika“. Pagal pateiktą informaciją į šį klausimą, SNA skaičiuoklė atitinkamai pati parenka konversijos koeficientus, kurie pritaikomi atskiriems finansiniams srautams perskaičiuoti į ekonominius pinigų srautus.</w:t>
      </w:r>
    </w:p>
    <w:p w:rsidR="00302AE2" w:rsidRPr="00B778A6" w:rsidRDefault="00302AE2" w:rsidP="00302AE2">
      <w:pPr>
        <w:pStyle w:val="ColorfulList-Accent11"/>
        <w:ind w:left="0"/>
        <w:rPr>
          <w:szCs w:val="24"/>
        </w:rPr>
      </w:pPr>
    </w:p>
    <w:p w:rsidR="00004DEE" w:rsidRPr="00B778A6" w:rsidRDefault="00004DEE" w:rsidP="00E8320F">
      <w:pPr>
        <w:pStyle w:val="Heading2"/>
        <w:rPr>
          <w:rFonts w:ascii="Times New Roman" w:hAnsi="Times New Roman"/>
        </w:rPr>
      </w:pPr>
      <w:bookmarkStart w:id="45" w:name="_Toc34924500"/>
      <w:r w:rsidRPr="00B778A6">
        <w:rPr>
          <w:rFonts w:ascii="Times New Roman" w:hAnsi="Times New Roman"/>
          <w:lang w:val="lt-LT"/>
        </w:rPr>
        <w:t>5.2. Socialinė diskonto norma</w:t>
      </w:r>
      <w:bookmarkEnd w:id="45"/>
    </w:p>
    <w:p w:rsidR="00302AE2" w:rsidRPr="00B778A6" w:rsidRDefault="00302AE2" w:rsidP="00302AE2">
      <w:pPr>
        <w:ind w:firstLine="720"/>
        <w:jc w:val="both"/>
        <w:rPr>
          <w:lang w:eastAsia="en-US"/>
        </w:rPr>
      </w:pPr>
    </w:p>
    <w:p w:rsidR="00302AE2" w:rsidRPr="00B778A6" w:rsidRDefault="00302AE2" w:rsidP="00302AE2">
      <w:pPr>
        <w:ind w:firstLine="720"/>
        <w:jc w:val="both"/>
        <w:rPr>
          <w:lang w:eastAsia="en-US"/>
        </w:rPr>
      </w:pPr>
      <w:r w:rsidRPr="00B778A6">
        <w:rPr>
          <w:lang w:eastAsia="en-US"/>
        </w:rPr>
        <w:t xml:space="preserve">Socialinė diskonto norma atskleidžia visuomenės požiūrį į ateities naudą ir numatomas išlaidas. </w:t>
      </w:r>
      <w:r w:rsidR="00CF4256" w:rsidRPr="00B778A6">
        <w:t>Vadovaujantis Investicijų projektų, kuriems siekiama gauti finansavimą iš Europos Sąjungos struktūrinės paramos ir valstybės biudžeto lėšų, rengimo metodika</w:t>
      </w:r>
      <w:r w:rsidRPr="00B778A6">
        <w:rPr>
          <w:lang w:eastAsia="en-US"/>
        </w:rPr>
        <w:t>, projektui „</w:t>
      </w:r>
      <w:r w:rsidR="003420ED" w:rsidRPr="00B778A6">
        <w:rPr>
          <w:lang w:eastAsia="en-US"/>
        </w:rPr>
        <w:t>Lopšelio – darželio Gintarėlis modernizavimas</w:t>
      </w:r>
      <w:r w:rsidRPr="00B778A6">
        <w:rPr>
          <w:lang w:eastAsia="en-US"/>
        </w:rPr>
        <w:t xml:space="preserve">“ taikoma 5 proc. socialinė-ekonominė diskonto norma, kuri naudojama ekonominių pinigų srautų dabartinės vertės apskaičiavimui. </w:t>
      </w:r>
    </w:p>
    <w:p w:rsidR="005B72EA" w:rsidRPr="00B778A6" w:rsidRDefault="005B72EA" w:rsidP="005B72EA">
      <w:pPr>
        <w:ind w:firstLine="720"/>
        <w:jc w:val="both"/>
        <w:rPr>
          <w:lang w:eastAsia="en-US"/>
        </w:rPr>
      </w:pPr>
    </w:p>
    <w:p w:rsidR="00FD1BF7" w:rsidRPr="00B778A6" w:rsidRDefault="00004DEE" w:rsidP="00B54573">
      <w:pPr>
        <w:pStyle w:val="Heading2"/>
        <w:rPr>
          <w:rFonts w:ascii="Times New Roman" w:hAnsi="Times New Roman"/>
        </w:rPr>
      </w:pPr>
      <w:bookmarkStart w:id="46" w:name="_Toc34924501"/>
      <w:r w:rsidRPr="00B778A6">
        <w:rPr>
          <w:rFonts w:ascii="Times New Roman" w:hAnsi="Times New Roman"/>
          <w:lang w:val="lt-LT"/>
        </w:rPr>
        <w:t>5</w:t>
      </w:r>
      <w:r w:rsidR="00FD1BF7" w:rsidRPr="00B778A6">
        <w:rPr>
          <w:rFonts w:ascii="Times New Roman" w:hAnsi="Times New Roman"/>
          <w:lang w:val="lt-LT"/>
        </w:rPr>
        <w:t>.</w:t>
      </w:r>
      <w:r w:rsidRPr="00B778A6">
        <w:rPr>
          <w:rFonts w:ascii="Times New Roman" w:hAnsi="Times New Roman"/>
          <w:lang w:val="lt-LT"/>
        </w:rPr>
        <w:t>3</w:t>
      </w:r>
      <w:r w:rsidR="00B54573" w:rsidRPr="00B778A6">
        <w:rPr>
          <w:rFonts w:ascii="Times New Roman" w:hAnsi="Times New Roman"/>
          <w:lang w:val="lt-LT"/>
        </w:rPr>
        <w:t xml:space="preserve">. Išorinio poveikio </w:t>
      </w:r>
      <w:r w:rsidRPr="00B778A6">
        <w:rPr>
          <w:rFonts w:ascii="Times New Roman" w:hAnsi="Times New Roman"/>
          <w:lang w:val="lt-LT"/>
        </w:rPr>
        <w:t>į</w:t>
      </w:r>
      <w:r w:rsidR="00B54573" w:rsidRPr="00B778A6">
        <w:rPr>
          <w:rFonts w:ascii="Times New Roman" w:hAnsi="Times New Roman"/>
          <w:lang w:val="lt-LT"/>
        </w:rPr>
        <w:t>vertinimas</w:t>
      </w:r>
      <w:bookmarkEnd w:id="46"/>
    </w:p>
    <w:p w:rsidR="00204758" w:rsidRPr="00B778A6" w:rsidRDefault="00204758" w:rsidP="00204758">
      <w:pPr>
        <w:autoSpaceDE w:val="0"/>
        <w:autoSpaceDN w:val="0"/>
        <w:adjustRightInd w:val="0"/>
        <w:ind w:firstLine="709"/>
        <w:jc w:val="both"/>
      </w:pPr>
    </w:p>
    <w:p w:rsidR="00204758" w:rsidRPr="00B778A6" w:rsidRDefault="00204758" w:rsidP="00204758">
      <w:pPr>
        <w:autoSpaceDE w:val="0"/>
        <w:autoSpaceDN w:val="0"/>
        <w:adjustRightInd w:val="0"/>
        <w:ind w:firstLine="709"/>
        <w:jc w:val="both"/>
      </w:pPr>
      <w:r w:rsidRPr="00B778A6">
        <w:t>Projektas „</w:t>
      </w:r>
      <w:r w:rsidR="00411565" w:rsidRPr="00B778A6">
        <w:rPr>
          <w:lang w:eastAsia="en-US"/>
        </w:rPr>
        <w:t>Lopšelio-</w:t>
      </w:r>
      <w:r w:rsidR="003420ED" w:rsidRPr="00B778A6">
        <w:rPr>
          <w:lang w:eastAsia="en-US"/>
        </w:rPr>
        <w:t>darželio Gintarėlis modernizavimas</w:t>
      </w:r>
      <w:r w:rsidRPr="00B778A6">
        <w:t xml:space="preserve">“ skirtas ne tik pastato išlaikymo išlaidų sumažinimui, bet ir šios ekonominės-socialinės naudos generavimui </w:t>
      </w:r>
      <w:r w:rsidR="00C64AE6" w:rsidRPr="00B778A6">
        <w:t>–</w:t>
      </w:r>
      <w:r w:rsidRPr="00B778A6">
        <w:t xml:space="preserve"> sumažėjęs</w:t>
      </w:r>
      <w:r w:rsidR="00C64AE6" w:rsidRPr="00B778A6">
        <w:t xml:space="preserve"> </w:t>
      </w:r>
      <w:r w:rsidRPr="00B778A6">
        <w:t>neigiamas poveikis aplinkai.</w:t>
      </w:r>
    </w:p>
    <w:p w:rsidR="00204758" w:rsidRPr="00B778A6" w:rsidRDefault="00204758" w:rsidP="00204758">
      <w:pPr>
        <w:pStyle w:val="ListParagraph"/>
        <w:jc w:val="both"/>
        <w:rPr>
          <w:szCs w:val="24"/>
        </w:rPr>
      </w:pPr>
    </w:p>
    <w:p w:rsidR="00204758" w:rsidRPr="00B778A6" w:rsidRDefault="00204758" w:rsidP="00204758">
      <w:pPr>
        <w:tabs>
          <w:tab w:val="left" w:pos="720"/>
        </w:tabs>
        <w:ind w:firstLine="720"/>
        <w:jc w:val="both"/>
        <w:rPr>
          <w:lang w:eastAsia="en-US"/>
        </w:rPr>
      </w:pPr>
      <w:r w:rsidRPr="00B778A6">
        <w:rPr>
          <w:lang w:eastAsia="en-US"/>
        </w:rPr>
        <w:t xml:space="preserve">Pažymėtina, kad dažniausiai ekonominės-socialinės naudos negalima išreikšti kiekybine išraiška, tam nėra tinkamos metodikos arba išeitiniai duomenys, o tuo pačiu ir rezultatai, būtų labai netikslūs. Ekonominė-socialinė nauda 2014-2020 m. dalinai ES paramos lėšomis finansuojamiems projektams apskaičiuojama pagal Metodikos ir modelio, skirto įvertinti investicijų, finansuojamų Europos Sąjungos struktūrinių fondų ir Lietuvos nacionalinio biudžeto lėšomis, socialinį-ekonominį </w:t>
      </w:r>
      <w:r w:rsidRPr="00B778A6">
        <w:rPr>
          <w:lang w:eastAsia="en-US"/>
        </w:rPr>
        <w:lastRenderedPageBreak/>
        <w:t>poveik</w:t>
      </w:r>
      <w:r w:rsidR="00C64AE6" w:rsidRPr="00B778A6">
        <w:rPr>
          <w:lang w:eastAsia="en-US"/>
        </w:rPr>
        <w:t>į, sukūrimas galutinę ataskaitą</w:t>
      </w:r>
      <w:r w:rsidRPr="00B778A6">
        <w:rPr>
          <w:lang w:eastAsia="en-US"/>
        </w:rPr>
        <w:t>. Vadovaujantis šia metodika, ekonominės-socialinės naudos apskaičiavimui vertinami šie poveikio komponentai:</w:t>
      </w:r>
    </w:p>
    <w:p w:rsidR="00204758" w:rsidRPr="00B778A6" w:rsidRDefault="00204758" w:rsidP="00204758">
      <w:pPr>
        <w:numPr>
          <w:ilvl w:val="0"/>
          <w:numId w:val="29"/>
        </w:numPr>
        <w:autoSpaceDE w:val="0"/>
        <w:autoSpaceDN w:val="0"/>
        <w:adjustRightInd w:val="0"/>
        <w:jc w:val="both"/>
        <w:rPr>
          <w:bCs/>
        </w:rPr>
      </w:pPr>
      <w:r w:rsidRPr="00B778A6">
        <w:rPr>
          <w:bCs/>
        </w:rPr>
        <w:t>Pastatų energetinių charakteristikų pagerėjimas;</w:t>
      </w:r>
    </w:p>
    <w:p w:rsidR="00204758" w:rsidRPr="00B778A6" w:rsidRDefault="00204758" w:rsidP="00204758">
      <w:pPr>
        <w:numPr>
          <w:ilvl w:val="0"/>
          <w:numId w:val="29"/>
        </w:numPr>
        <w:autoSpaceDE w:val="0"/>
        <w:autoSpaceDN w:val="0"/>
        <w:adjustRightInd w:val="0"/>
        <w:jc w:val="both"/>
        <w:rPr>
          <w:bCs/>
        </w:rPr>
      </w:pPr>
      <w:r w:rsidRPr="00B778A6">
        <w:rPr>
          <w:bCs/>
        </w:rPr>
        <w:t>Anglies dioksido (kaip šiltnamio efektą sukeliančių dujų) emisijos sumažėjimas;</w:t>
      </w:r>
    </w:p>
    <w:p w:rsidR="00204758" w:rsidRPr="00B778A6" w:rsidRDefault="00204758" w:rsidP="00204758">
      <w:pPr>
        <w:numPr>
          <w:ilvl w:val="0"/>
          <w:numId w:val="29"/>
        </w:numPr>
        <w:autoSpaceDE w:val="0"/>
        <w:autoSpaceDN w:val="0"/>
        <w:adjustRightInd w:val="0"/>
        <w:jc w:val="both"/>
        <w:rPr>
          <w:bCs/>
        </w:rPr>
      </w:pPr>
      <w:r w:rsidRPr="00B778A6">
        <w:rPr>
          <w:bCs/>
        </w:rPr>
        <w:t>Oro taršos sumažėjimas.</w:t>
      </w:r>
    </w:p>
    <w:p w:rsidR="005B72EA" w:rsidRPr="00B778A6" w:rsidRDefault="005B72EA" w:rsidP="005B72EA"/>
    <w:p w:rsidR="00004DEE" w:rsidRPr="00B778A6" w:rsidRDefault="00004DEE" w:rsidP="00004DEE">
      <w:pPr>
        <w:rPr>
          <w:b/>
          <w:bCs/>
          <w:sz w:val="26"/>
          <w:szCs w:val="26"/>
        </w:rPr>
      </w:pPr>
      <w:r w:rsidRPr="00B778A6">
        <w:rPr>
          <w:b/>
          <w:bCs/>
          <w:sz w:val="26"/>
          <w:szCs w:val="26"/>
        </w:rPr>
        <w:t>5.3.1. Poveikio komponentai</w:t>
      </w:r>
    </w:p>
    <w:p w:rsidR="004F02C1" w:rsidRPr="00B778A6" w:rsidRDefault="004F02C1" w:rsidP="00004DEE">
      <w:pPr>
        <w:rPr>
          <w:b/>
          <w:bCs/>
          <w:sz w:val="26"/>
          <w:szCs w:val="26"/>
        </w:rPr>
      </w:pPr>
    </w:p>
    <w:p w:rsidR="00204758" w:rsidRPr="00B778A6" w:rsidRDefault="00204758" w:rsidP="00204758">
      <w:pPr>
        <w:rPr>
          <w:bCs/>
        </w:rPr>
      </w:pPr>
      <w:r w:rsidRPr="00B778A6">
        <w:rPr>
          <w:b/>
          <w:bCs/>
          <w:i/>
          <w:szCs w:val="26"/>
        </w:rPr>
        <w:t xml:space="preserve">Pastatų energetinių charakteristikų pagerėjimas </w:t>
      </w:r>
    </w:p>
    <w:p w:rsidR="00204758" w:rsidRPr="00B778A6" w:rsidRDefault="00204758" w:rsidP="00204758">
      <w:pPr>
        <w:autoSpaceDE w:val="0"/>
        <w:autoSpaceDN w:val="0"/>
        <w:adjustRightInd w:val="0"/>
        <w:jc w:val="both"/>
        <w:rPr>
          <w:bCs/>
        </w:rPr>
      </w:pPr>
    </w:p>
    <w:p w:rsidR="00204758" w:rsidRPr="00B778A6" w:rsidRDefault="00204758" w:rsidP="00204758">
      <w:pPr>
        <w:autoSpaceDE w:val="0"/>
        <w:autoSpaceDN w:val="0"/>
        <w:adjustRightInd w:val="0"/>
        <w:ind w:firstLine="709"/>
        <w:jc w:val="both"/>
        <w:rPr>
          <w:bCs/>
        </w:rPr>
      </w:pPr>
      <w:r w:rsidRPr="00B778A6">
        <w:rPr>
          <w:bCs/>
        </w:rPr>
        <w:t>Daugiabučių ar viešųjų pastatų modernizavimą numatantys projektai gali sąlygoti naudą, kylančią dėl pastatų energetinių charakteristikų pagerėjimo, pasireiškiančią per padidėjusį šiluminį komfortą ir / arba sumažėjusias šildymo sąnaudas. Pastatų energetinių charakteristikų pagerėjimo komponentas atspindi padidėjusį šiluminį komfortą. Tuo tarpu sumažėjusios šildymo sąnaudos į ekonomines kainas perskaičiuojamos taikant konversijos koeficientą.</w:t>
      </w:r>
    </w:p>
    <w:p w:rsidR="00204758" w:rsidRPr="00B778A6" w:rsidRDefault="00204758" w:rsidP="00204758">
      <w:pPr>
        <w:autoSpaceDE w:val="0"/>
        <w:autoSpaceDN w:val="0"/>
        <w:adjustRightInd w:val="0"/>
        <w:jc w:val="both"/>
        <w:rPr>
          <w:bCs/>
        </w:rPr>
      </w:pPr>
    </w:p>
    <w:p w:rsidR="00204758" w:rsidRPr="00B778A6" w:rsidRDefault="00204758" w:rsidP="00204758">
      <w:pPr>
        <w:jc w:val="both"/>
        <w:rPr>
          <w:bCs/>
        </w:rPr>
      </w:pPr>
      <w:r w:rsidRPr="00B778A6">
        <w:rPr>
          <w:b/>
          <w:bCs/>
          <w:i/>
          <w:szCs w:val="26"/>
        </w:rPr>
        <w:t xml:space="preserve">Anglies dioksido (kaip šiltnamio efektą sukeliančių dujų) emisijos sumažėjimas </w:t>
      </w:r>
    </w:p>
    <w:p w:rsidR="00204758" w:rsidRPr="00B778A6" w:rsidRDefault="00204758" w:rsidP="00204758">
      <w:pPr>
        <w:autoSpaceDE w:val="0"/>
        <w:autoSpaceDN w:val="0"/>
        <w:adjustRightInd w:val="0"/>
        <w:jc w:val="both"/>
        <w:rPr>
          <w:bCs/>
        </w:rPr>
      </w:pPr>
    </w:p>
    <w:p w:rsidR="00204758" w:rsidRPr="00B778A6" w:rsidRDefault="00204758" w:rsidP="00204758">
      <w:pPr>
        <w:autoSpaceDE w:val="0"/>
        <w:autoSpaceDN w:val="0"/>
        <w:adjustRightInd w:val="0"/>
        <w:ind w:firstLine="709"/>
        <w:jc w:val="both"/>
        <w:rPr>
          <w:bCs/>
        </w:rPr>
      </w:pPr>
      <w:r w:rsidRPr="00B778A6">
        <w:rPr>
          <w:bCs/>
        </w:rPr>
        <w:t>Skirtingi energijos gyvavimo ciklo etapai nuo energijos gamybos įrenginių statybos, jų veikimo ir galiausiai iki jų veiklos nutraukimo skatina intensyvią šiltnamio efektą sukeliančių dujų (ŠESD) emisiją. Pagrindinės ŠESD, energetikos projektų išskiriamos į Žemės atmosferą, yra anglies dioksidas (CO2) ir metanas (CH4).</w:t>
      </w:r>
    </w:p>
    <w:p w:rsidR="00204758" w:rsidRPr="00B778A6" w:rsidRDefault="00204758" w:rsidP="00204758">
      <w:pPr>
        <w:autoSpaceDE w:val="0"/>
        <w:autoSpaceDN w:val="0"/>
        <w:adjustRightInd w:val="0"/>
        <w:ind w:firstLine="709"/>
        <w:jc w:val="both"/>
        <w:rPr>
          <w:bCs/>
        </w:rPr>
      </w:pPr>
      <w:r w:rsidRPr="00B778A6">
        <w:rPr>
          <w:bCs/>
        </w:rPr>
        <w:t>Projektai, apimantys jėgainių ar energijos tiekimo sistemų modernizavimą ar naujų statybą ar pastatų renovaciją, gali sąlygoti ŠESD emisijos lygio pokyčius dėl kuro pakeitimo ar kuro sutaupymo, lyginant su scenarijumi be projekto įgyvendinimo. Tai yra tipinės išorės sąnaudos ar nauda (priklausomai nuo to, ar projektas sukelia emisijos padidėjimą, ar sumažėjimą), į kurias reikia atsižvelgti atliekant ekonominę analizę.</w:t>
      </w:r>
    </w:p>
    <w:p w:rsidR="00204758" w:rsidRPr="00B778A6" w:rsidRDefault="00204758" w:rsidP="00204758">
      <w:pPr>
        <w:autoSpaceDE w:val="0"/>
        <w:autoSpaceDN w:val="0"/>
        <w:adjustRightInd w:val="0"/>
        <w:ind w:firstLine="709"/>
        <w:jc w:val="both"/>
        <w:rPr>
          <w:bCs/>
        </w:rPr>
      </w:pPr>
      <w:r w:rsidRPr="00B778A6">
        <w:rPr>
          <w:bCs/>
        </w:rPr>
        <w:t>Vienas iš būdų įtraukti ŠESD poveikį į energetikos projektų ekonominę analizę yra vertinti emisijos sąnaudas remiantis taršos leidimų, kuriuos operatorius turėtų įsigyti, rinkos kaina. Remiantis šiuo požiūriu, dėl emisijos sumažėjimo išvengtos sąnaudos, skirtos leidimų įsigijimui, atspindėtų šios naudos ekonominę vertę. Vis dėlto dėl ES apyvartinių taršos leidimų prekybos sistemos iškraipymų, kaip pažymi, pavyzdžiui, Europos investicinis bankas, leidimų kaina negali būti laikoma patikima emisijos ekonominių sąnaudų išraiška.</w:t>
      </w:r>
    </w:p>
    <w:p w:rsidR="00204758" w:rsidRPr="00B778A6" w:rsidRDefault="00204758" w:rsidP="00204758">
      <w:pPr>
        <w:autoSpaceDE w:val="0"/>
        <w:autoSpaceDN w:val="0"/>
        <w:adjustRightInd w:val="0"/>
        <w:ind w:firstLine="709"/>
        <w:jc w:val="both"/>
        <w:rPr>
          <w:bCs/>
        </w:rPr>
      </w:pPr>
      <w:r w:rsidRPr="00B778A6">
        <w:rPr>
          <w:bCs/>
        </w:rPr>
        <w:t xml:space="preserve">Todėl Lietuvos energetikos projektų sukuriamą ŠESD emisiją siūloma vertinti dauginant projekto (papildomai, lyginant su scenarijumi be projekto) į atmosferą išleistos emisijos kiekį (CO2 tonų ekvivalentais per metus) iš ekonominių sąnaudų vienetinės reikšmės. </w:t>
      </w:r>
    </w:p>
    <w:p w:rsidR="00204758" w:rsidRPr="00B778A6" w:rsidRDefault="00204758" w:rsidP="00204758">
      <w:pPr>
        <w:autoSpaceDE w:val="0"/>
        <w:autoSpaceDN w:val="0"/>
        <w:adjustRightInd w:val="0"/>
        <w:jc w:val="both"/>
        <w:rPr>
          <w:bCs/>
        </w:rPr>
      </w:pPr>
    </w:p>
    <w:p w:rsidR="00204758" w:rsidRPr="00B778A6" w:rsidRDefault="00204758" w:rsidP="00204758">
      <w:pPr>
        <w:rPr>
          <w:bCs/>
        </w:rPr>
      </w:pPr>
      <w:r w:rsidRPr="00B778A6">
        <w:rPr>
          <w:b/>
          <w:bCs/>
          <w:i/>
          <w:szCs w:val="26"/>
        </w:rPr>
        <w:t xml:space="preserve">Oro taršos sumažėjimas </w:t>
      </w:r>
    </w:p>
    <w:p w:rsidR="00204758" w:rsidRPr="00B778A6" w:rsidRDefault="00204758" w:rsidP="00204758">
      <w:pPr>
        <w:rPr>
          <w:bCs/>
          <w:sz w:val="26"/>
          <w:szCs w:val="26"/>
        </w:rPr>
      </w:pPr>
    </w:p>
    <w:p w:rsidR="00204758" w:rsidRPr="00B778A6" w:rsidRDefault="00204758" w:rsidP="00204758">
      <w:pPr>
        <w:autoSpaceDE w:val="0"/>
        <w:autoSpaceDN w:val="0"/>
        <w:adjustRightInd w:val="0"/>
        <w:ind w:firstLine="709"/>
        <w:jc w:val="both"/>
        <w:rPr>
          <w:bCs/>
        </w:rPr>
      </w:pPr>
      <w:r w:rsidRPr="00B778A6">
        <w:rPr>
          <w:bCs/>
        </w:rPr>
        <w:t>Kuro degimas greta ŠESD emisijos taip pat išleidžia taršius junginius, darančius neigiamą poveikį žmogaus sveikatai, aplinkos kokybei ir ekosistemos apsaugai, medžiagų išsaugojimui, derliaus kokybei ir pan. Modernūs įrenginiai turi filtrus ir degimo kontrolės įrangą, kurie sumažina kenksmingų teršalų išleidimą iki ES teisės aktuose nustatytų ribų. Būtina kiekybiškai įvertinti likutinės žalos sąnaudas.</w:t>
      </w:r>
    </w:p>
    <w:p w:rsidR="00204758" w:rsidRPr="00B778A6" w:rsidRDefault="00204758" w:rsidP="00204758">
      <w:pPr>
        <w:autoSpaceDE w:val="0"/>
        <w:autoSpaceDN w:val="0"/>
        <w:adjustRightInd w:val="0"/>
        <w:ind w:firstLine="709"/>
        <w:jc w:val="both"/>
        <w:rPr>
          <w:bCs/>
        </w:rPr>
      </w:pPr>
      <w:r w:rsidRPr="00B778A6">
        <w:rPr>
          <w:bCs/>
        </w:rPr>
        <w:t>Panašiai, kaip vertinant energetikos projektų sąlygotas ŠESD emisijas bei transporto projektų sąlygotą oro taršos sumažėjimą, turi būti nustatoma energetikos projektų taršos sąnaudas atspindinti piniginė vertė, priskiriama projekto sąlygotam papildomam taršos kiekiui, lyginant su kontrafaktine situacija.</w:t>
      </w:r>
    </w:p>
    <w:p w:rsidR="00204758" w:rsidRPr="00B778A6" w:rsidRDefault="00204758" w:rsidP="00204758">
      <w:pPr>
        <w:ind w:left="720"/>
        <w:jc w:val="both"/>
        <w:rPr>
          <w:bCs/>
        </w:rPr>
      </w:pPr>
      <w:r w:rsidRPr="00B778A6">
        <w:rPr>
          <w:bCs/>
        </w:rPr>
        <w:t>Energetikos projektų išskirtų teršalų sąrašą sudaro:</w:t>
      </w:r>
    </w:p>
    <w:p w:rsidR="00204758" w:rsidRPr="00B778A6" w:rsidRDefault="00204758" w:rsidP="00204758">
      <w:pPr>
        <w:numPr>
          <w:ilvl w:val="0"/>
          <w:numId w:val="20"/>
        </w:numPr>
        <w:jc w:val="both"/>
        <w:rPr>
          <w:bCs/>
        </w:rPr>
      </w:pPr>
      <w:r w:rsidRPr="00B778A6">
        <w:rPr>
          <w:bCs/>
        </w:rPr>
        <w:lastRenderedPageBreak/>
        <w:t>Azoto oksidai (NOx);</w:t>
      </w:r>
    </w:p>
    <w:p w:rsidR="00204758" w:rsidRPr="00B778A6" w:rsidRDefault="00204758" w:rsidP="00204758">
      <w:pPr>
        <w:numPr>
          <w:ilvl w:val="0"/>
          <w:numId w:val="20"/>
        </w:numPr>
        <w:jc w:val="both"/>
        <w:rPr>
          <w:bCs/>
        </w:rPr>
      </w:pPr>
      <w:r w:rsidRPr="00B778A6">
        <w:rPr>
          <w:bCs/>
        </w:rPr>
        <w:t>Sieros dioksidas (SO2);</w:t>
      </w:r>
    </w:p>
    <w:p w:rsidR="00204758" w:rsidRPr="00B778A6" w:rsidRDefault="00204758" w:rsidP="00204758">
      <w:pPr>
        <w:numPr>
          <w:ilvl w:val="0"/>
          <w:numId w:val="20"/>
        </w:numPr>
        <w:jc w:val="both"/>
        <w:rPr>
          <w:bCs/>
        </w:rPr>
      </w:pPr>
      <w:r w:rsidRPr="00B778A6">
        <w:rPr>
          <w:bCs/>
        </w:rPr>
        <w:t>Kietosios dalelės (KD10 ir KD2,5);</w:t>
      </w:r>
    </w:p>
    <w:p w:rsidR="00204758" w:rsidRPr="00B778A6" w:rsidRDefault="00204758" w:rsidP="00204758">
      <w:pPr>
        <w:numPr>
          <w:ilvl w:val="0"/>
          <w:numId w:val="20"/>
        </w:numPr>
        <w:jc w:val="both"/>
        <w:rPr>
          <w:bCs/>
        </w:rPr>
      </w:pPr>
      <w:r w:rsidRPr="00B778A6">
        <w:rPr>
          <w:bCs/>
        </w:rPr>
        <w:t>Nemetaniniai lakieji organiniai junginiai (NMLOJ), vadinamieji ozono (O3) pirmtakai;</w:t>
      </w:r>
    </w:p>
    <w:p w:rsidR="00204758" w:rsidRPr="00B778A6" w:rsidRDefault="00204758" w:rsidP="00204758">
      <w:pPr>
        <w:numPr>
          <w:ilvl w:val="0"/>
          <w:numId w:val="20"/>
        </w:numPr>
        <w:jc w:val="both"/>
        <w:rPr>
          <w:bCs/>
        </w:rPr>
      </w:pPr>
      <w:r w:rsidRPr="00B778A6">
        <w:rPr>
          <w:bCs/>
        </w:rPr>
        <w:t>Amoniakas (NH3).</w:t>
      </w:r>
    </w:p>
    <w:p w:rsidR="00204758" w:rsidRPr="00B778A6" w:rsidRDefault="00204758" w:rsidP="00204758">
      <w:pPr>
        <w:autoSpaceDE w:val="0"/>
        <w:autoSpaceDN w:val="0"/>
        <w:adjustRightInd w:val="0"/>
        <w:ind w:firstLine="709"/>
        <w:jc w:val="both"/>
        <w:rPr>
          <w:bCs/>
        </w:rPr>
      </w:pPr>
    </w:p>
    <w:p w:rsidR="00204758" w:rsidRPr="00B778A6" w:rsidRDefault="00204758" w:rsidP="00204758">
      <w:pPr>
        <w:autoSpaceDE w:val="0"/>
        <w:autoSpaceDN w:val="0"/>
        <w:adjustRightInd w:val="0"/>
        <w:ind w:firstLine="709"/>
        <w:jc w:val="both"/>
        <w:rPr>
          <w:bCs/>
        </w:rPr>
      </w:pPr>
      <w:r w:rsidRPr="00B778A6">
        <w:rPr>
          <w:bCs/>
        </w:rPr>
        <w:t>Teršalų emisijos Lietuvoje pokyčių praktinis vertinimas susideda iš dviejų žingsnių:</w:t>
      </w:r>
    </w:p>
    <w:p w:rsidR="00204758" w:rsidRPr="00B778A6" w:rsidRDefault="00204758" w:rsidP="00204758">
      <w:pPr>
        <w:numPr>
          <w:ilvl w:val="0"/>
          <w:numId w:val="20"/>
        </w:numPr>
        <w:jc w:val="both"/>
        <w:rPr>
          <w:bCs/>
        </w:rPr>
      </w:pPr>
      <w:r w:rsidRPr="00B778A6">
        <w:rPr>
          <w:bCs/>
        </w:rPr>
        <w:t xml:space="preserve">Kiekio nustatymas. Siekiant apibrėžti emisijos kiekio padidėjimą ar sumažėjimą svarbu nustatyti teršalų emisijos kiekį scenarijuose su projekto įgyvendinimu ir be jo. </w:t>
      </w:r>
    </w:p>
    <w:p w:rsidR="00204758" w:rsidRPr="00B778A6" w:rsidRDefault="00204758" w:rsidP="00204758">
      <w:pPr>
        <w:numPr>
          <w:ilvl w:val="0"/>
          <w:numId w:val="20"/>
        </w:numPr>
        <w:jc w:val="both"/>
        <w:rPr>
          <w:bCs/>
        </w:rPr>
      </w:pPr>
      <w:r w:rsidRPr="00B778A6">
        <w:rPr>
          <w:bCs/>
        </w:rPr>
        <w:t xml:space="preserve">Vertinimas: oro teršalų emisijos sąnaudos skaičiuojamos emisijos kiekį dauginant iš vienetinių emisijos sąnaudų, pateiktų </w:t>
      </w:r>
      <w:r w:rsidRPr="00B778A6">
        <w:rPr>
          <w:lang w:eastAsia="en-US"/>
        </w:rPr>
        <w:t>Metodikos ir modelio, skirto įvertinti investicijų, finansuojamų Europos Sąjungos struktūrinių fondų ir Lietuvos nacionalinio biudžeto lėšomis, socialinį-ekonominį poveikį, sukūrimas galutinės ataskaitos</w:t>
      </w:r>
      <w:r w:rsidRPr="00B778A6">
        <w:rPr>
          <w:bCs/>
        </w:rPr>
        <w:t xml:space="preserve"> 52 lentelėje 195 puslapyje.</w:t>
      </w:r>
    </w:p>
    <w:p w:rsidR="002001A7" w:rsidRPr="00B778A6" w:rsidRDefault="002001A7" w:rsidP="002001A7">
      <w:pPr>
        <w:jc w:val="both"/>
        <w:rPr>
          <w:bCs/>
        </w:rPr>
      </w:pPr>
    </w:p>
    <w:p w:rsidR="002001A7" w:rsidRPr="00B778A6" w:rsidRDefault="002001A7" w:rsidP="002001A7">
      <w:pPr>
        <w:ind w:firstLine="709"/>
        <w:jc w:val="both"/>
        <w:rPr>
          <w:bCs/>
        </w:rPr>
      </w:pPr>
      <w:r w:rsidRPr="00B778A6">
        <w:rPr>
          <w:bCs/>
        </w:rPr>
        <w:t>Skaičiuoklėje šios socialinės ekonominės naudos dedamoji nėra vertinama.</w:t>
      </w:r>
    </w:p>
    <w:p w:rsidR="00FD2914" w:rsidRPr="00B778A6" w:rsidRDefault="00FD2914" w:rsidP="009E32F3">
      <w:pPr>
        <w:rPr>
          <w:bCs/>
          <w:sz w:val="26"/>
          <w:szCs w:val="26"/>
        </w:rPr>
      </w:pPr>
    </w:p>
    <w:p w:rsidR="00004DEE" w:rsidRPr="00B778A6" w:rsidRDefault="00004DEE" w:rsidP="00004DEE">
      <w:pPr>
        <w:rPr>
          <w:b/>
          <w:bCs/>
          <w:sz w:val="26"/>
          <w:szCs w:val="26"/>
        </w:rPr>
      </w:pPr>
      <w:r w:rsidRPr="00B778A6">
        <w:rPr>
          <w:b/>
          <w:bCs/>
          <w:sz w:val="26"/>
          <w:szCs w:val="26"/>
        </w:rPr>
        <w:t>5.3.2. Poveikio mastas</w:t>
      </w:r>
    </w:p>
    <w:p w:rsidR="00004DEE" w:rsidRPr="00B778A6" w:rsidRDefault="00004DEE" w:rsidP="00004DEE">
      <w:pPr>
        <w:rPr>
          <w:b/>
          <w:bCs/>
          <w:sz w:val="26"/>
          <w:szCs w:val="26"/>
        </w:rPr>
      </w:pPr>
    </w:p>
    <w:p w:rsidR="00B204CA" w:rsidRPr="00B778A6" w:rsidRDefault="00B204CA" w:rsidP="00273253">
      <w:pPr>
        <w:jc w:val="both"/>
        <w:rPr>
          <w:b/>
          <w:bCs/>
          <w:i/>
          <w:szCs w:val="26"/>
        </w:rPr>
      </w:pPr>
      <w:r w:rsidRPr="00B778A6">
        <w:rPr>
          <w:b/>
          <w:bCs/>
          <w:i/>
          <w:szCs w:val="26"/>
        </w:rPr>
        <w:t>Pastatų energetinių charakteristikų pagerėjimas</w:t>
      </w:r>
    </w:p>
    <w:p w:rsidR="00B204CA" w:rsidRPr="00B778A6" w:rsidRDefault="00B204CA" w:rsidP="00273253">
      <w:pPr>
        <w:jc w:val="both"/>
        <w:rPr>
          <w:bCs/>
          <w:szCs w:val="26"/>
        </w:rPr>
      </w:pPr>
    </w:p>
    <w:p w:rsidR="00B204CA" w:rsidRPr="00B778A6" w:rsidRDefault="00B204CA" w:rsidP="00B204CA">
      <w:pPr>
        <w:tabs>
          <w:tab w:val="left" w:pos="720"/>
        </w:tabs>
        <w:jc w:val="both"/>
        <w:rPr>
          <w:u w:val="single"/>
          <w:lang w:eastAsia="en-US"/>
        </w:rPr>
      </w:pPr>
      <w:r w:rsidRPr="00B778A6">
        <w:rPr>
          <w:u w:val="single"/>
          <w:lang w:eastAsia="en-US"/>
        </w:rPr>
        <w:t>Alternatyva „</w:t>
      </w:r>
      <w:r w:rsidR="00B778A6">
        <w:rPr>
          <w:u w:val="single"/>
          <w:lang w:eastAsia="en-US"/>
        </w:rPr>
        <w:t>Esamo pastato/patalpų dalies kapitalinis remontas</w:t>
      </w:r>
      <w:r w:rsidRPr="00B778A6">
        <w:rPr>
          <w:u w:val="single"/>
          <w:lang w:eastAsia="en-US"/>
        </w:rPr>
        <w:t>“</w:t>
      </w:r>
    </w:p>
    <w:p w:rsidR="00101DF0" w:rsidRPr="00B778A6" w:rsidRDefault="00101DF0" w:rsidP="00C14545">
      <w:pPr>
        <w:numPr>
          <w:ilvl w:val="0"/>
          <w:numId w:val="38"/>
        </w:numPr>
        <w:tabs>
          <w:tab w:val="left" w:pos="720"/>
        </w:tabs>
        <w:jc w:val="both"/>
        <w:rPr>
          <w:lang w:eastAsia="en-US"/>
        </w:rPr>
      </w:pPr>
      <w:r w:rsidRPr="00B778A6">
        <w:rPr>
          <w:lang w:eastAsia="en-US"/>
        </w:rPr>
        <w:t>Pastatų energetinių charakteristikų pagerėjimas. Šios alternatyvos atveju pagal SNA skaičiuoklę nenumatomas.</w:t>
      </w:r>
    </w:p>
    <w:p w:rsidR="00C14545" w:rsidRPr="00B778A6" w:rsidRDefault="00101DF0" w:rsidP="00C14545">
      <w:pPr>
        <w:numPr>
          <w:ilvl w:val="0"/>
          <w:numId w:val="38"/>
        </w:numPr>
        <w:tabs>
          <w:tab w:val="left" w:pos="720"/>
        </w:tabs>
        <w:jc w:val="both"/>
        <w:rPr>
          <w:lang w:eastAsia="en-US"/>
        </w:rPr>
      </w:pPr>
      <w:r w:rsidRPr="00B778A6">
        <w:rPr>
          <w:lang w:eastAsia="en-US"/>
        </w:rPr>
        <w:t>Anglies dioksido (kaip šiltnamio efektą sukeliančių dujų) emisijos sumažėjimas.</w:t>
      </w:r>
      <w:r w:rsidR="00C14545" w:rsidRPr="00B778A6">
        <w:rPr>
          <w:lang w:eastAsia="en-US"/>
        </w:rPr>
        <w:t xml:space="preserve"> </w:t>
      </w:r>
      <w:r w:rsidR="00666F43" w:rsidRPr="00B778A6">
        <w:rPr>
          <w:lang w:eastAsia="en-US"/>
        </w:rPr>
        <w:t xml:space="preserve">Modernizuoto </w:t>
      </w:r>
      <w:r w:rsidR="00C14545" w:rsidRPr="00B778A6">
        <w:rPr>
          <w:lang w:eastAsia="en-US"/>
        </w:rPr>
        <w:t xml:space="preserve">pastato energetinis efektyvumas bus didesnis, todėl ši ekonominė-socialinė nauda siekia </w:t>
      </w:r>
      <w:r w:rsidR="00C668D4">
        <w:rPr>
          <w:lang w:eastAsia="en-US"/>
        </w:rPr>
        <w:t>3</w:t>
      </w:r>
      <w:r w:rsidR="004779D1" w:rsidRPr="00B778A6">
        <w:rPr>
          <w:lang w:eastAsia="en-US"/>
        </w:rPr>
        <w:t>-14</w:t>
      </w:r>
      <w:r w:rsidR="004413CE" w:rsidRPr="00B778A6">
        <w:rPr>
          <w:lang w:eastAsia="en-US"/>
        </w:rPr>
        <w:t xml:space="preserve"> tūkst.</w:t>
      </w:r>
      <w:r w:rsidR="00C14545" w:rsidRPr="00B778A6">
        <w:rPr>
          <w:lang w:eastAsia="en-US"/>
        </w:rPr>
        <w:t xml:space="preserve"> EUR per metus. </w:t>
      </w:r>
    </w:p>
    <w:p w:rsidR="00101DF0" w:rsidRPr="00B778A6" w:rsidRDefault="00101DF0" w:rsidP="00C14545">
      <w:pPr>
        <w:numPr>
          <w:ilvl w:val="0"/>
          <w:numId w:val="39"/>
        </w:numPr>
        <w:tabs>
          <w:tab w:val="left" w:pos="720"/>
        </w:tabs>
        <w:jc w:val="both"/>
        <w:rPr>
          <w:lang w:eastAsia="en-US"/>
        </w:rPr>
      </w:pPr>
      <w:r w:rsidRPr="00B778A6">
        <w:rPr>
          <w:lang w:eastAsia="en-US"/>
        </w:rPr>
        <w:t>Oro taršos sumažėjimas. Šios alternatyvos atveju pagal SNA skaičiuoklę nenumatomas.</w:t>
      </w:r>
    </w:p>
    <w:p w:rsidR="00101DF0" w:rsidRPr="00B778A6" w:rsidRDefault="00101DF0" w:rsidP="00B204CA">
      <w:pPr>
        <w:tabs>
          <w:tab w:val="left" w:pos="720"/>
        </w:tabs>
        <w:jc w:val="both"/>
        <w:rPr>
          <w:u w:val="single"/>
          <w:lang w:eastAsia="en-US"/>
        </w:rPr>
      </w:pPr>
    </w:p>
    <w:p w:rsidR="00101DF0" w:rsidRPr="00B778A6" w:rsidRDefault="00101DF0" w:rsidP="00B204CA">
      <w:pPr>
        <w:tabs>
          <w:tab w:val="left" w:pos="720"/>
        </w:tabs>
        <w:jc w:val="both"/>
        <w:rPr>
          <w:u w:val="single"/>
          <w:lang w:eastAsia="en-US"/>
        </w:rPr>
      </w:pPr>
      <w:r w:rsidRPr="00B778A6">
        <w:rPr>
          <w:u w:val="single"/>
          <w:lang w:eastAsia="en-US"/>
        </w:rPr>
        <w:t>Alternatyva „</w:t>
      </w:r>
      <w:r w:rsidR="00B778A6">
        <w:rPr>
          <w:u w:val="single"/>
          <w:lang w:eastAsia="en-US"/>
        </w:rPr>
        <w:t>Esamo pastato pardavimas ir naujo pastato statyba</w:t>
      </w:r>
      <w:r w:rsidRPr="00B778A6">
        <w:rPr>
          <w:u w:val="single"/>
          <w:lang w:eastAsia="en-US"/>
        </w:rPr>
        <w:t>“</w:t>
      </w:r>
    </w:p>
    <w:p w:rsidR="00101DF0" w:rsidRPr="00B778A6" w:rsidRDefault="00101DF0" w:rsidP="00C14545">
      <w:pPr>
        <w:numPr>
          <w:ilvl w:val="0"/>
          <w:numId w:val="39"/>
        </w:numPr>
        <w:tabs>
          <w:tab w:val="left" w:pos="720"/>
        </w:tabs>
        <w:jc w:val="both"/>
        <w:rPr>
          <w:lang w:eastAsia="en-US"/>
        </w:rPr>
      </w:pPr>
      <w:r w:rsidRPr="00B778A6">
        <w:rPr>
          <w:lang w:eastAsia="en-US"/>
        </w:rPr>
        <w:t>Pastatų energetinių charakteristikų pagerėjimas. Šios alternatyvos atveju pagal SNA skaičiuoklę nenumatomas.</w:t>
      </w:r>
    </w:p>
    <w:p w:rsidR="00C14545" w:rsidRPr="00B778A6" w:rsidRDefault="00101DF0" w:rsidP="00C14545">
      <w:pPr>
        <w:numPr>
          <w:ilvl w:val="0"/>
          <w:numId w:val="39"/>
        </w:numPr>
        <w:tabs>
          <w:tab w:val="left" w:pos="720"/>
        </w:tabs>
        <w:jc w:val="both"/>
        <w:rPr>
          <w:lang w:eastAsia="en-US"/>
        </w:rPr>
      </w:pPr>
      <w:r w:rsidRPr="00B778A6">
        <w:rPr>
          <w:lang w:eastAsia="en-US"/>
        </w:rPr>
        <w:t>Anglies dioksido (kaip šiltnamio efektą sukeliančių dujų) emisijos sumažėjimas.</w:t>
      </w:r>
      <w:r w:rsidR="00C14545" w:rsidRPr="00B778A6">
        <w:rPr>
          <w:lang w:eastAsia="en-US"/>
        </w:rPr>
        <w:t xml:space="preserve"> Naujo pastato energetinis efektyvumas bus didesnis, todėl ši ekonominė-socialinė nauda siekia </w:t>
      </w:r>
      <w:r w:rsidR="00C668D4">
        <w:rPr>
          <w:lang w:eastAsia="en-US"/>
        </w:rPr>
        <w:t>5</w:t>
      </w:r>
      <w:r w:rsidR="004779D1" w:rsidRPr="00B778A6">
        <w:rPr>
          <w:lang w:eastAsia="en-US"/>
        </w:rPr>
        <w:t>-</w:t>
      </w:r>
      <w:r w:rsidR="00C668D4" w:rsidRPr="00B778A6">
        <w:rPr>
          <w:lang w:eastAsia="en-US"/>
        </w:rPr>
        <w:t>2</w:t>
      </w:r>
      <w:r w:rsidR="00C668D4">
        <w:rPr>
          <w:lang w:eastAsia="en-US"/>
        </w:rPr>
        <w:t>4</w:t>
      </w:r>
      <w:r w:rsidR="00C668D4" w:rsidRPr="00B778A6">
        <w:rPr>
          <w:lang w:eastAsia="en-US"/>
        </w:rPr>
        <w:t xml:space="preserve"> </w:t>
      </w:r>
      <w:r w:rsidR="004413CE" w:rsidRPr="00B778A6">
        <w:rPr>
          <w:lang w:eastAsia="en-US"/>
        </w:rPr>
        <w:t>tūkst.</w:t>
      </w:r>
      <w:r w:rsidR="00C14545" w:rsidRPr="00B778A6">
        <w:rPr>
          <w:lang w:eastAsia="en-US"/>
        </w:rPr>
        <w:t xml:space="preserve"> EUR. </w:t>
      </w:r>
    </w:p>
    <w:p w:rsidR="00101DF0" w:rsidRPr="00B778A6" w:rsidRDefault="00101DF0" w:rsidP="00101DF0">
      <w:pPr>
        <w:numPr>
          <w:ilvl w:val="0"/>
          <w:numId w:val="40"/>
        </w:numPr>
        <w:tabs>
          <w:tab w:val="left" w:pos="720"/>
        </w:tabs>
        <w:jc w:val="both"/>
        <w:rPr>
          <w:lang w:eastAsia="en-US"/>
        </w:rPr>
      </w:pPr>
      <w:r w:rsidRPr="00B778A6">
        <w:rPr>
          <w:lang w:eastAsia="en-US"/>
        </w:rPr>
        <w:t>Oro taršos sumažėjimas. Šios alternatyvos atveju pagal SNA skaičiuoklę nenumatomas.</w:t>
      </w:r>
    </w:p>
    <w:p w:rsidR="00101DF0" w:rsidRPr="00B778A6" w:rsidRDefault="00101DF0" w:rsidP="00B204CA">
      <w:pPr>
        <w:tabs>
          <w:tab w:val="left" w:pos="720"/>
        </w:tabs>
        <w:jc w:val="both"/>
        <w:rPr>
          <w:u w:val="single"/>
          <w:lang w:eastAsia="en-US"/>
        </w:rPr>
      </w:pPr>
    </w:p>
    <w:p w:rsidR="00A5732B" w:rsidRPr="00B778A6" w:rsidRDefault="00A5732B" w:rsidP="00B204CA">
      <w:pPr>
        <w:tabs>
          <w:tab w:val="left" w:pos="720"/>
        </w:tabs>
        <w:jc w:val="both"/>
        <w:rPr>
          <w:lang w:eastAsia="en-US"/>
        </w:rPr>
      </w:pPr>
      <w:r w:rsidRPr="00B778A6">
        <w:rPr>
          <w:lang w:eastAsia="en-US"/>
        </w:rPr>
        <w:t>Detalus skaičiavimas pateikiamas SNA skaičiuoklėje.</w:t>
      </w:r>
    </w:p>
    <w:p w:rsidR="00101DF0" w:rsidRPr="00B778A6" w:rsidRDefault="00101DF0" w:rsidP="00B204CA">
      <w:pPr>
        <w:tabs>
          <w:tab w:val="left" w:pos="720"/>
        </w:tabs>
        <w:jc w:val="both"/>
        <w:rPr>
          <w:u w:val="single"/>
          <w:lang w:eastAsia="en-US"/>
        </w:rPr>
      </w:pPr>
    </w:p>
    <w:p w:rsidR="004E58B1" w:rsidRPr="00B778A6" w:rsidRDefault="00004DEE" w:rsidP="00B54573">
      <w:pPr>
        <w:pStyle w:val="Heading2"/>
        <w:rPr>
          <w:rFonts w:ascii="Times New Roman" w:hAnsi="Times New Roman"/>
        </w:rPr>
      </w:pPr>
      <w:bookmarkStart w:id="47" w:name="_Toc34924502"/>
      <w:r w:rsidRPr="00B778A6">
        <w:rPr>
          <w:rFonts w:ascii="Times New Roman" w:hAnsi="Times New Roman"/>
          <w:lang w:val="lt-LT"/>
        </w:rPr>
        <w:t>5</w:t>
      </w:r>
      <w:r w:rsidR="0060060F" w:rsidRPr="00B778A6">
        <w:rPr>
          <w:rFonts w:ascii="Times New Roman" w:hAnsi="Times New Roman"/>
          <w:lang w:val="lt-LT"/>
        </w:rPr>
        <w:t>.</w:t>
      </w:r>
      <w:r w:rsidRPr="00B778A6">
        <w:rPr>
          <w:rFonts w:ascii="Times New Roman" w:hAnsi="Times New Roman"/>
          <w:lang w:val="lt-LT"/>
        </w:rPr>
        <w:t xml:space="preserve">4. Ekonominiai </w:t>
      </w:r>
      <w:r w:rsidR="0060060F" w:rsidRPr="00B778A6">
        <w:rPr>
          <w:rFonts w:ascii="Times New Roman" w:hAnsi="Times New Roman"/>
          <w:lang w:val="lt-LT"/>
        </w:rPr>
        <w:t xml:space="preserve"> r</w:t>
      </w:r>
      <w:r w:rsidR="00B54573" w:rsidRPr="00B778A6">
        <w:rPr>
          <w:rFonts w:ascii="Times New Roman" w:hAnsi="Times New Roman"/>
          <w:lang w:val="lt-LT"/>
        </w:rPr>
        <w:t>odikli</w:t>
      </w:r>
      <w:r w:rsidRPr="00B778A6">
        <w:rPr>
          <w:rFonts w:ascii="Times New Roman" w:hAnsi="Times New Roman"/>
          <w:lang w:val="lt-LT"/>
        </w:rPr>
        <w:t>ai</w:t>
      </w:r>
      <w:bookmarkEnd w:id="47"/>
    </w:p>
    <w:p w:rsidR="0054472A" w:rsidRPr="00B778A6" w:rsidRDefault="0054472A" w:rsidP="0054472A">
      <w:pPr>
        <w:ind w:firstLine="720"/>
        <w:jc w:val="both"/>
      </w:pPr>
    </w:p>
    <w:p w:rsidR="0054472A" w:rsidRPr="00B778A6" w:rsidRDefault="0054472A" w:rsidP="0054472A">
      <w:pPr>
        <w:ind w:firstLine="720"/>
        <w:jc w:val="both"/>
      </w:pPr>
      <w:r w:rsidRPr="00B778A6">
        <w:t>Projekto „</w:t>
      </w:r>
      <w:r w:rsidR="00411565" w:rsidRPr="00B778A6">
        <w:rPr>
          <w:lang w:eastAsia="en-US"/>
        </w:rPr>
        <w:t>Lopšelio-</w:t>
      </w:r>
      <w:r w:rsidR="003420ED" w:rsidRPr="00B778A6">
        <w:rPr>
          <w:lang w:eastAsia="en-US"/>
        </w:rPr>
        <w:t>darželio Gintarėlis modernizavimas</w:t>
      </w:r>
      <w:r w:rsidRPr="00B778A6">
        <w:t>“ socialiniai-ekonominiai rodikliai:</w:t>
      </w:r>
    </w:p>
    <w:p w:rsidR="0054472A" w:rsidRPr="00B778A6" w:rsidRDefault="0054472A" w:rsidP="0054472A"/>
    <w:tbl>
      <w:tblPr>
        <w:tblW w:w="0" w:type="auto"/>
        <w:tblBorders>
          <w:top w:val="nil"/>
          <w:left w:val="nil"/>
          <w:bottom w:val="nil"/>
          <w:right w:val="nil"/>
        </w:tblBorders>
        <w:tblLayout w:type="fixed"/>
        <w:tblLook w:val="0000"/>
      </w:tblPr>
      <w:tblGrid>
        <w:gridCol w:w="9747"/>
      </w:tblGrid>
      <w:tr w:rsidR="0054472A" w:rsidRPr="00B778A6" w:rsidTr="00CD02E2">
        <w:trPr>
          <w:trHeight w:val="968"/>
        </w:trPr>
        <w:tc>
          <w:tcPr>
            <w:tcW w:w="9747" w:type="dxa"/>
          </w:tcPr>
          <w:p w:rsidR="0054472A" w:rsidRPr="00B778A6" w:rsidRDefault="0054472A" w:rsidP="00CD02E2">
            <w:pPr>
              <w:numPr>
                <w:ilvl w:val="0"/>
                <w:numId w:val="12"/>
              </w:numPr>
              <w:autoSpaceDE w:val="0"/>
              <w:autoSpaceDN w:val="0"/>
              <w:adjustRightInd w:val="0"/>
              <w:jc w:val="both"/>
              <w:rPr>
                <w:color w:val="000000"/>
              </w:rPr>
            </w:pPr>
            <w:r w:rsidRPr="00B778A6">
              <w:rPr>
                <w:b/>
                <w:color w:val="000000"/>
              </w:rPr>
              <w:t xml:space="preserve">Ekonominė grynoji dabartinė vertė, EGDV </w:t>
            </w:r>
            <w:r w:rsidRPr="00B778A6">
              <w:rPr>
                <w:color w:val="000000"/>
              </w:rPr>
              <w:t xml:space="preserve">parodo, kokia socialinė-ekonominė nauda projektu bus sukurta išorinėje projekto aplinkoje. Taigi, EGDV skirta pagrįsti būsimą IP naudą per visą ataskaitinį laikotarpį tikslinėms grupėms, išreiškiant ją dabartine pinigų verte. </w:t>
            </w:r>
          </w:p>
          <w:p w:rsidR="0054472A" w:rsidRPr="00B778A6" w:rsidRDefault="0054472A" w:rsidP="00CD02E2">
            <w:pPr>
              <w:autoSpaceDE w:val="0"/>
              <w:autoSpaceDN w:val="0"/>
              <w:adjustRightInd w:val="0"/>
              <w:ind w:left="720"/>
              <w:jc w:val="both"/>
              <w:rPr>
                <w:color w:val="000000"/>
              </w:rPr>
            </w:pPr>
            <w:r w:rsidRPr="00B778A6">
              <w:rPr>
                <w:color w:val="000000"/>
              </w:rPr>
              <w:lastRenderedPageBreak/>
              <w:t xml:space="preserve">Jei EGDV &lt; 0, IP sukuriama diskontuota nauda nepadengia diskontuotų išlaidų, todėl tokio IP įgyvendinti nėra tikslinga. Jei EGDV &gt; 0, projektu kuriama pridėtinė vertė visuomenei. Atitinkamai, socialiniu ekonominiu požiūriu IP yra pagrįstas, jeigu jo EGDV yra teigiama. </w:t>
            </w:r>
          </w:p>
        </w:tc>
      </w:tr>
      <w:tr w:rsidR="0054472A" w:rsidRPr="00B778A6" w:rsidTr="00CD02E2">
        <w:trPr>
          <w:trHeight w:val="566"/>
        </w:trPr>
        <w:tc>
          <w:tcPr>
            <w:tcW w:w="9747" w:type="dxa"/>
          </w:tcPr>
          <w:p w:rsidR="0054472A" w:rsidRPr="00B778A6" w:rsidRDefault="0054472A" w:rsidP="00CD02E2">
            <w:pPr>
              <w:numPr>
                <w:ilvl w:val="0"/>
                <w:numId w:val="12"/>
              </w:numPr>
              <w:autoSpaceDE w:val="0"/>
              <w:autoSpaceDN w:val="0"/>
              <w:adjustRightInd w:val="0"/>
              <w:jc w:val="both"/>
              <w:rPr>
                <w:color w:val="000000"/>
              </w:rPr>
            </w:pPr>
            <w:r w:rsidRPr="00B778A6">
              <w:rPr>
                <w:b/>
                <w:color w:val="000000"/>
              </w:rPr>
              <w:lastRenderedPageBreak/>
              <w:t xml:space="preserve">Ekonominė vidinė grąžos norma, EVGN </w:t>
            </w:r>
            <w:r w:rsidRPr="00B778A6">
              <w:rPr>
                <w:color w:val="000000"/>
              </w:rPr>
              <w:t>– tai diskonto norma, kuriai esant EGDV yra lygi nuliui. Kadangi skaičiuojant EGDV grynųjų pajamų srautai taip pat diskontuojami, apskaičiuotoji EVGN lyginama su SDN, pritaikyta EGDV apskaičiuoti. Žymią socialinę ekonominę naudą duodančio IP EVGN paprastai yra didesnė nei pritaikyta SDN</w:t>
            </w:r>
            <w:r w:rsidR="005D761A" w:rsidRPr="00B778A6">
              <w:rPr>
                <w:color w:val="000000"/>
              </w:rPr>
              <w:t>.</w:t>
            </w:r>
            <w:r w:rsidRPr="00B778A6">
              <w:rPr>
                <w:color w:val="000000"/>
              </w:rPr>
              <w:t xml:space="preserve"> </w:t>
            </w:r>
          </w:p>
        </w:tc>
      </w:tr>
    </w:tbl>
    <w:p w:rsidR="0054472A" w:rsidRPr="00B778A6" w:rsidRDefault="0054472A" w:rsidP="0054472A">
      <w:pPr>
        <w:numPr>
          <w:ilvl w:val="0"/>
          <w:numId w:val="12"/>
        </w:numPr>
        <w:autoSpaceDE w:val="0"/>
        <w:autoSpaceDN w:val="0"/>
        <w:adjustRightInd w:val="0"/>
        <w:jc w:val="both"/>
        <w:rPr>
          <w:color w:val="000000"/>
        </w:rPr>
      </w:pPr>
      <w:r w:rsidRPr="00B778A6">
        <w:rPr>
          <w:b/>
          <w:color w:val="000000"/>
        </w:rPr>
        <w:t xml:space="preserve">Ekonominis naudos ir išlaidų santykis, ENIS </w:t>
      </w:r>
      <w:r w:rsidRPr="00B778A6">
        <w:rPr>
          <w:color w:val="000000"/>
        </w:rPr>
        <w:t xml:space="preserve">– svarbiausias socialinės-ekonominės analizės rodiklis, atskleidžiantis, kiek kartų projekto sukuriama socialinė-ekonominė nauda viršija jam įgyvendinti reikalingas išlaidas. ENIS apskaičiuojama padalinant IP kuriamą ekonominę naudą iš ekonominių išlaidų. </w:t>
      </w:r>
    </w:p>
    <w:p w:rsidR="0054472A" w:rsidRPr="00B778A6" w:rsidRDefault="0054472A" w:rsidP="0054472A">
      <w:pPr>
        <w:tabs>
          <w:tab w:val="left" w:pos="720"/>
        </w:tabs>
        <w:ind w:firstLine="720"/>
        <w:jc w:val="both"/>
        <w:rPr>
          <w:lang w:eastAsia="en-US"/>
        </w:rPr>
      </w:pPr>
    </w:p>
    <w:p w:rsidR="0054472A" w:rsidRPr="00B778A6" w:rsidRDefault="0054472A" w:rsidP="0054472A">
      <w:pPr>
        <w:tabs>
          <w:tab w:val="left" w:pos="720"/>
        </w:tabs>
        <w:ind w:firstLine="720"/>
        <w:jc w:val="both"/>
        <w:rPr>
          <w:lang w:eastAsia="en-US"/>
        </w:rPr>
      </w:pPr>
      <w:r w:rsidRPr="00B778A6">
        <w:rPr>
          <w:lang w:eastAsia="en-US"/>
        </w:rPr>
        <w:t xml:space="preserve">Ekonominė nauda yra lygi konvertuotų ir diskontuotų veiklos pajamų bei socialinės–ekonominės naudos sumai. Rodikliai apskaičiuoti naudojant oficialią skaičiuoklę. Skaičiuoklė su rezultatais pateikiama, kaip savarankiškas investicijų projekto priedas. </w:t>
      </w:r>
    </w:p>
    <w:p w:rsidR="0054472A" w:rsidRPr="00B778A6" w:rsidRDefault="0054472A" w:rsidP="0054472A">
      <w:pPr>
        <w:tabs>
          <w:tab w:val="left" w:pos="720"/>
        </w:tabs>
        <w:ind w:firstLine="720"/>
        <w:jc w:val="both"/>
        <w:rPr>
          <w:lang w:eastAsia="en-US"/>
        </w:rPr>
      </w:pPr>
    </w:p>
    <w:p w:rsidR="0054472A" w:rsidRPr="00B778A6" w:rsidRDefault="0054472A" w:rsidP="0054472A">
      <w:pPr>
        <w:tabs>
          <w:tab w:val="left" w:pos="720"/>
        </w:tabs>
        <w:jc w:val="both"/>
        <w:rPr>
          <w:lang w:eastAsia="en-US"/>
        </w:rPr>
      </w:pPr>
      <w:r w:rsidRPr="00B778A6">
        <w:rPr>
          <w:u w:val="single"/>
          <w:lang w:eastAsia="en-US"/>
        </w:rPr>
        <w:t>Alternatyva „</w:t>
      </w:r>
      <w:r w:rsidR="00B778A6">
        <w:rPr>
          <w:u w:val="single"/>
          <w:lang w:eastAsia="en-US"/>
        </w:rPr>
        <w:t>Esamo pastato/patalpų dalies kapitalinis remontas</w:t>
      </w:r>
      <w:r w:rsidRPr="00B778A6">
        <w:rPr>
          <w:u w:val="single"/>
          <w:lang w:eastAsia="en-US"/>
        </w:rPr>
        <w:t>“</w:t>
      </w:r>
    </w:p>
    <w:p w:rsidR="0054472A" w:rsidRPr="00B778A6" w:rsidRDefault="0054472A" w:rsidP="0054472A">
      <w:pPr>
        <w:tabs>
          <w:tab w:val="left" w:pos="720"/>
        </w:tabs>
        <w:ind w:firstLine="720"/>
        <w:jc w:val="both"/>
        <w:rPr>
          <w:lang w:eastAsia="en-US"/>
        </w:rPr>
      </w:pPr>
    </w:p>
    <w:p w:rsidR="0054472A" w:rsidRPr="00B778A6" w:rsidRDefault="0054472A" w:rsidP="0054472A">
      <w:pPr>
        <w:tabs>
          <w:tab w:val="left" w:pos="720"/>
        </w:tabs>
        <w:ind w:firstLine="720"/>
        <w:jc w:val="both"/>
        <w:rPr>
          <w:lang w:eastAsia="en-US"/>
        </w:rPr>
      </w:pPr>
      <w:r w:rsidRPr="00B778A6">
        <w:rPr>
          <w:lang w:eastAsia="en-US"/>
        </w:rPr>
        <w:t>Rodiklių reikšmės:</w:t>
      </w:r>
    </w:p>
    <w:p w:rsidR="0054472A" w:rsidRPr="00B778A6" w:rsidRDefault="0054472A" w:rsidP="0054472A">
      <w:pPr>
        <w:pStyle w:val="Default"/>
        <w:numPr>
          <w:ilvl w:val="0"/>
          <w:numId w:val="6"/>
        </w:numPr>
        <w:jc w:val="both"/>
        <w:rPr>
          <w:rFonts w:eastAsia="Calibri"/>
        </w:rPr>
      </w:pPr>
      <w:r w:rsidRPr="00B778A6">
        <w:rPr>
          <w:rFonts w:eastAsia="Calibri"/>
          <w:b/>
        </w:rPr>
        <w:t xml:space="preserve">EGDV – </w:t>
      </w:r>
      <w:r w:rsidR="00DC350F" w:rsidRPr="00B778A6">
        <w:rPr>
          <w:rFonts w:eastAsia="Calibri"/>
          <w:b/>
        </w:rPr>
        <w:t>(-</w:t>
      </w:r>
      <w:r w:rsidR="001536BF" w:rsidRPr="00B778A6">
        <w:rPr>
          <w:rFonts w:eastAsia="Calibri"/>
          <w:b/>
        </w:rPr>
        <w:t>0,</w:t>
      </w:r>
      <w:r w:rsidR="00C668D4" w:rsidRPr="00B778A6">
        <w:rPr>
          <w:rFonts w:eastAsia="Calibri"/>
          <w:b/>
        </w:rPr>
        <w:t>3</w:t>
      </w:r>
      <w:r w:rsidR="00C668D4">
        <w:rPr>
          <w:rFonts w:eastAsia="Calibri"/>
          <w:b/>
        </w:rPr>
        <w:t>95</w:t>
      </w:r>
      <w:r w:rsidR="00DC350F" w:rsidRPr="00B778A6">
        <w:rPr>
          <w:rFonts w:eastAsia="Calibri"/>
          <w:b/>
        </w:rPr>
        <w:t>)</w:t>
      </w:r>
      <w:r w:rsidRPr="00B778A6">
        <w:rPr>
          <w:rFonts w:eastAsia="Calibri"/>
          <w:b/>
        </w:rPr>
        <w:t xml:space="preserve"> </w:t>
      </w:r>
      <w:r w:rsidR="001536BF" w:rsidRPr="00B778A6">
        <w:rPr>
          <w:rFonts w:eastAsia="Calibri"/>
          <w:b/>
        </w:rPr>
        <w:t>mln</w:t>
      </w:r>
      <w:r w:rsidRPr="00B778A6">
        <w:rPr>
          <w:rFonts w:eastAsia="Calibri"/>
          <w:b/>
        </w:rPr>
        <w:t>. EUR.</w:t>
      </w:r>
      <w:r w:rsidRPr="00B778A6">
        <w:rPr>
          <w:rFonts w:eastAsia="Calibri"/>
        </w:rPr>
        <w:t xml:space="preserve"> </w:t>
      </w:r>
      <w:r w:rsidRPr="00B778A6">
        <w:rPr>
          <w:bCs/>
        </w:rPr>
        <w:t xml:space="preserve">Šiam rodikliui esant </w:t>
      </w:r>
      <w:r w:rsidR="00DC350F" w:rsidRPr="00B778A6">
        <w:rPr>
          <w:bCs/>
        </w:rPr>
        <w:t>n</w:t>
      </w:r>
      <w:r w:rsidRPr="00B778A6">
        <w:rPr>
          <w:bCs/>
        </w:rPr>
        <w:t xml:space="preserve">eigiamam, projekto sukuriama socialinė-ekonominė nauda </w:t>
      </w:r>
      <w:r w:rsidR="00DC350F" w:rsidRPr="00B778A6">
        <w:rPr>
          <w:bCs/>
        </w:rPr>
        <w:t>yra mažesnė</w:t>
      </w:r>
      <w:r w:rsidRPr="00B778A6">
        <w:rPr>
          <w:bCs/>
        </w:rPr>
        <w:t xml:space="preserve"> už investicijas.</w:t>
      </w:r>
    </w:p>
    <w:p w:rsidR="0054472A" w:rsidRPr="00B778A6" w:rsidRDefault="0054472A" w:rsidP="0054472A">
      <w:pPr>
        <w:pStyle w:val="Default"/>
        <w:numPr>
          <w:ilvl w:val="0"/>
          <w:numId w:val="6"/>
        </w:numPr>
        <w:jc w:val="both"/>
        <w:rPr>
          <w:rFonts w:eastAsia="Calibri"/>
        </w:rPr>
      </w:pPr>
      <w:r w:rsidRPr="00B778A6">
        <w:rPr>
          <w:rFonts w:eastAsia="Calibri"/>
          <w:b/>
        </w:rPr>
        <w:t xml:space="preserve">EVGN – </w:t>
      </w:r>
      <w:r w:rsidR="004779D1" w:rsidRPr="00B778A6">
        <w:rPr>
          <w:rFonts w:eastAsia="Calibri"/>
          <w:b/>
        </w:rPr>
        <w:t>1,</w:t>
      </w:r>
      <w:r w:rsidR="00C668D4">
        <w:rPr>
          <w:rFonts w:eastAsia="Calibri"/>
          <w:b/>
        </w:rPr>
        <w:t>10</w:t>
      </w:r>
      <w:r w:rsidR="00C668D4" w:rsidRPr="00B778A6">
        <w:rPr>
          <w:rFonts w:eastAsia="Calibri"/>
          <w:b/>
        </w:rPr>
        <w:t xml:space="preserve"> </w:t>
      </w:r>
      <w:r w:rsidRPr="00B778A6">
        <w:rPr>
          <w:rFonts w:eastAsia="Calibri"/>
          <w:b/>
        </w:rPr>
        <w:t>proc.</w:t>
      </w:r>
      <w:r w:rsidRPr="00B778A6">
        <w:rPr>
          <w:rFonts w:eastAsia="Calibri"/>
        </w:rPr>
        <w:t xml:space="preserve"> Šis rodiklis </w:t>
      </w:r>
      <w:r w:rsidR="00DC350F" w:rsidRPr="00B778A6">
        <w:rPr>
          <w:rFonts w:eastAsia="Calibri"/>
        </w:rPr>
        <w:t>mažesnis</w:t>
      </w:r>
      <w:r w:rsidRPr="00B778A6">
        <w:rPr>
          <w:rFonts w:eastAsia="Calibri"/>
        </w:rPr>
        <w:t xml:space="preserve"> už 5 proc. – socialinės-ekonominės naudos diskonto normą. Tai reiškia, kad projekto socialinė-ekonominė grąža yra </w:t>
      </w:r>
      <w:r w:rsidR="00DC350F" w:rsidRPr="00B778A6">
        <w:rPr>
          <w:rFonts w:eastAsia="Calibri"/>
        </w:rPr>
        <w:t>neigiama</w:t>
      </w:r>
      <w:r w:rsidRPr="00B778A6">
        <w:rPr>
          <w:rFonts w:eastAsia="Calibri"/>
        </w:rPr>
        <w:t>.</w:t>
      </w:r>
    </w:p>
    <w:p w:rsidR="0054472A" w:rsidRPr="00B778A6" w:rsidRDefault="0054472A" w:rsidP="0054472A">
      <w:pPr>
        <w:numPr>
          <w:ilvl w:val="0"/>
          <w:numId w:val="6"/>
        </w:numPr>
        <w:jc w:val="both"/>
      </w:pPr>
      <w:r w:rsidRPr="00B778A6">
        <w:rPr>
          <w:b/>
          <w:color w:val="000000"/>
        </w:rPr>
        <w:t xml:space="preserve">ENIS – </w:t>
      </w:r>
      <w:r w:rsidR="00DC350F" w:rsidRPr="00B778A6">
        <w:rPr>
          <w:b/>
          <w:color w:val="000000"/>
        </w:rPr>
        <w:t>0,</w:t>
      </w:r>
      <w:r w:rsidR="00C668D4">
        <w:rPr>
          <w:b/>
          <w:color w:val="000000"/>
        </w:rPr>
        <w:t>35</w:t>
      </w:r>
      <w:r w:rsidRPr="00B778A6">
        <w:rPr>
          <w:b/>
          <w:color w:val="000000"/>
        </w:rPr>
        <w:t>.</w:t>
      </w:r>
      <w:r w:rsidRPr="00B778A6">
        <w:rPr>
          <w:color w:val="000000"/>
        </w:rPr>
        <w:t xml:space="preserve"> </w:t>
      </w:r>
      <w:r w:rsidRPr="00B778A6">
        <w:t xml:space="preserve">Šis rodiklis yra </w:t>
      </w:r>
      <w:r w:rsidR="00DC350F" w:rsidRPr="00B778A6">
        <w:t>mažesnis</w:t>
      </w:r>
      <w:r w:rsidRPr="00B778A6">
        <w:t xml:space="preserve"> už 1. Tai reiškia, kad projekto generuojama socialinė-ekonominė nauda yra </w:t>
      </w:r>
      <w:r w:rsidR="00DC350F" w:rsidRPr="00B778A6">
        <w:t>mažesnė</w:t>
      </w:r>
      <w:r w:rsidRPr="00B778A6">
        <w:t xml:space="preserve"> už projekto investicijas ir sąnaudas.</w:t>
      </w:r>
    </w:p>
    <w:p w:rsidR="0054472A" w:rsidRPr="00B778A6" w:rsidRDefault="0054472A" w:rsidP="0054472A">
      <w:pPr>
        <w:pStyle w:val="Default"/>
        <w:ind w:left="720"/>
        <w:rPr>
          <w:rFonts w:eastAsia="Calibri"/>
          <w:sz w:val="22"/>
          <w:szCs w:val="22"/>
        </w:rPr>
      </w:pPr>
    </w:p>
    <w:p w:rsidR="0054472A" w:rsidRPr="00B778A6" w:rsidRDefault="0054472A" w:rsidP="0054472A">
      <w:pPr>
        <w:pStyle w:val="Default"/>
        <w:rPr>
          <w:rFonts w:eastAsia="Calibri"/>
          <w:sz w:val="22"/>
          <w:szCs w:val="22"/>
        </w:rPr>
      </w:pPr>
      <w:r w:rsidRPr="00B778A6">
        <w:rPr>
          <w:u w:val="single"/>
        </w:rPr>
        <w:t>Alternatyva „</w:t>
      </w:r>
      <w:r w:rsidR="00B778A6">
        <w:rPr>
          <w:u w:val="single"/>
        </w:rPr>
        <w:t>Esamo pastato pardavimas ir naujo pastato statyba</w:t>
      </w:r>
      <w:r w:rsidRPr="00B778A6">
        <w:rPr>
          <w:u w:val="single"/>
        </w:rPr>
        <w:t>“</w:t>
      </w:r>
    </w:p>
    <w:p w:rsidR="0054472A" w:rsidRPr="00B778A6" w:rsidRDefault="0054472A" w:rsidP="0054472A">
      <w:pPr>
        <w:pStyle w:val="Default"/>
        <w:ind w:left="720"/>
        <w:rPr>
          <w:rFonts w:eastAsia="Calibri"/>
          <w:sz w:val="22"/>
          <w:szCs w:val="22"/>
        </w:rPr>
      </w:pPr>
    </w:p>
    <w:p w:rsidR="0054472A" w:rsidRPr="00B778A6" w:rsidRDefault="0054472A" w:rsidP="0054472A">
      <w:pPr>
        <w:tabs>
          <w:tab w:val="left" w:pos="720"/>
        </w:tabs>
        <w:ind w:firstLine="720"/>
        <w:jc w:val="both"/>
        <w:rPr>
          <w:lang w:eastAsia="en-US"/>
        </w:rPr>
      </w:pPr>
      <w:r w:rsidRPr="00B778A6">
        <w:rPr>
          <w:lang w:eastAsia="en-US"/>
        </w:rPr>
        <w:t>Rodiklių reikšmės:</w:t>
      </w:r>
    </w:p>
    <w:p w:rsidR="0054472A" w:rsidRPr="00B778A6" w:rsidRDefault="0054472A" w:rsidP="0054472A">
      <w:pPr>
        <w:pStyle w:val="Default"/>
        <w:numPr>
          <w:ilvl w:val="0"/>
          <w:numId w:val="6"/>
        </w:numPr>
        <w:jc w:val="both"/>
        <w:rPr>
          <w:rFonts w:eastAsia="Calibri"/>
        </w:rPr>
      </w:pPr>
      <w:r w:rsidRPr="00B778A6">
        <w:rPr>
          <w:rFonts w:eastAsia="Calibri"/>
          <w:b/>
        </w:rPr>
        <w:t xml:space="preserve">EGDV – </w:t>
      </w:r>
      <w:r w:rsidR="0004104C" w:rsidRPr="00B778A6">
        <w:rPr>
          <w:rFonts w:eastAsia="Calibri"/>
          <w:b/>
        </w:rPr>
        <w:t>(-</w:t>
      </w:r>
      <w:r w:rsidR="004779D1" w:rsidRPr="00B778A6">
        <w:rPr>
          <w:rFonts w:eastAsia="Calibri"/>
          <w:b/>
        </w:rPr>
        <w:t>1,</w:t>
      </w:r>
      <w:r w:rsidR="00C668D4">
        <w:rPr>
          <w:rFonts w:eastAsia="Calibri"/>
          <w:b/>
        </w:rPr>
        <w:t>406</w:t>
      </w:r>
      <w:r w:rsidR="0004104C" w:rsidRPr="00B778A6">
        <w:rPr>
          <w:rFonts w:eastAsia="Calibri"/>
          <w:b/>
        </w:rPr>
        <w:t>)</w:t>
      </w:r>
      <w:r w:rsidR="00ED7E0D" w:rsidRPr="00B778A6">
        <w:rPr>
          <w:rFonts w:eastAsia="Calibri"/>
          <w:b/>
        </w:rPr>
        <w:t xml:space="preserve"> </w:t>
      </w:r>
      <w:r w:rsidR="001536BF" w:rsidRPr="00B778A6">
        <w:rPr>
          <w:rFonts w:eastAsia="Calibri"/>
          <w:b/>
        </w:rPr>
        <w:t>mln</w:t>
      </w:r>
      <w:r w:rsidRPr="00B778A6">
        <w:rPr>
          <w:rFonts w:eastAsia="Calibri"/>
          <w:b/>
        </w:rPr>
        <w:t>. EUR.</w:t>
      </w:r>
      <w:r w:rsidRPr="00B778A6">
        <w:rPr>
          <w:rFonts w:eastAsia="Calibri"/>
        </w:rPr>
        <w:t xml:space="preserve"> </w:t>
      </w:r>
      <w:r w:rsidR="0004104C" w:rsidRPr="00B778A6">
        <w:rPr>
          <w:bCs/>
        </w:rPr>
        <w:t>Šiam rodikliui esant neigiamam, projekto sukuriama socialinė-ekonominė nauda yra mažesnė už investicijas.</w:t>
      </w:r>
    </w:p>
    <w:p w:rsidR="0054472A" w:rsidRPr="00B778A6" w:rsidRDefault="0054472A" w:rsidP="0054472A">
      <w:pPr>
        <w:pStyle w:val="Default"/>
        <w:numPr>
          <w:ilvl w:val="0"/>
          <w:numId w:val="6"/>
        </w:numPr>
        <w:jc w:val="both"/>
        <w:rPr>
          <w:rFonts w:eastAsia="Calibri"/>
        </w:rPr>
      </w:pPr>
      <w:r w:rsidRPr="00B778A6">
        <w:rPr>
          <w:rFonts w:eastAsia="Calibri"/>
          <w:b/>
        </w:rPr>
        <w:t xml:space="preserve">EVGN – </w:t>
      </w:r>
      <w:r w:rsidR="001536BF" w:rsidRPr="00B778A6">
        <w:rPr>
          <w:rFonts w:eastAsia="Calibri"/>
          <w:b/>
        </w:rPr>
        <w:t>0,</w:t>
      </w:r>
      <w:r w:rsidR="00C668D4">
        <w:rPr>
          <w:rFonts w:eastAsia="Calibri"/>
          <w:b/>
        </w:rPr>
        <w:t>12</w:t>
      </w:r>
      <w:r w:rsidR="00C668D4" w:rsidRPr="00B778A6">
        <w:rPr>
          <w:rFonts w:eastAsia="Calibri"/>
          <w:b/>
        </w:rPr>
        <w:t xml:space="preserve"> </w:t>
      </w:r>
      <w:r w:rsidRPr="00B778A6">
        <w:rPr>
          <w:rFonts w:eastAsia="Calibri"/>
          <w:b/>
        </w:rPr>
        <w:t>proc.</w:t>
      </w:r>
      <w:r w:rsidRPr="00B778A6">
        <w:rPr>
          <w:rFonts w:eastAsia="Calibri"/>
        </w:rPr>
        <w:t xml:space="preserve"> </w:t>
      </w:r>
      <w:r w:rsidR="0004104C" w:rsidRPr="00B778A6">
        <w:rPr>
          <w:rFonts w:eastAsia="Calibri"/>
        </w:rPr>
        <w:t>Šis rodiklis mažesnis už 5 proc. – socialinės-ekonominės naudos diskonto normą. Tai reiškia, kad projekto socialinė-ekonominė grąža yra neigiama.</w:t>
      </w:r>
    </w:p>
    <w:p w:rsidR="0054472A" w:rsidRPr="00B778A6" w:rsidRDefault="0054472A" w:rsidP="0054472A">
      <w:pPr>
        <w:numPr>
          <w:ilvl w:val="0"/>
          <w:numId w:val="6"/>
        </w:numPr>
        <w:jc w:val="both"/>
      </w:pPr>
      <w:r w:rsidRPr="00B778A6">
        <w:rPr>
          <w:b/>
          <w:color w:val="000000"/>
        </w:rPr>
        <w:t xml:space="preserve">ENIS – </w:t>
      </w:r>
      <w:r w:rsidR="0004104C" w:rsidRPr="00B778A6">
        <w:rPr>
          <w:b/>
          <w:color w:val="000000"/>
        </w:rPr>
        <w:t>0,</w:t>
      </w:r>
      <w:r w:rsidR="00C668D4" w:rsidRPr="00B778A6">
        <w:rPr>
          <w:b/>
          <w:color w:val="000000"/>
        </w:rPr>
        <w:t>2</w:t>
      </w:r>
      <w:r w:rsidR="00C668D4">
        <w:rPr>
          <w:b/>
          <w:color w:val="000000"/>
        </w:rPr>
        <w:t>0</w:t>
      </w:r>
      <w:r w:rsidRPr="00B778A6">
        <w:rPr>
          <w:b/>
          <w:color w:val="000000"/>
        </w:rPr>
        <w:t>.</w:t>
      </w:r>
      <w:r w:rsidRPr="00B778A6">
        <w:rPr>
          <w:color w:val="000000"/>
        </w:rPr>
        <w:t xml:space="preserve"> </w:t>
      </w:r>
      <w:r w:rsidR="0004104C" w:rsidRPr="00B778A6">
        <w:t>Šis rodiklis yra mažesnis už 1. Tai reiškia, kad projekto generuojama socialinė-ekonominė nauda yra mažesnė už projekto investicijas ir sąnaudas.</w:t>
      </w:r>
    </w:p>
    <w:p w:rsidR="00FD1BF7" w:rsidRPr="00B778A6" w:rsidRDefault="00004DEE" w:rsidP="00B54573">
      <w:pPr>
        <w:pStyle w:val="Heading2"/>
        <w:rPr>
          <w:rFonts w:ascii="Times New Roman" w:hAnsi="Times New Roman"/>
        </w:rPr>
      </w:pPr>
      <w:bookmarkStart w:id="48" w:name="_Toc34924503"/>
      <w:r w:rsidRPr="00B778A6">
        <w:rPr>
          <w:rFonts w:ascii="Times New Roman" w:hAnsi="Times New Roman"/>
          <w:lang w:val="lt-LT"/>
        </w:rPr>
        <w:t>5</w:t>
      </w:r>
      <w:r w:rsidR="00FD1BF7" w:rsidRPr="00B778A6">
        <w:rPr>
          <w:rFonts w:ascii="Times New Roman" w:hAnsi="Times New Roman"/>
          <w:lang w:val="lt-LT"/>
        </w:rPr>
        <w:t>.</w:t>
      </w:r>
      <w:r w:rsidRPr="00B778A6">
        <w:rPr>
          <w:rFonts w:ascii="Times New Roman" w:hAnsi="Times New Roman"/>
          <w:lang w:val="lt-LT"/>
        </w:rPr>
        <w:t>5</w:t>
      </w:r>
      <w:r w:rsidR="00FD1BF7" w:rsidRPr="00B778A6">
        <w:rPr>
          <w:rFonts w:ascii="Times New Roman" w:hAnsi="Times New Roman"/>
          <w:lang w:val="lt-LT"/>
        </w:rPr>
        <w:t xml:space="preserve">. </w:t>
      </w:r>
      <w:r w:rsidRPr="00B778A6">
        <w:rPr>
          <w:rFonts w:ascii="Times New Roman" w:hAnsi="Times New Roman"/>
          <w:lang w:val="lt-LT"/>
        </w:rPr>
        <w:t>Optimalios alternatyvos parinkimas</w:t>
      </w:r>
      <w:bookmarkEnd w:id="48"/>
    </w:p>
    <w:p w:rsidR="00E20B7D" w:rsidRPr="00B778A6" w:rsidRDefault="00E20B7D" w:rsidP="006F49E2">
      <w:pPr>
        <w:tabs>
          <w:tab w:val="left" w:pos="720"/>
        </w:tabs>
        <w:ind w:firstLine="720"/>
        <w:jc w:val="both"/>
        <w:rPr>
          <w:lang w:eastAsia="en-US"/>
        </w:rPr>
      </w:pPr>
    </w:p>
    <w:p w:rsidR="00BD0C04" w:rsidRPr="00B778A6" w:rsidRDefault="00E80B9A" w:rsidP="006F49E2">
      <w:pPr>
        <w:tabs>
          <w:tab w:val="left" w:pos="720"/>
        </w:tabs>
        <w:ind w:firstLine="720"/>
        <w:jc w:val="both"/>
        <w:rPr>
          <w:lang w:eastAsia="en-US"/>
        </w:rPr>
      </w:pPr>
      <w:r w:rsidRPr="00B778A6">
        <w:t xml:space="preserve">Išnagrinėjus alternatyvų socialinius-ekonominius rodiklius, galima daryti išvadą, kad abi alternatyvos </w:t>
      </w:r>
      <w:r w:rsidR="004779D1" w:rsidRPr="00B778A6">
        <w:t xml:space="preserve">gana </w:t>
      </w:r>
      <w:r w:rsidRPr="00B778A6">
        <w:t xml:space="preserve">labai skirtingos finansiškai ir ekonomiškai. Nors abi alternatyvos </w:t>
      </w:r>
      <w:r w:rsidR="001536BF" w:rsidRPr="00B778A6">
        <w:t xml:space="preserve">pasieks projekto tikslą ir rodiklius, bet jų </w:t>
      </w:r>
      <w:r w:rsidRPr="00B778A6">
        <w:t>socialin</w:t>
      </w:r>
      <w:r w:rsidR="001536BF" w:rsidRPr="00B778A6">
        <w:t>ės</w:t>
      </w:r>
      <w:r w:rsidRPr="00B778A6">
        <w:t>-ekonomin</w:t>
      </w:r>
      <w:r w:rsidR="001536BF" w:rsidRPr="00B778A6">
        <w:t>ės</w:t>
      </w:r>
      <w:r w:rsidRPr="00B778A6">
        <w:t xml:space="preserve"> naud</w:t>
      </w:r>
      <w:r w:rsidR="001536BF" w:rsidRPr="00B778A6">
        <w:t>os rodikliai nepakankami. Visgi,</w:t>
      </w:r>
      <w:r w:rsidRPr="00B778A6">
        <w:t xml:space="preserve"> alternatyvos „</w:t>
      </w:r>
      <w:r w:rsidR="00B778A6">
        <w:t>Esamo pastato/patalpų dalies kapitalinis remontas</w:t>
      </w:r>
      <w:r w:rsidRPr="00B778A6">
        <w:t>“ rodikliai yra priimti</w:t>
      </w:r>
      <w:r w:rsidR="001536BF" w:rsidRPr="00B778A6">
        <w:t>nesni, ji ir pasirenkama</w:t>
      </w:r>
      <w:r w:rsidRPr="00B778A6">
        <w:t>. Pasirinktai projekto įgyvendinimo alternatyvai jokių kitų žinomų (techninių, socialinių, ekonominių) apribojimų nėra.</w:t>
      </w:r>
    </w:p>
    <w:p w:rsidR="00FD1BF7" w:rsidRPr="00B778A6" w:rsidRDefault="003713FE" w:rsidP="00B54573">
      <w:pPr>
        <w:pStyle w:val="Heading1"/>
        <w:rPr>
          <w:rFonts w:ascii="Times New Roman" w:hAnsi="Times New Roman"/>
        </w:rPr>
      </w:pPr>
      <w:r w:rsidRPr="00B778A6">
        <w:rPr>
          <w:rFonts w:ascii="Times New Roman" w:hAnsi="Times New Roman"/>
          <w:lang w:val="lt-LT"/>
        </w:rPr>
        <w:br w:type="page"/>
      </w:r>
      <w:bookmarkStart w:id="49" w:name="_Toc34924504"/>
      <w:r w:rsidR="00454B87" w:rsidRPr="00B778A6">
        <w:rPr>
          <w:rFonts w:ascii="Times New Roman" w:hAnsi="Times New Roman"/>
          <w:lang w:val="lt-LT"/>
        </w:rPr>
        <w:lastRenderedPageBreak/>
        <w:t>6</w:t>
      </w:r>
      <w:r w:rsidR="004324D3" w:rsidRPr="00B778A6">
        <w:rPr>
          <w:rFonts w:ascii="Times New Roman" w:hAnsi="Times New Roman"/>
          <w:lang w:val="lt-LT"/>
        </w:rPr>
        <w:t xml:space="preserve">. </w:t>
      </w:r>
      <w:r w:rsidR="003364A6" w:rsidRPr="00B778A6">
        <w:rPr>
          <w:rFonts w:ascii="Times New Roman" w:hAnsi="Times New Roman"/>
          <w:lang w:val="lt-LT"/>
        </w:rPr>
        <w:t>JAUTRUMAS</w:t>
      </w:r>
      <w:r w:rsidR="00FD1BF7" w:rsidRPr="00B778A6">
        <w:rPr>
          <w:rFonts w:ascii="Times New Roman" w:hAnsi="Times New Roman"/>
          <w:lang w:val="lt-LT"/>
        </w:rPr>
        <w:t xml:space="preserve"> IR RIZIKOS</w:t>
      </w:r>
      <w:bookmarkEnd w:id="49"/>
      <w:r w:rsidR="00FD1BF7" w:rsidRPr="00B778A6">
        <w:rPr>
          <w:rFonts w:ascii="Times New Roman" w:hAnsi="Times New Roman"/>
          <w:lang w:val="lt-LT"/>
        </w:rPr>
        <w:t xml:space="preserve"> </w:t>
      </w:r>
    </w:p>
    <w:p w:rsidR="0054472A" w:rsidRPr="00B778A6" w:rsidRDefault="0054472A" w:rsidP="0054472A">
      <w:pPr>
        <w:tabs>
          <w:tab w:val="left" w:pos="720"/>
        </w:tabs>
        <w:ind w:firstLine="720"/>
        <w:jc w:val="both"/>
        <w:rPr>
          <w:lang w:eastAsia="en-US"/>
        </w:rPr>
      </w:pPr>
    </w:p>
    <w:p w:rsidR="0054472A" w:rsidRPr="00B778A6" w:rsidRDefault="0054472A" w:rsidP="0054472A">
      <w:pPr>
        <w:tabs>
          <w:tab w:val="left" w:pos="720"/>
        </w:tabs>
        <w:ind w:firstLine="720"/>
        <w:jc w:val="both"/>
        <w:rPr>
          <w:lang w:eastAsia="en-US"/>
        </w:rPr>
      </w:pPr>
      <w:r w:rsidRPr="00B778A6">
        <w:rPr>
          <w:lang w:eastAsia="en-US"/>
        </w:rPr>
        <w:t>Šioje dalyje atliekama projekto jautrumo ir rizikos analizė (vadovaujantis Investicijų projektų, kuriems siekiama gauti finansavimą iš Europos Sąjungos struktūrinės paramos ir valstybės biudžeto lėšų, rengimo metodika).</w:t>
      </w:r>
    </w:p>
    <w:p w:rsidR="0054472A" w:rsidRPr="00B778A6" w:rsidRDefault="0054472A" w:rsidP="0054472A">
      <w:pPr>
        <w:tabs>
          <w:tab w:val="left" w:pos="720"/>
        </w:tabs>
        <w:ind w:firstLine="720"/>
        <w:jc w:val="both"/>
        <w:rPr>
          <w:lang w:eastAsia="en-US"/>
        </w:rPr>
      </w:pPr>
      <w:r w:rsidRPr="00B778A6">
        <w:rPr>
          <w:lang w:eastAsia="en-US"/>
        </w:rPr>
        <w:t>Rodikliai apskaičiuoti naudojant oficialią skaičiuoklę. Skaičiuoklė su rezultatais pateikiama, kaip savarankiškas investicijų projekto  priedas.</w:t>
      </w:r>
    </w:p>
    <w:p w:rsidR="004000F5" w:rsidRPr="00B778A6" w:rsidRDefault="004000F5" w:rsidP="00FD1BF7">
      <w:pPr>
        <w:pStyle w:val="ColorfulList-Accent11"/>
        <w:ind w:left="0"/>
        <w:rPr>
          <w:szCs w:val="24"/>
        </w:rPr>
      </w:pPr>
    </w:p>
    <w:p w:rsidR="00FD1BF7" w:rsidRPr="00B778A6" w:rsidRDefault="00454B87" w:rsidP="00B54573">
      <w:pPr>
        <w:pStyle w:val="Heading2"/>
        <w:rPr>
          <w:rFonts w:ascii="Times New Roman" w:hAnsi="Times New Roman"/>
        </w:rPr>
      </w:pPr>
      <w:bookmarkStart w:id="50" w:name="_Toc34924505"/>
      <w:r w:rsidRPr="00B778A6">
        <w:rPr>
          <w:rFonts w:ascii="Times New Roman" w:hAnsi="Times New Roman"/>
          <w:lang w:val="lt-LT"/>
        </w:rPr>
        <w:t>6</w:t>
      </w:r>
      <w:r w:rsidR="00FD1BF7" w:rsidRPr="00B778A6">
        <w:rPr>
          <w:rFonts w:ascii="Times New Roman" w:hAnsi="Times New Roman"/>
          <w:lang w:val="lt-LT"/>
        </w:rPr>
        <w:t>.1. Jautrumo analizė</w:t>
      </w:r>
      <w:bookmarkEnd w:id="50"/>
    </w:p>
    <w:p w:rsidR="004000F5" w:rsidRPr="00B778A6" w:rsidRDefault="00454B87" w:rsidP="003713FE">
      <w:pPr>
        <w:pStyle w:val="Heading3"/>
        <w:rPr>
          <w:lang w:eastAsia="en-US"/>
        </w:rPr>
      </w:pPr>
      <w:bookmarkStart w:id="51" w:name="_Toc34924506"/>
      <w:r w:rsidRPr="00B778A6">
        <w:rPr>
          <w:rFonts w:ascii="Times New Roman" w:hAnsi="Times New Roman"/>
          <w:lang w:val="lt-LT"/>
        </w:rPr>
        <w:t>6</w:t>
      </w:r>
      <w:r w:rsidR="00B54573" w:rsidRPr="00B778A6">
        <w:rPr>
          <w:rFonts w:ascii="Times New Roman" w:hAnsi="Times New Roman"/>
          <w:lang w:val="lt-LT"/>
        </w:rPr>
        <w:t>.1.1. Kintamųjų nustatymas</w:t>
      </w:r>
      <w:bookmarkEnd w:id="51"/>
      <w:r w:rsidR="004000F5" w:rsidRPr="00B778A6">
        <w:rPr>
          <w:rFonts w:ascii="Times New Roman" w:hAnsi="Times New Roman"/>
          <w:lang w:val="lt-LT"/>
        </w:rPr>
        <w:br/>
      </w:r>
    </w:p>
    <w:p w:rsidR="0054472A" w:rsidRPr="00B778A6" w:rsidRDefault="0054472A" w:rsidP="0054472A">
      <w:pPr>
        <w:ind w:firstLine="709"/>
        <w:jc w:val="both"/>
        <w:rPr>
          <w:lang w:eastAsia="en-US"/>
        </w:rPr>
      </w:pPr>
      <w:r w:rsidRPr="00B778A6">
        <w:rPr>
          <w:lang w:eastAsia="en-US"/>
        </w:rPr>
        <w:t>Projekto jautrumo analizei pagal projekto specifiką naudojami šie kintamieji: finansinė diskont</w:t>
      </w:r>
      <w:r w:rsidR="00EA2596" w:rsidRPr="00B778A6">
        <w:rPr>
          <w:lang w:eastAsia="en-US"/>
        </w:rPr>
        <w:t>o norma, statybos investicijos</w:t>
      </w:r>
      <w:r w:rsidRPr="00B778A6">
        <w:rPr>
          <w:lang w:eastAsia="en-US"/>
        </w:rPr>
        <w:t>, veiklos išlaidos, tiesioginė socialinė-ekonominė nauda.</w:t>
      </w:r>
    </w:p>
    <w:p w:rsidR="0054472A" w:rsidRPr="00B778A6" w:rsidRDefault="0054472A" w:rsidP="0054472A">
      <w:pPr>
        <w:rPr>
          <w:lang w:eastAsia="en-US"/>
        </w:rPr>
      </w:pPr>
    </w:p>
    <w:p w:rsidR="00FD1BF7" w:rsidRPr="00B778A6" w:rsidRDefault="00454B87" w:rsidP="00B54573">
      <w:pPr>
        <w:pStyle w:val="Heading3"/>
        <w:rPr>
          <w:rFonts w:ascii="Times New Roman" w:hAnsi="Times New Roman"/>
        </w:rPr>
      </w:pPr>
      <w:bookmarkStart w:id="52" w:name="_Toc34924507"/>
      <w:r w:rsidRPr="00B778A6">
        <w:rPr>
          <w:rFonts w:ascii="Times New Roman" w:hAnsi="Times New Roman"/>
          <w:lang w:val="lt-LT"/>
        </w:rPr>
        <w:t>6</w:t>
      </w:r>
      <w:r w:rsidR="003364A6" w:rsidRPr="00B778A6">
        <w:rPr>
          <w:rFonts w:ascii="Times New Roman" w:hAnsi="Times New Roman"/>
          <w:lang w:val="lt-LT"/>
        </w:rPr>
        <w:t>.1.2. Tarpusavio</w:t>
      </w:r>
      <w:r w:rsidR="00FD1BF7" w:rsidRPr="00B778A6">
        <w:rPr>
          <w:rFonts w:ascii="Times New Roman" w:hAnsi="Times New Roman"/>
          <w:lang w:val="lt-LT"/>
        </w:rPr>
        <w:t xml:space="preserve"> pri</w:t>
      </w:r>
      <w:r w:rsidR="003364A6" w:rsidRPr="00B778A6">
        <w:rPr>
          <w:rFonts w:ascii="Times New Roman" w:hAnsi="Times New Roman"/>
          <w:lang w:val="lt-LT"/>
        </w:rPr>
        <w:t>klausomybės įvertinimas</w:t>
      </w:r>
      <w:bookmarkEnd w:id="52"/>
    </w:p>
    <w:p w:rsidR="0054472A" w:rsidRPr="00B778A6" w:rsidRDefault="0054472A" w:rsidP="0054472A">
      <w:pPr>
        <w:tabs>
          <w:tab w:val="left" w:pos="720"/>
        </w:tabs>
        <w:ind w:firstLine="720"/>
        <w:jc w:val="both"/>
        <w:rPr>
          <w:lang w:eastAsia="en-US"/>
        </w:rPr>
      </w:pPr>
    </w:p>
    <w:p w:rsidR="0054472A" w:rsidRPr="00B778A6" w:rsidRDefault="0054472A" w:rsidP="0054472A">
      <w:pPr>
        <w:tabs>
          <w:tab w:val="left" w:pos="720"/>
        </w:tabs>
        <w:ind w:firstLine="720"/>
        <w:jc w:val="both"/>
        <w:rPr>
          <w:lang w:eastAsia="en-US"/>
        </w:rPr>
      </w:pPr>
      <w:r w:rsidRPr="00B778A6">
        <w:rPr>
          <w:lang w:eastAsia="en-US"/>
        </w:rPr>
        <w:t>Visi paminėti kintamieji tarpusavyje nėra susiję, todėl nė vienas jų neeliminuojamas.</w:t>
      </w:r>
    </w:p>
    <w:p w:rsidR="00B54573" w:rsidRPr="00B778A6" w:rsidRDefault="00B54573" w:rsidP="00FD1BF7">
      <w:pPr>
        <w:pStyle w:val="ColorfulList-Accent11"/>
        <w:rPr>
          <w:szCs w:val="24"/>
        </w:rPr>
      </w:pPr>
    </w:p>
    <w:p w:rsidR="00FD1BF7" w:rsidRPr="00B778A6" w:rsidRDefault="00454B87" w:rsidP="00B54573">
      <w:pPr>
        <w:pStyle w:val="Heading3"/>
        <w:rPr>
          <w:rFonts w:ascii="Times New Roman" w:hAnsi="Times New Roman"/>
        </w:rPr>
      </w:pPr>
      <w:bookmarkStart w:id="53" w:name="_Toc34924508"/>
      <w:r w:rsidRPr="00B778A6">
        <w:rPr>
          <w:rFonts w:ascii="Times New Roman" w:hAnsi="Times New Roman"/>
          <w:lang w:val="lt-LT"/>
        </w:rPr>
        <w:t>6</w:t>
      </w:r>
      <w:r w:rsidR="00B54573" w:rsidRPr="00B778A6">
        <w:rPr>
          <w:rFonts w:ascii="Times New Roman" w:hAnsi="Times New Roman"/>
          <w:lang w:val="lt-LT"/>
        </w:rPr>
        <w:t>.1.3. Elastingumo analizė</w:t>
      </w:r>
      <w:bookmarkEnd w:id="53"/>
    </w:p>
    <w:p w:rsidR="004D7EC0" w:rsidRPr="00B778A6" w:rsidRDefault="004D7EC0" w:rsidP="00FD1BF7">
      <w:pPr>
        <w:pStyle w:val="ColorfulList-Accent11"/>
        <w:rPr>
          <w:szCs w:val="24"/>
        </w:rPr>
      </w:pPr>
    </w:p>
    <w:p w:rsidR="0054472A" w:rsidRPr="00B778A6" w:rsidRDefault="0054472A" w:rsidP="0054472A">
      <w:pPr>
        <w:pStyle w:val="ColorfulList-Accent11"/>
        <w:ind w:left="0" w:firstLine="709"/>
        <w:jc w:val="both"/>
      </w:pPr>
      <w:r w:rsidRPr="00B778A6">
        <w:t>Projekto elastingumo analizės rodikliai apskaičiuoti naudojant oficialią skaičiuoklę. Skaičiuoklė su rezultatais pateikiama, kaip savarankiškas investicijų projekto  priedas.</w:t>
      </w:r>
    </w:p>
    <w:p w:rsidR="005B02EA" w:rsidRPr="00B778A6" w:rsidRDefault="005B02EA" w:rsidP="0054472A">
      <w:pPr>
        <w:pStyle w:val="ColorfulList-Accent11"/>
        <w:ind w:left="0" w:firstLine="709"/>
        <w:jc w:val="both"/>
        <w:rPr>
          <w:szCs w:val="24"/>
        </w:rPr>
      </w:pPr>
    </w:p>
    <w:p w:rsidR="00FD1BF7" w:rsidRPr="00B778A6" w:rsidRDefault="00454B87" w:rsidP="00B54573">
      <w:pPr>
        <w:pStyle w:val="Heading3"/>
        <w:rPr>
          <w:rFonts w:ascii="Times New Roman" w:hAnsi="Times New Roman"/>
        </w:rPr>
      </w:pPr>
      <w:bookmarkStart w:id="54" w:name="_Toc34924509"/>
      <w:r w:rsidRPr="00B778A6">
        <w:rPr>
          <w:rFonts w:ascii="Times New Roman" w:hAnsi="Times New Roman"/>
          <w:lang w:val="lt-LT"/>
        </w:rPr>
        <w:t>6</w:t>
      </w:r>
      <w:r w:rsidR="003364A6" w:rsidRPr="00B778A6">
        <w:rPr>
          <w:rFonts w:ascii="Times New Roman" w:hAnsi="Times New Roman"/>
          <w:lang w:val="lt-LT"/>
        </w:rPr>
        <w:t>.1.4. Kritiniai</w:t>
      </w:r>
      <w:r w:rsidR="00FD1BF7" w:rsidRPr="00B778A6">
        <w:rPr>
          <w:rFonts w:ascii="Times New Roman" w:hAnsi="Times New Roman"/>
          <w:lang w:val="lt-LT"/>
        </w:rPr>
        <w:t xml:space="preserve"> kintam</w:t>
      </w:r>
      <w:r w:rsidR="003364A6" w:rsidRPr="00B778A6">
        <w:rPr>
          <w:rFonts w:ascii="Times New Roman" w:hAnsi="Times New Roman"/>
          <w:lang w:val="lt-LT"/>
        </w:rPr>
        <w:t>ieji</w:t>
      </w:r>
      <w:bookmarkEnd w:id="54"/>
    </w:p>
    <w:p w:rsidR="0054472A" w:rsidRPr="00B778A6" w:rsidRDefault="0054472A" w:rsidP="0054472A">
      <w:pPr>
        <w:tabs>
          <w:tab w:val="left" w:pos="720"/>
        </w:tabs>
        <w:ind w:firstLine="720"/>
        <w:jc w:val="both"/>
        <w:rPr>
          <w:lang w:eastAsia="en-US"/>
        </w:rPr>
      </w:pPr>
    </w:p>
    <w:p w:rsidR="005E61A1" w:rsidRPr="00B778A6" w:rsidRDefault="0004104C" w:rsidP="0004104C">
      <w:pPr>
        <w:ind w:firstLine="709"/>
        <w:contextualSpacing/>
        <w:jc w:val="both"/>
      </w:pPr>
      <w:r w:rsidRPr="00B778A6">
        <w:rPr>
          <w:szCs w:val="20"/>
          <w:lang w:eastAsia="en-US"/>
        </w:rPr>
        <w:t>Jautrumo</w:t>
      </w:r>
      <w:r w:rsidRPr="00B778A6">
        <w:rPr>
          <w:lang w:eastAsia="en-US"/>
        </w:rPr>
        <w:t xml:space="preserve"> analizės metu buvo nustatyti kritiniai kintamieji. Tačiau kadangi projekto ekonominė grynoji dabartinė vertė yra neigiama, kritinių kintamųjų vertė nėra vertinama.</w:t>
      </w:r>
    </w:p>
    <w:p w:rsidR="005E61A1" w:rsidRPr="00B778A6" w:rsidRDefault="005E61A1" w:rsidP="0054472A">
      <w:pPr>
        <w:ind w:left="720"/>
        <w:contextualSpacing/>
        <w:jc w:val="both"/>
      </w:pPr>
    </w:p>
    <w:p w:rsidR="00FD1BF7" w:rsidRPr="00B778A6" w:rsidRDefault="00454B87" w:rsidP="00B54573">
      <w:pPr>
        <w:pStyle w:val="Heading2"/>
        <w:rPr>
          <w:rFonts w:ascii="Times New Roman" w:hAnsi="Times New Roman"/>
        </w:rPr>
      </w:pPr>
      <w:bookmarkStart w:id="55" w:name="_Toc34924510"/>
      <w:r w:rsidRPr="00B778A6">
        <w:rPr>
          <w:rFonts w:ascii="Times New Roman" w:hAnsi="Times New Roman"/>
          <w:lang w:val="lt-LT"/>
        </w:rPr>
        <w:t>6</w:t>
      </w:r>
      <w:r w:rsidR="00FD1BF7" w:rsidRPr="00B778A6">
        <w:rPr>
          <w:rFonts w:ascii="Times New Roman" w:hAnsi="Times New Roman"/>
          <w:lang w:val="lt-LT"/>
        </w:rPr>
        <w:t>.2</w:t>
      </w:r>
      <w:r w:rsidR="005F4EC1" w:rsidRPr="00B778A6">
        <w:rPr>
          <w:rFonts w:ascii="Times New Roman" w:hAnsi="Times New Roman"/>
          <w:lang w:val="lt-LT"/>
        </w:rPr>
        <w:t>.</w:t>
      </w:r>
      <w:r w:rsidR="00FD1BF7" w:rsidRPr="00B778A6">
        <w:rPr>
          <w:rFonts w:ascii="Times New Roman" w:hAnsi="Times New Roman"/>
          <w:lang w:val="lt-LT"/>
        </w:rPr>
        <w:t xml:space="preserve"> Scenarijų analizė</w:t>
      </w:r>
      <w:bookmarkEnd w:id="55"/>
    </w:p>
    <w:p w:rsidR="0054472A" w:rsidRPr="00B778A6" w:rsidRDefault="0054472A" w:rsidP="0054472A">
      <w:pPr>
        <w:tabs>
          <w:tab w:val="left" w:pos="720"/>
        </w:tabs>
        <w:ind w:firstLine="720"/>
        <w:jc w:val="both"/>
        <w:rPr>
          <w:lang w:eastAsia="en-US"/>
        </w:rPr>
      </w:pPr>
    </w:p>
    <w:p w:rsidR="0054472A" w:rsidRPr="00B778A6" w:rsidRDefault="0054472A" w:rsidP="0054472A">
      <w:pPr>
        <w:tabs>
          <w:tab w:val="left" w:pos="720"/>
        </w:tabs>
        <w:ind w:firstLine="720"/>
        <w:jc w:val="both"/>
        <w:rPr>
          <w:lang w:eastAsia="en-US"/>
        </w:rPr>
      </w:pPr>
      <w:r w:rsidRPr="00B778A6">
        <w:rPr>
          <w:lang w:eastAsia="en-US"/>
        </w:rPr>
        <w:t>Scenarijų analizė yra speciali jautrumo analizės forma. Standartinėje jautrumo analizėje išnagrinėta kiekvieno atskiro kintamojo įtak</w:t>
      </w:r>
      <w:r w:rsidR="005D761A" w:rsidRPr="00B778A6">
        <w:rPr>
          <w:lang w:eastAsia="en-US"/>
        </w:rPr>
        <w:t>a</w:t>
      </w:r>
      <w:r w:rsidRPr="00B778A6">
        <w:rPr>
          <w:lang w:eastAsia="en-US"/>
        </w:rPr>
        <w:t xml:space="preserve"> projekto rodikliams.</w:t>
      </w:r>
    </w:p>
    <w:p w:rsidR="0054472A" w:rsidRPr="00B778A6" w:rsidRDefault="0054472A" w:rsidP="0054472A">
      <w:pPr>
        <w:tabs>
          <w:tab w:val="left" w:pos="720"/>
        </w:tabs>
        <w:ind w:firstLine="720"/>
        <w:jc w:val="both"/>
        <w:rPr>
          <w:lang w:eastAsia="en-US"/>
        </w:rPr>
      </w:pPr>
      <w:r w:rsidRPr="00B778A6">
        <w:rPr>
          <w:lang w:eastAsia="en-US"/>
        </w:rPr>
        <w:t>Atliekant scenarijų ana</w:t>
      </w:r>
      <w:r w:rsidR="00F9394B" w:rsidRPr="00B778A6">
        <w:rPr>
          <w:lang w:eastAsia="en-US"/>
        </w:rPr>
        <w:t>lizę, įver</w:t>
      </w:r>
      <w:r w:rsidR="005D761A" w:rsidRPr="00B778A6">
        <w:rPr>
          <w:lang w:eastAsia="en-US"/>
        </w:rPr>
        <w:t>tin</w:t>
      </w:r>
      <w:r w:rsidR="00F9394B" w:rsidRPr="00B778A6">
        <w:rPr>
          <w:lang w:eastAsia="en-US"/>
        </w:rPr>
        <w:t>ta kritinių kintamųjų</w:t>
      </w:r>
      <w:r w:rsidRPr="00B778A6">
        <w:rPr>
          <w:lang w:eastAsia="en-US"/>
        </w:rPr>
        <w:t xml:space="preserve"> bendra įtaka finansiniams (FGDV(I), FVGN(I)) ir ekonominiams (EGDV, EVGN) rodikliams. Analizė atlikta esant tariamai pesimistinei, mažiau pesimistinei, realiai, tariamai mažiau optimistinei ir optimistinei įvykių klostymosi eigai (žr. lentelę).</w:t>
      </w:r>
    </w:p>
    <w:p w:rsidR="0054472A" w:rsidRPr="00B778A6" w:rsidRDefault="0054472A" w:rsidP="0054472A">
      <w:pPr>
        <w:tabs>
          <w:tab w:val="left" w:pos="720"/>
        </w:tabs>
        <w:ind w:firstLine="720"/>
        <w:jc w:val="both"/>
        <w:rPr>
          <w:lang w:eastAsia="en-US"/>
        </w:rPr>
      </w:pPr>
      <w:r w:rsidRPr="00B778A6">
        <w:rPr>
          <w:lang w:eastAsia="en-US"/>
        </w:rPr>
        <w:t>Projekto finansiniai ir ekonominiai rodikliai paskaičiuojami kiekvienam kritinių kintamųjų reikšmių deriniui (scenarijui).</w:t>
      </w:r>
    </w:p>
    <w:p w:rsidR="0054472A" w:rsidRPr="00B778A6" w:rsidRDefault="0054472A" w:rsidP="0054472A">
      <w:pPr>
        <w:tabs>
          <w:tab w:val="left" w:pos="720"/>
        </w:tabs>
        <w:ind w:firstLine="720"/>
        <w:jc w:val="both"/>
        <w:rPr>
          <w:lang w:eastAsia="en-US"/>
        </w:rPr>
      </w:pPr>
    </w:p>
    <w:p w:rsidR="002934AA" w:rsidRPr="00B778A6" w:rsidRDefault="002934AA" w:rsidP="0054472A">
      <w:pPr>
        <w:tabs>
          <w:tab w:val="left" w:pos="720"/>
        </w:tabs>
        <w:ind w:firstLine="720"/>
        <w:jc w:val="both"/>
        <w:rPr>
          <w:lang w:eastAsia="en-US"/>
        </w:rPr>
      </w:pPr>
    </w:p>
    <w:p w:rsidR="002934AA" w:rsidRPr="00B778A6" w:rsidRDefault="002934AA" w:rsidP="0054472A">
      <w:pPr>
        <w:tabs>
          <w:tab w:val="left" w:pos="720"/>
        </w:tabs>
        <w:ind w:firstLine="720"/>
        <w:jc w:val="both"/>
        <w:rPr>
          <w:lang w:eastAsia="en-US"/>
        </w:rPr>
      </w:pPr>
    </w:p>
    <w:p w:rsidR="0054472A" w:rsidRPr="00B778A6" w:rsidRDefault="0054472A" w:rsidP="0054472A">
      <w:pPr>
        <w:tabs>
          <w:tab w:val="left" w:pos="720"/>
        </w:tabs>
        <w:jc w:val="center"/>
        <w:rPr>
          <w:b/>
          <w:lang w:eastAsia="en-US"/>
        </w:rPr>
      </w:pPr>
      <w:r w:rsidRPr="00B778A6">
        <w:rPr>
          <w:b/>
          <w:lang w:eastAsia="en-US"/>
        </w:rPr>
        <w:lastRenderedPageBreak/>
        <w:t>6.2.1</w:t>
      </w:r>
      <w:r w:rsidR="00A36DDC" w:rsidRPr="00B778A6">
        <w:rPr>
          <w:b/>
          <w:lang w:eastAsia="en-US"/>
        </w:rPr>
        <w:t xml:space="preserve">. </w:t>
      </w:r>
      <w:r w:rsidR="00B778A6">
        <w:rPr>
          <w:b/>
          <w:lang w:eastAsia="en-US"/>
        </w:rPr>
        <w:t>l</w:t>
      </w:r>
      <w:r w:rsidR="00B778A6" w:rsidRPr="00B778A6">
        <w:rPr>
          <w:b/>
          <w:lang w:eastAsia="en-US"/>
        </w:rPr>
        <w:t>entelė</w:t>
      </w:r>
      <w:r w:rsidRPr="00B778A6">
        <w:rPr>
          <w:b/>
          <w:lang w:eastAsia="en-US"/>
        </w:rPr>
        <w:t>. Scenarijų analizė</w:t>
      </w:r>
    </w:p>
    <w:tbl>
      <w:tblPr>
        <w:tblW w:w="5000" w:type="pct"/>
        <w:tblLayout w:type="fixed"/>
        <w:tblCellMar>
          <w:left w:w="28" w:type="dxa"/>
          <w:right w:w="28" w:type="dxa"/>
        </w:tblCellMar>
        <w:tblLook w:val="04A0"/>
      </w:tblPr>
      <w:tblGrid>
        <w:gridCol w:w="3289"/>
        <w:gridCol w:w="1274"/>
        <w:gridCol w:w="1276"/>
        <w:gridCol w:w="1239"/>
        <w:gridCol w:w="1313"/>
        <w:gridCol w:w="1303"/>
      </w:tblGrid>
      <w:tr w:rsidR="0054472A" w:rsidRPr="00B778A6" w:rsidTr="00875E2F">
        <w:trPr>
          <w:trHeight w:val="306"/>
        </w:trPr>
        <w:tc>
          <w:tcPr>
            <w:tcW w:w="1696"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54472A" w:rsidRPr="00B778A6" w:rsidRDefault="0054472A" w:rsidP="00CD02E2">
            <w:pPr>
              <w:jc w:val="center"/>
              <w:rPr>
                <w:b/>
                <w:bCs/>
                <w:color w:val="000000"/>
                <w:sz w:val="22"/>
                <w:szCs w:val="22"/>
              </w:rPr>
            </w:pPr>
            <w:r w:rsidRPr="00B778A6">
              <w:rPr>
                <w:b/>
                <w:bCs/>
                <w:color w:val="000000"/>
                <w:sz w:val="22"/>
                <w:szCs w:val="22"/>
              </w:rPr>
              <w:t>Scenarijaus pavadinimas /</w:t>
            </w:r>
            <w:r w:rsidRPr="00B778A6">
              <w:rPr>
                <w:b/>
                <w:bCs/>
                <w:color w:val="000000"/>
                <w:sz w:val="22"/>
                <w:szCs w:val="22"/>
              </w:rPr>
              <w:br/>
              <w:t>Finansinis (ekonominis) rodiklis ir jo reikšmė</w:t>
            </w:r>
          </w:p>
        </w:tc>
        <w:tc>
          <w:tcPr>
            <w:tcW w:w="657" w:type="pct"/>
            <w:tcBorders>
              <w:top w:val="single" w:sz="4" w:space="0" w:color="auto"/>
              <w:left w:val="nil"/>
              <w:bottom w:val="single" w:sz="4" w:space="0" w:color="auto"/>
              <w:right w:val="single" w:sz="4" w:space="0" w:color="auto"/>
            </w:tcBorders>
            <w:shd w:val="clear" w:color="auto" w:fill="D9D9D9"/>
            <w:vAlign w:val="center"/>
            <w:hideMark/>
          </w:tcPr>
          <w:p w:rsidR="0054472A" w:rsidRPr="00B778A6" w:rsidRDefault="0054472A" w:rsidP="00CD02E2">
            <w:pPr>
              <w:jc w:val="center"/>
              <w:rPr>
                <w:b/>
                <w:bCs/>
                <w:color w:val="000000"/>
                <w:sz w:val="22"/>
                <w:szCs w:val="22"/>
              </w:rPr>
            </w:pPr>
            <w:r w:rsidRPr="00B778A6">
              <w:rPr>
                <w:b/>
                <w:bCs/>
                <w:color w:val="000000"/>
                <w:sz w:val="22"/>
                <w:szCs w:val="22"/>
              </w:rPr>
              <w:t>Pesimistinis</w:t>
            </w:r>
          </w:p>
        </w:tc>
        <w:tc>
          <w:tcPr>
            <w:tcW w:w="658" w:type="pct"/>
            <w:tcBorders>
              <w:top w:val="single" w:sz="4" w:space="0" w:color="auto"/>
              <w:left w:val="nil"/>
              <w:bottom w:val="single" w:sz="4" w:space="0" w:color="auto"/>
              <w:right w:val="single" w:sz="4" w:space="0" w:color="auto"/>
            </w:tcBorders>
            <w:shd w:val="clear" w:color="auto" w:fill="D9D9D9"/>
            <w:vAlign w:val="center"/>
            <w:hideMark/>
          </w:tcPr>
          <w:p w:rsidR="0054472A" w:rsidRPr="00B778A6" w:rsidRDefault="0054472A" w:rsidP="00CD02E2">
            <w:pPr>
              <w:jc w:val="center"/>
              <w:rPr>
                <w:b/>
                <w:bCs/>
                <w:color w:val="000000"/>
                <w:sz w:val="22"/>
                <w:szCs w:val="22"/>
              </w:rPr>
            </w:pPr>
            <w:r w:rsidRPr="00B778A6">
              <w:rPr>
                <w:b/>
                <w:bCs/>
                <w:color w:val="000000"/>
                <w:sz w:val="22"/>
                <w:szCs w:val="22"/>
              </w:rPr>
              <w:t>Mažiau pesimistinis</w:t>
            </w:r>
          </w:p>
        </w:tc>
        <w:tc>
          <w:tcPr>
            <w:tcW w:w="639" w:type="pct"/>
            <w:tcBorders>
              <w:top w:val="single" w:sz="4" w:space="0" w:color="auto"/>
              <w:left w:val="nil"/>
              <w:bottom w:val="single" w:sz="4" w:space="0" w:color="auto"/>
              <w:right w:val="single" w:sz="4" w:space="0" w:color="auto"/>
            </w:tcBorders>
            <w:shd w:val="clear" w:color="auto" w:fill="D9D9D9"/>
            <w:vAlign w:val="center"/>
            <w:hideMark/>
          </w:tcPr>
          <w:p w:rsidR="0054472A" w:rsidRPr="00B778A6" w:rsidRDefault="0054472A" w:rsidP="00CD02E2">
            <w:pPr>
              <w:jc w:val="center"/>
              <w:rPr>
                <w:b/>
                <w:bCs/>
                <w:color w:val="000000"/>
                <w:sz w:val="22"/>
                <w:szCs w:val="22"/>
              </w:rPr>
            </w:pPr>
            <w:r w:rsidRPr="00B778A6">
              <w:rPr>
                <w:b/>
                <w:bCs/>
                <w:color w:val="000000"/>
                <w:sz w:val="22"/>
                <w:szCs w:val="22"/>
              </w:rPr>
              <w:t>Realus</w:t>
            </w:r>
          </w:p>
        </w:tc>
        <w:tc>
          <w:tcPr>
            <w:tcW w:w="677" w:type="pct"/>
            <w:tcBorders>
              <w:top w:val="single" w:sz="4" w:space="0" w:color="auto"/>
              <w:left w:val="nil"/>
              <w:bottom w:val="single" w:sz="4" w:space="0" w:color="auto"/>
              <w:right w:val="single" w:sz="4" w:space="0" w:color="auto"/>
            </w:tcBorders>
            <w:shd w:val="clear" w:color="auto" w:fill="D9D9D9"/>
            <w:vAlign w:val="center"/>
            <w:hideMark/>
          </w:tcPr>
          <w:p w:rsidR="0054472A" w:rsidRPr="00B778A6" w:rsidRDefault="0054472A" w:rsidP="00CD02E2">
            <w:pPr>
              <w:jc w:val="center"/>
              <w:rPr>
                <w:b/>
                <w:bCs/>
                <w:color w:val="000000"/>
                <w:sz w:val="22"/>
                <w:szCs w:val="22"/>
              </w:rPr>
            </w:pPr>
            <w:r w:rsidRPr="00B778A6">
              <w:rPr>
                <w:b/>
                <w:bCs/>
                <w:color w:val="000000"/>
                <w:sz w:val="22"/>
                <w:szCs w:val="22"/>
              </w:rPr>
              <w:t>Mažiau optimistinis</w:t>
            </w:r>
          </w:p>
        </w:tc>
        <w:tc>
          <w:tcPr>
            <w:tcW w:w="672" w:type="pct"/>
            <w:tcBorders>
              <w:top w:val="single" w:sz="4" w:space="0" w:color="auto"/>
              <w:left w:val="nil"/>
              <w:bottom w:val="single" w:sz="4" w:space="0" w:color="auto"/>
              <w:right w:val="single" w:sz="4" w:space="0" w:color="auto"/>
            </w:tcBorders>
            <w:shd w:val="clear" w:color="auto" w:fill="D9D9D9"/>
            <w:vAlign w:val="center"/>
            <w:hideMark/>
          </w:tcPr>
          <w:p w:rsidR="0054472A" w:rsidRPr="00B778A6" w:rsidRDefault="0054472A" w:rsidP="00CD02E2">
            <w:pPr>
              <w:jc w:val="center"/>
              <w:rPr>
                <w:b/>
                <w:bCs/>
                <w:color w:val="000000"/>
                <w:sz w:val="22"/>
                <w:szCs w:val="22"/>
              </w:rPr>
            </w:pPr>
            <w:r w:rsidRPr="00B778A6">
              <w:rPr>
                <w:b/>
                <w:bCs/>
                <w:color w:val="000000"/>
                <w:sz w:val="22"/>
                <w:szCs w:val="22"/>
              </w:rPr>
              <w:t>Optimistinis</w:t>
            </w:r>
          </w:p>
        </w:tc>
      </w:tr>
      <w:tr w:rsidR="00C668D4" w:rsidRPr="00B778A6" w:rsidTr="00B778A6">
        <w:trPr>
          <w:trHeight w:val="306"/>
        </w:trPr>
        <w:tc>
          <w:tcPr>
            <w:tcW w:w="1696" w:type="pct"/>
            <w:tcBorders>
              <w:top w:val="nil"/>
              <w:left w:val="single" w:sz="4" w:space="0" w:color="auto"/>
              <w:bottom w:val="single" w:sz="4" w:space="0" w:color="auto"/>
              <w:right w:val="single" w:sz="4" w:space="0" w:color="auto"/>
            </w:tcBorders>
            <w:shd w:val="clear" w:color="auto" w:fill="auto"/>
            <w:noWrap/>
            <w:vAlign w:val="center"/>
            <w:hideMark/>
          </w:tcPr>
          <w:p w:rsidR="00C668D4" w:rsidRPr="00B778A6" w:rsidRDefault="00C668D4" w:rsidP="00CD02E2">
            <w:pPr>
              <w:rPr>
                <w:iCs/>
                <w:color w:val="000000"/>
                <w:sz w:val="22"/>
                <w:szCs w:val="22"/>
              </w:rPr>
            </w:pPr>
            <w:r w:rsidRPr="00B778A6">
              <w:rPr>
                <w:iCs/>
                <w:color w:val="000000"/>
                <w:sz w:val="22"/>
                <w:szCs w:val="22"/>
              </w:rPr>
              <w:t>Finansinė grynoji dabartinė vertė investicijoms - FGDV(I)</w:t>
            </w:r>
          </w:p>
        </w:tc>
        <w:tc>
          <w:tcPr>
            <w:tcW w:w="657" w:type="pct"/>
            <w:tcBorders>
              <w:top w:val="nil"/>
              <w:left w:val="nil"/>
              <w:bottom w:val="single" w:sz="4" w:space="0" w:color="auto"/>
              <w:right w:val="single" w:sz="4" w:space="0" w:color="auto"/>
            </w:tcBorders>
            <w:shd w:val="clear" w:color="auto" w:fill="auto"/>
            <w:vAlign w:val="center"/>
            <w:hideMark/>
          </w:tcPr>
          <w:p w:rsidR="00C668D4" w:rsidRPr="00B778A6" w:rsidRDefault="00C668D4" w:rsidP="005F1890">
            <w:pPr>
              <w:jc w:val="center"/>
              <w:rPr>
                <w:iCs/>
                <w:color w:val="000000"/>
                <w:sz w:val="22"/>
                <w:szCs w:val="22"/>
              </w:rPr>
            </w:pPr>
            <w:r w:rsidRPr="00C668D4">
              <w:rPr>
                <w:iCs/>
                <w:color w:val="000000"/>
                <w:sz w:val="22"/>
                <w:szCs w:val="22"/>
              </w:rPr>
              <w:t>-926 744</w:t>
            </w:r>
          </w:p>
        </w:tc>
        <w:tc>
          <w:tcPr>
            <w:tcW w:w="658" w:type="pct"/>
            <w:tcBorders>
              <w:top w:val="nil"/>
              <w:left w:val="nil"/>
              <w:bottom w:val="single" w:sz="4" w:space="0" w:color="auto"/>
              <w:right w:val="single" w:sz="4" w:space="0" w:color="auto"/>
            </w:tcBorders>
            <w:shd w:val="clear" w:color="auto" w:fill="auto"/>
            <w:vAlign w:val="center"/>
            <w:hideMark/>
          </w:tcPr>
          <w:p w:rsidR="00C668D4" w:rsidRPr="00B778A6" w:rsidRDefault="00C668D4" w:rsidP="005F1890">
            <w:pPr>
              <w:jc w:val="center"/>
              <w:rPr>
                <w:iCs/>
                <w:color w:val="000000"/>
                <w:sz w:val="22"/>
                <w:szCs w:val="22"/>
              </w:rPr>
            </w:pPr>
            <w:r w:rsidRPr="00C668D4">
              <w:rPr>
                <w:iCs/>
                <w:color w:val="000000"/>
                <w:sz w:val="22"/>
                <w:szCs w:val="22"/>
              </w:rPr>
              <w:t>-749 486</w:t>
            </w:r>
          </w:p>
        </w:tc>
        <w:tc>
          <w:tcPr>
            <w:tcW w:w="639" w:type="pct"/>
            <w:tcBorders>
              <w:top w:val="nil"/>
              <w:left w:val="nil"/>
              <w:bottom w:val="single" w:sz="4" w:space="0" w:color="auto"/>
              <w:right w:val="single" w:sz="4" w:space="0" w:color="auto"/>
            </w:tcBorders>
            <w:shd w:val="clear" w:color="auto" w:fill="F2F2F2"/>
            <w:vAlign w:val="center"/>
            <w:hideMark/>
          </w:tcPr>
          <w:p w:rsidR="00C668D4" w:rsidRPr="00B778A6" w:rsidRDefault="00C668D4" w:rsidP="005F1890">
            <w:pPr>
              <w:jc w:val="center"/>
              <w:rPr>
                <w:iCs/>
                <w:color w:val="000000"/>
                <w:sz w:val="22"/>
                <w:szCs w:val="22"/>
              </w:rPr>
            </w:pPr>
            <w:r w:rsidRPr="00C668D4">
              <w:rPr>
                <w:iCs/>
                <w:color w:val="000000"/>
                <w:sz w:val="22"/>
                <w:szCs w:val="22"/>
              </w:rPr>
              <w:t>-631 314</w:t>
            </w:r>
          </w:p>
        </w:tc>
        <w:tc>
          <w:tcPr>
            <w:tcW w:w="677" w:type="pct"/>
            <w:tcBorders>
              <w:top w:val="nil"/>
              <w:left w:val="nil"/>
              <w:bottom w:val="single" w:sz="4" w:space="0" w:color="auto"/>
              <w:right w:val="single" w:sz="4" w:space="0" w:color="auto"/>
            </w:tcBorders>
            <w:shd w:val="clear" w:color="auto" w:fill="auto"/>
            <w:vAlign w:val="center"/>
            <w:hideMark/>
          </w:tcPr>
          <w:p w:rsidR="00C668D4" w:rsidRPr="00B778A6" w:rsidRDefault="00C668D4" w:rsidP="005F1890">
            <w:pPr>
              <w:jc w:val="center"/>
              <w:rPr>
                <w:iCs/>
                <w:color w:val="000000"/>
                <w:sz w:val="22"/>
                <w:szCs w:val="22"/>
              </w:rPr>
            </w:pPr>
            <w:r w:rsidRPr="00C668D4">
              <w:rPr>
                <w:iCs/>
                <w:color w:val="000000"/>
                <w:sz w:val="22"/>
                <w:szCs w:val="22"/>
              </w:rPr>
              <w:t>-513 142</w:t>
            </w:r>
          </w:p>
        </w:tc>
        <w:tc>
          <w:tcPr>
            <w:tcW w:w="672" w:type="pct"/>
            <w:tcBorders>
              <w:top w:val="nil"/>
              <w:left w:val="nil"/>
              <w:bottom w:val="single" w:sz="4" w:space="0" w:color="auto"/>
              <w:right w:val="single" w:sz="4" w:space="0" w:color="auto"/>
            </w:tcBorders>
            <w:shd w:val="clear" w:color="auto" w:fill="auto"/>
            <w:vAlign w:val="center"/>
            <w:hideMark/>
          </w:tcPr>
          <w:p w:rsidR="00C668D4" w:rsidRPr="00B778A6" w:rsidRDefault="00C668D4" w:rsidP="005F1890">
            <w:pPr>
              <w:jc w:val="center"/>
              <w:rPr>
                <w:iCs/>
                <w:color w:val="000000"/>
                <w:sz w:val="22"/>
                <w:szCs w:val="22"/>
              </w:rPr>
            </w:pPr>
            <w:r w:rsidRPr="00C668D4">
              <w:rPr>
                <w:iCs/>
                <w:color w:val="000000"/>
                <w:sz w:val="22"/>
                <w:szCs w:val="22"/>
              </w:rPr>
              <w:t>-335 884</w:t>
            </w:r>
          </w:p>
        </w:tc>
      </w:tr>
      <w:tr w:rsidR="00C668D4" w:rsidRPr="00B778A6" w:rsidTr="00B778A6">
        <w:trPr>
          <w:trHeight w:val="306"/>
        </w:trPr>
        <w:tc>
          <w:tcPr>
            <w:tcW w:w="1696" w:type="pct"/>
            <w:tcBorders>
              <w:top w:val="nil"/>
              <w:left w:val="single" w:sz="4" w:space="0" w:color="auto"/>
              <w:bottom w:val="single" w:sz="4" w:space="0" w:color="auto"/>
              <w:right w:val="single" w:sz="4" w:space="0" w:color="auto"/>
            </w:tcBorders>
            <w:shd w:val="clear" w:color="auto" w:fill="auto"/>
            <w:noWrap/>
            <w:vAlign w:val="center"/>
            <w:hideMark/>
          </w:tcPr>
          <w:p w:rsidR="00C668D4" w:rsidRPr="00B778A6" w:rsidRDefault="00C668D4" w:rsidP="00CD02E2">
            <w:pPr>
              <w:rPr>
                <w:iCs/>
                <w:color w:val="000000"/>
                <w:sz w:val="22"/>
                <w:szCs w:val="22"/>
              </w:rPr>
            </w:pPr>
            <w:r w:rsidRPr="00B778A6">
              <w:rPr>
                <w:iCs/>
                <w:color w:val="000000"/>
                <w:sz w:val="22"/>
                <w:szCs w:val="22"/>
              </w:rPr>
              <w:t>Finansinė vidinė grąžos norma investicijoms - FVGN(I)</w:t>
            </w:r>
          </w:p>
        </w:tc>
        <w:tc>
          <w:tcPr>
            <w:tcW w:w="657" w:type="pct"/>
            <w:tcBorders>
              <w:top w:val="nil"/>
              <w:left w:val="nil"/>
              <w:bottom w:val="single" w:sz="4" w:space="0" w:color="auto"/>
              <w:right w:val="single" w:sz="4" w:space="0" w:color="auto"/>
            </w:tcBorders>
            <w:shd w:val="clear" w:color="auto" w:fill="auto"/>
            <w:vAlign w:val="center"/>
            <w:hideMark/>
          </w:tcPr>
          <w:p w:rsidR="00C668D4" w:rsidRPr="00B778A6" w:rsidRDefault="00C668D4" w:rsidP="005F1890">
            <w:pPr>
              <w:jc w:val="center"/>
              <w:rPr>
                <w:iCs/>
                <w:color w:val="000000"/>
                <w:sz w:val="22"/>
                <w:szCs w:val="22"/>
              </w:rPr>
            </w:pPr>
            <w:r w:rsidRPr="00C668D4">
              <w:rPr>
                <w:iCs/>
                <w:color w:val="000000"/>
                <w:sz w:val="22"/>
                <w:szCs w:val="22"/>
              </w:rPr>
              <w:t>-2,11%</w:t>
            </w:r>
          </w:p>
        </w:tc>
        <w:tc>
          <w:tcPr>
            <w:tcW w:w="658" w:type="pct"/>
            <w:tcBorders>
              <w:top w:val="nil"/>
              <w:left w:val="nil"/>
              <w:bottom w:val="single" w:sz="4" w:space="0" w:color="auto"/>
              <w:right w:val="single" w:sz="4" w:space="0" w:color="auto"/>
            </w:tcBorders>
            <w:shd w:val="clear" w:color="auto" w:fill="auto"/>
            <w:vAlign w:val="center"/>
            <w:hideMark/>
          </w:tcPr>
          <w:p w:rsidR="00C668D4" w:rsidRPr="00B778A6" w:rsidRDefault="00C668D4" w:rsidP="005F1890">
            <w:pPr>
              <w:jc w:val="center"/>
              <w:rPr>
                <w:iCs/>
                <w:color w:val="000000"/>
                <w:sz w:val="22"/>
                <w:szCs w:val="22"/>
              </w:rPr>
            </w:pPr>
            <w:r w:rsidRPr="00C668D4">
              <w:rPr>
                <w:iCs/>
                <w:color w:val="000000"/>
                <w:sz w:val="22"/>
                <w:szCs w:val="22"/>
              </w:rPr>
              <w:t>-1,11%</w:t>
            </w:r>
          </w:p>
        </w:tc>
        <w:tc>
          <w:tcPr>
            <w:tcW w:w="639" w:type="pct"/>
            <w:tcBorders>
              <w:top w:val="nil"/>
              <w:left w:val="nil"/>
              <w:bottom w:val="single" w:sz="4" w:space="0" w:color="auto"/>
              <w:right w:val="single" w:sz="4" w:space="0" w:color="auto"/>
            </w:tcBorders>
            <w:shd w:val="clear" w:color="auto" w:fill="F2F2F2"/>
            <w:vAlign w:val="center"/>
            <w:hideMark/>
          </w:tcPr>
          <w:p w:rsidR="00C668D4" w:rsidRPr="00B778A6" w:rsidRDefault="00C668D4" w:rsidP="005F1890">
            <w:pPr>
              <w:jc w:val="center"/>
              <w:rPr>
                <w:iCs/>
                <w:color w:val="000000"/>
                <w:sz w:val="22"/>
                <w:szCs w:val="22"/>
              </w:rPr>
            </w:pPr>
            <w:r w:rsidRPr="00C668D4">
              <w:rPr>
                <w:iCs/>
                <w:color w:val="000000"/>
                <w:sz w:val="22"/>
                <w:szCs w:val="22"/>
              </w:rPr>
              <w:t>-0,43%</w:t>
            </w:r>
          </w:p>
        </w:tc>
        <w:tc>
          <w:tcPr>
            <w:tcW w:w="677" w:type="pct"/>
            <w:tcBorders>
              <w:top w:val="nil"/>
              <w:left w:val="nil"/>
              <w:bottom w:val="single" w:sz="4" w:space="0" w:color="auto"/>
              <w:right w:val="single" w:sz="4" w:space="0" w:color="auto"/>
            </w:tcBorders>
            <w:shd w:val="clear" w:color="auto" w:fill="auto"/>
            <w:vAlign w:val="center"/>
            <w:hideMark/>
          </w:tcPr>
          <w:p w:rsidR="00C668D4" w:rsidRPr="00B778A6" w:rsidRDefault="00C668D4" w:rsidP="005F1890">
            <w:pPr>
              <w:jc w:val="center"/>
              <w:rPr>
                <w:iCs/>
                <w:color w:val="000000"/>
                <w:sz w:val="22"/>
                <w:szCs w:val="22"/>
              </w:rPr>
            </w:pPr>
            <w:r w:rsidRPr="00C668D4">
              <w:rPr>
                <w:iCs/>
                <w:color w:val="000000"/>
                <w:sz w:val="22"/>
                <w:szCs w:val="22"/>
              </w:rPr>
              <w:t>0,27%</w:t>
            </w:r>
          </w:p>
        </w:tc>
        <w:tc>
          <w:tcPr>
            <w:tcW w:w="672" w:type="pct"/>
            <w:tcBorders>
              <w:top w:val="nil"/>
              <w:left w:val="nil"/>
              <w:bottom w:val="single" w:sz="4" w:space="0" w:color="auto"/>
              <w:right w:val="single" w:sz="4" w:space="0" w:color="auto"/>
            </w:tcBorders>
            <w:shd w:val="clear" w:color="auto" w:fill="auto"/>
            <w:vAlign w:val="center"/>
            <w:hideMark/>
          </w:tcPr>
          <w:p w:rsidR="00C668D4" w:rsidRPr="00B778A6" w:rsidRDefault="00C668D4" w:rsidP="005F1890">
            <w:pPr>
              <w:jc w:val="center"/>
              <w:rPr>
                <w:iCs/>
                <w:color w:val="000000"/>
                <w:sz w:val="22"/>
                <w:szCs w:val="22"/>
              </w:rPr>
            </w:pPr>
            <w:r w:rsidRPr="00C668D4">
              <w:rPr>
                <w:iCs/>
                <w:color w:val="000000"/>
                <w:sz w:val="22"/>
                <w:szCs w:val="22"/>
              </w:rPr>
              <w:t>1,39%</w:t>
            </w:r>
          </w:p>
        </w:tc>
      </w:tr>
      <w:tr w:rsidR="00C668D4" w:rsidRPr="00B778A6" w:rsidTr="00B778A6">
        <w:trPr>
          <w:trHeight w:val="306"/>
        </w:trPr>
        <w:tc>
          <w:tcPr>
            <w:tcW w:w="1696" w:type="pct"/>
            <w:tcBorders>
              <w:top w:val="nil"/>
              <w:left w:val="single" w:sz="4" w:space="0" w:color="auto"/>
              <w:bottom w:val="single" w:sz="4" w:space="0" w:color="auto"/>
              <w:right w:val="single" w:sz="4" w:space="0" w:color="auto"/>
            </w:tcBorders>
            <w:shd w:val="clear" w:color="auto" w:fill="auto"/>
            <w:noWrap/>
            <w:vAlign w:val="center"/>
            <w:hideMark/>
          </w:tcPr>
          <w:p w:rsidR="00C668D4" w:rsidRPr="00B778A6" w:rsidRDefault="00C668D4" w:rsidP="00CD02E2">
            <w:pPr>
              <w:rPr>
                <w:iCs/>
                <w:color w:val="000000"/>
                <w:sz w:val="22"/>
                <w:szCs w:val="22"/>
              </w:rPr>
            </w:pPr>
            <w:r w:rsidRPr="00B778A6">
              <w:rPr>
                <w:iCs/>
                <w:color w:val="000000"/>
                <w:sz w:val="22"/>
                <w:szCs w:val="22"/>
              </w:rPr>
              <w:t>Finansinė modifikuota vidinė grąžos norma investicijoms - FMVGN(I)</w:t>
            </w:r>
          </w:p>
        </w:tc>
        <w:tc>
          <w:tcPr>
            <w:tcW w:w="657" w:type="pct"/>
            <w:tcBorders>
              <w:top w:val="nil"/>
              <w:left w:val="nil"/>
              <w:bottom w:val="single" w:sz="4" w:space="0" w:color="auto"/>
              <w:right w:val="single" w:sz="4" w:space="0" w:color="auto"/>
            </w:tcBorders>
            <w:shd w:val="clear" w:color="auto" w:fill="auto"/>
            <w:vAlign w:val="center"/>
            <w:hideMark/>
          </w:tcPr>
          <w:p w:rsidR="00C668D4" w:rsidRPr="00B778A6" w:rsidRDefault="00C668D4" w:rsidP="005F1890">
            <w:pPr>
              <w:jc w:val="center"/>
              <w:rPr>
                <w:iCs/>
                <w:color w:val="000000"/>
                <w:sz w:val="22"/>
                <w:szCs w:val="22"/>
              </w:rPr>
            </w:pPr>
            <w:r w:rsidRPr="00C668D4">
              <w:rPr>
                <w:iCs/>
                <w:color w:val="000000"/>
                <w:sz w:val="22"/>
                <w:szCs w:val="22"/>
              </w:rPr>
              <w:t>-0,63%</w:t>
            </w:r>
          </w:p>
        </w:tc>
        <w:tc>
          <w:tcPr>
            <w:tcW w:w="658" w:type="pct"/>
            <w:tcBorders>
              <w:top w:val="nil"/>
              <w:left w:val="nil"/>
              <w:bottom w:val="single" w:sz="4" w:space="0" w:color="auto"/>
              <w:right w:val="single" w:sz="4" w:space="0" w:color="auto"/>
            </w:tcBorders>
            <w:shd w:val="clear" w:color="auto" w:fill="auto"/>
            <w:vAlign w:val="center"/>
            <w:hideMark/>
          </w:tcPr>
          <w:p w:rsidR="00C668D4" w:rsidRPr="00B778A6" w:rsidRDefault="00C668D4" w:rsidP="005F1890">
            <w:pPr>
              <w:jc w:val="center"/>
              <w:rPr>
                <w:iCs/>
                <w:color w:val="000000"/>
                <w:sz w:val="22"/>
                <w:szCs w:val="22"/>
              </w:rPr>
            </w:pPr>
            <w:r w:rsidRPr="00C668D4">
              <w:rPr>
                <w:iCs/>
                <w:color w:val="000000"/>
                <w:sz w:val="22"/>
                <w:szCs w:val="22"/>
              </w:rPr>
              <w:t>0,00%</w:t>
            </w:r>
          </w:p>
        </w:tc>
        <w:tc>
          <w:tcPr>
            <w:tcW w:w="639" w:type="pct"/>
            <w:tcBorders>
              <w:top w:val="nil"/>
              <w:left w:val="nil"/>
              <w:bottom w:val="single" w:sz="4" w:space="0" w:color="auto"/>
              <w:right w:val="single" w:sz="4" w:space="0" w:color="auto"/>
            </w:tcBorders>
            <w:shd w:val="clear" w:color="auto" w:fill="F2F2F2"/>
            <w:vAlign w:val="center"/>
            <w:hideMark/>
          </w:tcPr>
          <w:p w:rsidR="00C668D4" w:rsidRPr="00B778A6" w:rsidRDefault="00C668D4" w:rsidP="005F1890">
            <w:pPr>
              <w:jc w:val="center"/>
              <w:rPr>
                <w:iCs/>
                <w:color w:val="000000"/>
                <w:sz w:val="22"/>
                <w:szCs w:val="22"/>
              </w:rPr>
            </w:pPr>
            <w:r w:rsidRPr="00C668D4">
              <w:rPr>
                <w:iCs/>
                <w:color w:val="000000"/>
                <w:sz w:val="22"/>
                <w:szCs w:val="22"/>
              </w:rPr>
              <w:t>0,47%</w:t>
            </w:r>
          </w:p>
        </w:tc>
        <w:tc>
          <w:tcPr>
            <w:tcW w:w="677" w:type="pct"/>
            <w:tcBorders>
              <w:top w:val="nil"/>
              <w:left w:val="nil"/>
              <w:bottom w:val="single" w:sz="4" w:space="0" w:color="auto"/>
              <w:right w:val="single" w:sz="4" w:space="0" w:color="auto"/>
            </w:tcBorders>
            <w:shd w:val="clear" w:color="auto" w:fill="auto"/>
            <w:vAlign w:val="center"/>
            <w:hideMark/>
          </w:tcPr>
          <w:p w:rsidR="00C668D4" w:rsidRPr="00B778A6" w:rsidRDefault="00C668D4" w:rsidP="005F1890">
            <w:pPr>
              <w:jc w:val="center"/>
              <w:rPr>
                <w:iCs/>
                <w:color w:val="000000"/>
                <w:sz w:val="22"/>
                <w:szCs w:val="22"/>
              </w:rPr>
            </w:pPr>
            <w:r w:rsidRPr="00C668D4">
              <w:rPr>
                <w:iCs/>
                <w:color w:val="000000"/>
                <w:sz w:val="22"/>
                <w:szCs w:val="22"/>
              </w:rPr>
              <w:t>0,97%</w:t>
            </w:r>
          </w:p>
        </w:tc>
        <w:tc>
          <w:tcPr>
            <w:tcW w:w="672" w:type="pct"/>
            <w:tcBorders>
              <w:top w:val="nil"/>
              <w:left w:val="nil"/>
              <w:bottom w:val="single" w:sz="4" w:space="0" w:color="auto"/>
              <w:right w:val="single" w:sz="4" w:space="0" w:color="auto"/>
            </w:tcBorders>
            <w:shd w:val="clear" w:color="auto" w:fill="auto"/>
            <w:vAlign w:val="center"/>
            <w:hideMark/>
          </w:tcPr>
          <w:p w:rsidR="00C668D4" w:rsidRPr="00B778A6" w:rsidRDefault="00C668D4" w:rsidP="005F1890">
            <w:pPr>
              <w:jc w:val="center"/>
              <w:rPr>
                <w:iCs/>
                <w:color w:val="000000"/>
                <w:sz w:val="22"/>
                <w:szCs w:val="22"/>
              </w:rPr>
            </w:pPr>
            <w:r w:rsidRPr="00C668D4">
              <w:rPr>
                <w:iCs/>
                <w:color w:val="000000"/>
                <w:sz w:val="22"/>
                <w:szCs w:val="22"/>
              </w:rPr>
              <w:t>1,82%</w:t>
            </w:r>
          </w:p>
        </w:tc>
      </w:tr>
      <w:tr w:rsidR="00C668D4" w:rsidRPr="00B778A6" w:rsidTr="00B778A6">
        <w:trPr>
          <w:trHeight w:val="306"/>
        </w:trPr>
        <w:tc>
          <w:tcPr>
            <w:tcW w:w="1696" w:type="pct"/>
            <w:tcBorders>
              <w:top w:val="nil"/>
              <w:left w:val="single" w:sz="4" w:space="0" w:color="auto"/>
              <w:bottom w:val="single" w:sz="4" w:space="0" w:color="auto"/>
              <w:right w:val="single" w:sz="4" w:space="0" w:color="auto"/>
            </w:tcBorders>
            <w:shd w:val="clear" w:color="auto" w:fill="auto"/>
            <w:noWrap/>
            <w:vAlign w:val="center"/>
            <w:hideMark/>
          </w:tcPr>
          <w:p w:rsidR="00C668D4" w:rsidRPr="00B778A6" w:rsidRDefault="00C668D4" w:rsidP="00CD02E2">
            <w:pPr>
              <w:rPr>
                <w:iCs/>
                <w:color w:val="000000"/>
                <w:sz w:val="22"/>
                <w:szCs w:val="22"/>
              </w:rPr>
            </w:pPr>
            <w:r w:rsidRPr="00B778A6">
              <w:rPr>
                <w:iCs/>
                <w:color w:val="000000"/>
                <w:sz w:val="22"/>
                <w:szCs w:val="22"/>
              </w:rPr>
              <w:t>Ekonominė grynoji dabartinė vertė - EGDV</w:t>
            </w:r>
          </w:p>
        </w:tc>
        <w:tc>
          <w:tcPr>
            <w:tcW w:w="657" w:type="pct"/>
            <w:tcBorders>
              <w:top w:val="nil"/>
              <w:left w:val="nil"/>
              <w:bottom w:val="single" w:sz="4" w:space="0" w:color="auto"/>
              <w:right w:val="single" w:sz="4" w:space="0" w:color="auto"/>
            </w:tcBorders>
            <w:shd w:val="clear" w:color="auto" w:fill="auto"/>
            <w:vAlign w:val="center"/>
            <w:hideMark/>
          </w:tcPr>
          <w:p w:rsidR="00C668D4" w:rsidRPr="00B778A6" w:rsidRDefault="00C668D4" w:rsidP="005F1890">
            <w:pPr>
              <w:jc w:val="center"/>
              <w:rPr>
                <w:iCs/>
                <w:color w:val="000000"/>
                <w:sz w:val="22"/>
                <w:szCs w:val="22"/>
              </w:rPr>
            </w:pPr>
            <w:r w:rsidRPr="00C668D4">
              <w:rPr>
                <w:iCs/>
                <w:color w:val="000000"/>
                <w:sz w:val="22"/>
                <w:szCs w:val="22"/>
              </w:rPr>
              <w:t>-604 798</w:t>
            </w:r>
          </w:p>
        </w:tc>
        <w:tc>
          <w:tcPr>
            <w:tcW w:w="658" w:type="pct"/>
            <w:tcBorders>
              <w:top w:val="nil"/>
              <w:left w:val="nil"/>
              <w:bottom w:val="single" w:sz="4" w:space="0" w:color="auto"/>
              <w:right w:val="single" w:sz="4" w:space="0" w:color="auto"/>
            </w:tcBorders>
            <w:shd w:val="clear" w:color="auto" w:fill="auto"/>
            <w:vAlign w:val="center"/>
            <w:hideMark/>
          </w:tcPr>
          <w:p w:rsidR="00C668D4" w:rsidRPr="00B778A6" w:rsidRDefault="00C668D4" w:rsidP="005F1890">
            <w:pPr>
              <w:jc w:val="center"/>
              <w:rPr>
                <w:iCs/>
                <w:color w:val="000000"/>
                <w:sz w:val="22"/>
                <w:szCs w:val="22"/>
              </w:rPr>
            </w:pPr>
            <w:r w:rsidRPr="00C668D4">
              <w:rPr>
                <w:iCs/>
                <w:color w:val="000000"/>
                <w:sz w:val="22"/>
                <w:szCs w:val="22"/>
              </w:rPr>
              <w:t>-478 839</w:t>
            </w:r>
          </w:p>
        </w:tc>
        <w:tc>
          <w:tcPr>
            <w:tcW w:w="639" w:type="pct"/>
            <w:tcBorders>
              <w:top w:val="nil"/>
              <w:left w:val="nil"/>
              <w:bottom w:val="single" w:sz="4" w:space="0" w:color="auto"/>
              <w:right w:val="single" w:sz="4" w:space="0" w:color="auto"/>
            </w:tcBorders>
            <w:shd w:val="clear" w:color="auto" w:fill="F2F2F2"/>
            <w:vAlign w:val="center"/>
            <w:hideMark/>
          </w:tcPr>
          <w:p w:rsidR="00C668D4" w:rsidRPr="00B778A6" w:rsidRDefault="00C668D4" w:rsidP="005F1890">
            <w:pPr>
              <w:jc w:val="center"/>
              <w:rPr>
                <w:iCs/>
                <w:color w:val="000000"/>
                <w:sz w:val="22"/>
                <w:szCs w:val="22"/>
              </w:rPr>
            </w:pPr>
            <w:r w:rsidRPr="00C668D4">
              <w:rPr>
                <w:iCs/>
                <w:color w:val="000000"/>
                <w:sz w:val="22"/>
                <w:szCs w:val="22"/>
              </w:rPr>
              <w:t>-394 866</w:t>
            </w:r>
          </w:p>
        </w:tc>
        <w:tc>
          <w:tcPr>
            <w:tcW w:w="677" w:type="pct"/>
            <w:tcBorders>
              <w:top w:val="nil"/>
              <w:left w:val="nil"/>
              <w:bottom w:val="single" w:sz="4" w:space="0" w:color="auto"/>
              <w:right w:val="single" w:sz="4" w:space="0" w:color="auto"/>
            </w:tcBorders>
            <w:shd w:val="clear" w:color="auto" w:fill="auto"/>
            <w:vAlign w:val="center"/>
            <w:hideMark/>
          </w:tcPr>
          <w:p w:rsidR="00C668D4" w:rsidRPr="00B778A6" w:rsidRDefault="00C668D4" w:rsidP="005F1890">
            <w:pPr>
              <w:jc w:val="center"/>
              <w:rPr>
                <w:iCs/>
                <w:color w:val="000000"/>
                <w:sz w:val="22"/>
                <w:szCs w:val="22"/>
              </w:rPr>
            </w:pPr>
            <w:r w:rsidRPr="00C668D4">
              <w:rPr>
                <w:iCs/>
                <w:color w:val="000000"/>
                <w:sz w:val="22"/>
                <w:szCs w:val="22"/>
              </w:rPr>
              <w:t>-310 894</w:t>
            </w:r>
          </w:p>
        </w:tc>
        <w:tc>
          <w:tcPr>
            <w:tcW w:w="672" w:type="pct"/>
            <w:tcBorders>
              <w:top w:val="nil"/>
              <w:left w:val="nil"/>
              <w:bottom w:val="single" w:sz="4" w:space="0" w:color="auto"/>
              <w:right w:val="single" w:sz="4" w:space="0" w:color="auto"/>
            </w:tcBorders>
            <w:shd w:val="clear" w:color="auto" w:fill="auto"/>
            <w:vAlign w:val="center"/>
            <w:hideMark/>
          </w:tcPr>
          <w:p w:rsidR="00C668D4" w:rsidRPr="00B778A6" w:rsidRDefault="00C668D4" w:rsidP="005F1890">
            <w:pPr>
              <w:jc w:val="center"/>
              <w:rPr>
                <w:iCs/>
                <w:color w:val="000000"/>
                <w:sz w:val="22"/>
                <w:szCs w:val="22"/>
              </w:rPr>
            </w:pPr>
            <w:r w:rsidRPr="00C668D4">
              <w:rPr>
                <w:iCs/>
                <w:color w:val="000000"/>
                <w:sz w:val="22"/>
                <w:szCs w:val="22"/>
              </w:rPr>
              <w:t>-184 935</w:t>
            </w:r>
          </w:p>
        </w:tc>
      </w:tr>
      <w:tr w:rsidR="00C668D4" w:rsidRPr="00B778A6" w:rsidTr="00B778A6">
        <w:trPr>
          <w:trHeight w:val="306"/>
        </w:trPr>
        <w:tc>
          <w:tcPr>
            <w:tcW w:w="1696" w:type="pct"/>
            <w:tcBorders>
              <w:top w:val="nil"/>
              <w:left w:val="single" w:sz="4" w:space="0" w:color="auto"/>
              <w:bottom w:val="single" w:sz="4" w:space="0" w:color="auto"/>
              <w:right w:val="single" w:sz="4" w:space="0" w:color="auto"/>
            </w:tcBorders>
            <w:shd w:val="clear" w:color="auto" w:fill="auto"/>
            <w:noWrap/>
            <w:vAlign w:val="center"/>
            <w:hideMark/>
          </w:tcPr>
          <w:p w:rsidR="00C668D4" w:rsidRPr="00B778A6" w:rsidRDefault="00C668D4" w:rsidP="00CD02E2">
            <w:pPr>
              <w:rPr>
                <w:iCs/>
                <w:color w:val="000000"/>
                <w:sz w:val="22"/>
                <w:szCs w:val="22"/>
              </w:rPr>
            </w:pPr>
            <w:r w:rsidRPr="00B778A6">
              <w:rPr>
                <w:iCs/>
                <w:color w:val="000000"/>
                <w:sz w:val="22"/>
                <w:szCs w:val="22"/>
              </w:rPr>
              <w:t>Ekonominė vidinė grąžos norma - EVGN</w:t>
            </w:r>
          </w:p>
        </w:tc>
        <w:tc>
          <w:tcPr>
            <w:tcW w:w="657" w:type="pct"/>
            <w:tcBorders>
              <w:top w:val="nil"/>
              <w:left w:val="nil"/>
              <w:bottom w:val="single" w:sz="4" w:space="0" w:color="auto"/>
              <w:right w:val="single" w:sz="4" w:space="0" w:color="auto"/>
            </w:tcBorders>
            <w:shd w:val="clear" w:color="auto" w:fill="auto"/>
            <w:vAlign w:val="center"/>
            <w:hideMark/>
          </w:tcPr>
          <w:p w:rsidR="00C668D4" w:rsidRPr="00B778A6" w:rsidRDefault="00C668D4" w:rsidP="005F1890">
            <w:pPr>
              <w:jc w:val="center"/>
              <w:rPr>
                <w:iCs/>
                <w:color w:val="000000"/>
                <w:sz w:val="22"/>
                <w:szCs w:val="22"/>
              </w:rPr>
            </w:pPr>
            <w:r w:rsidRPr="00C668D4">
              <w:rPr>
                <w:iCs/>
                <w:color w:val="000000"/>
                <w:sz w:val="22"/>
                <w:szCs w:val="22"/>
              </w:rPr>
              <w:t>-0,54%</w:t>
            </w:r>
          </w:p>
        </w:tc>
        <w:tc>
          <w:tcPr>
            <w:tcW w:w="658" w:type="pct"/>
            <w:tcBorders>
              <w:top w:val="nil"/>
              <w:left w:val="nil"/>
              <w:bottom w:val="single" w:sz="4" w:space="0" w:color="auto"/>
              <w:right w:val="single" w:sz="4" w:space="0" w:color="auto"/>
            </w:tcBorders>
            <w:shd w:val="clear" w:color="auto" w:fill="auto"/>
            <w:vAlign w:val="center"/>
            <w:hideMark/>
          </w:tcPr>
          <w:p w:rsidR="00C668D4" w:rsidRPr="00B778A6" w:rsidRDefault="00C668D4" w:rsidP="005F1890">
            <w:pPr>
              <w:jc w:val="center"/>
              <w:rPr>
                <w:iCs/>
                <w:color w:val="000000"/>
                <w:sz w:val="22"/>
                <w:szCs w:val="22"/>
              </w:rPr>
            </w:pPr>
            <w:r w:rsidRPr="00C668D4">
              <w:rPr>
                <w:iCs/>
                <w:color w:val="000000"/>
                <w:sz w:val="22"/>
                <w:szCs w:val="22"/>
              </w:rPr>
              <w:t>0,43%</w:t>
            </w:r>
          </w:p>
        </w:tc>
        <w:tc>
          <w:tcPr>
            <w:tcW w:w="639" w:type="pct"/>
            <w:tcBorders>
              <w:top w:val="nil"/>
              <w:left w:val="nil"/>
              <w:bottom w:val="single" w:sz="4" w:space="0" w:color="auto"/>
              <w:right w:val="single" w:sz="4" w:space="0" w:color="auto"/>
            </w:tcBorders>
            <w:shd w:val="clear" w:color="auto" w:fill="F2F2F2"/>
            <w:vAlign w:val="center"/>
            <w:hideMark/>
          </w:tcPr>
          <w:p w:rsidR="00C668D4" w:rsidRPr="00B778A6" w:rsidRDefault="00C668D4" w:rsidP="005F1890">
            <w:pPr>
              <w:jc w:val="center"/>
              <w:rPr>
                <w:iCs/>
                <w:color w:val="000000"/>
                <w:sz w:val="22"/>
                <w:szCs w:val="22"/>
              </w:rPr>
            </w:pPr>
            <w:r w:rsidRPr="00C668D4">
              <w:rPr>
                <w:iCs/>
                <w:color w:val="000000"/>
                <w:sz w:val="22"/>
                <w:szCs w:val="22"/>
              </w:rPr>
              <w:t>1,10%</w:t>
            </w:r>
          </w:p>
        </w:tc>
        <w:tc>
          <w:tcPr>
            <w:tcW w:w="677" w:type="pct"/>
            <w:tcBorders>
              <w:top w:val="nil"/>
              <w:left w:val="nil"/>
              <w:bottom w:val="single" w:sz="4" w:space="0" w:color="auto"/>
              <w:right w:val="single" w:sz="4" w:space="0" w:color="auto"/>
            </w:tcBorders>
            <w:shd w:val="clear" w:color="auto" w:fill="auto"/>
            <w:vAlign w:val="center"/>
            <w:hideMark/>
          </w:tcPr>
          <w:p w:rsidR="00C668D4" w:rsidRPr="00B778A6" w:rsidRDefault="00C668D4" w:rsidP="005F1890">
            <w:pPr>
              <w:jc w:val="center"/>
              <w:rPr>
                <w:iCs/>
                <w:color w:val="000000"/>
                <w:sz w:val="22"/>
                <w:szCs w:val="22"/>
              </w:rPr>
            </w:pPr>
            <w:r w:rsidRPr="00C668D4">
              <w:rPr>
                <w:iCs/>
                <w:color w:val="000000"/>
                <w:sz w:val="22"/>
                <w:szCs w:val="22"/>
              </w:rPr>
              <w:t>1,81%</w:t>
            </w:r>
          </w:p>
        </w:tc>
        <w:tc>
          <w:tcPr>
            <w:tcW w:w="672" w:type="pct"/>
            <w:tcBorders>
              <w:top w:val="nil"/>
              <w:left w:val="nil"/>
              <w:bottom w:val="single" w:sz="4" w:space="0" w:color="auto"/>
              <w:right w:val="single" w:sz="4" w:space="0" w:color="auto"/>
            </w:tcBorders>
            <w:shd w:val="clear" w:color="auto" w:fill="auto"/>
            <w:vAlign w:val="center"/>
            <w:hideMark/>
          </w:tcPr>
          <w:p w:rsidR="00C668D4" w:rsidRPr="00B778A6" w:rsidRDefault="00C668D4" w:rsidP="005F1890">
            <w:pPr>
              <w:jc w:val="center"/>
              <w:rPr>
                <w:iCs/>
                <w:color w:val="000000"/>
                <w:sz w:val="22"/>
                <w:szCs w:val="22"/>
              </w:rPr>
            </w:pPr>
            <w:r w:rsidRPr="00C668D4">
              <w:rPr>
                <w:iCs/>
                <w:color w:val="000000"/>
                <w:sz w:val="22"/>
                <w:szCs w:val="22"/>
              </w:rPr>
              <w:t>2,96%</w:t>
            </w:r>
          </w:p>
        </w:tc>
      </w:tr>
    </w:tbl>
    <w:p w:rsidR="0054472A" w:rsidRPr="00B778A6" w:rsidRDefault="0054472A" w:rsidP="0054472A">
      <w:pPr>
        <w:tabs>
          <w:tab w:val="left" w:pos="720"/>
        </w:tabs>
        <w:jc w:val="center"/>
        <w:rPr>
          <w:b/>
          <w:lang w:eastAsia="en-US"/>
        </w:rPr>
      </w:pPr>
    </w:p>
    <w:p w:rsidR="0054472A" w:rsidRPr="00B778A6" w:rsidRDefault="0054472A" w:rsidP="0054472A">
      <w:pPr>
        <w:tabs>
          <w:tab w:val="left" w:pos="720"/>
        </w:tabs>
        <w:jc w:val="both"/>
        <w:rPr>
          <w:lang w:eastAsia="en-US"/>
        </w:rPr>
      </w:pPr>
      <w:r w:rsidRPr="00B778A6">
        <w:rPr>
          <w:b/>
          <w:lang w:eastAsia="en-US"/>
        </w:rPr>
        <w:tab/>
      </w:r>
      <w:r w:rsidR="0004104C" w:rsidRPr="00B778A6">
        <w:rPr>
          <w:lang w:eastAsia="en-US"/>
        </w:rPr>
        <w:t xml:space="preserve">Analizė rodo, kad projektas yra rizikingas. </w:t>
      </w:r>
      <w:r w:rsidR="005550B8" w:rsidRPr="00B778A6">
        <w:rPr>
          <w:lang w:eastAsia="en-US"/>
        </w:rPr>
        <w:t>Net</w:t>
      </w:r>
      <w:r w:rsidR="0004104C" w:rsidRPr="00B778A6">
        <w:rPr>
          <w:lang w:eastAsia="en-US"/>
        </w:rPr>
        <w:t xml:space="preserve"> optimistinio scenarijaus atveju (visiems kritiniams kintamiesiems esant 25 proc. palankesniems) projekto ekonominė grynoji dabartinė vertė yra </w:t>
      </w:r>
      <w:r w:rsidR="005550B8" w:rsidRPr="00B778A6">
        <w:rPr>
          <w:lang w:eastAsia="en-US"/>
        </w:rPr>
        <w:t>n</w:t>
      </w:r>
      <w:r w:rsidR="0004104C" w:rsidRPr="00B778A6">
        <w:rPr>
          <w:lang w:eastAsia="en-US"/>
        </w:rPr>
        <w:t>eigiama.</w:t>
      </w:r>
    </w:p>
    <w:p w:rsidR="00B9527F" w:rsidRPr="00B778A6" w:rsidRDefault="00B9527F" w:rsidP="0054472A">
      <w:pPr>
        <w:tabs>
          <w:tab w:val="left" w:pos="720"/>
        </w:tabs>
        <w:rPr>
          <w:b/>
          <w:lang w:eastAsia="en-US"/>
        </w:rPr>
      </w:pPr>
    </w:p>
    <w:p w:rsidR="004B5056" w:rsidRPr="00B778A6" w:rsidRDefault="00454B87" w:rsidP="005F4EC1">
      <w:pPr>
        <w:pStyle w:val="Heading2"/>
        <w:rPr>
          <w:rFonts w:ascii="Times New Roman" w:hAnsi="Times New Roman"/>
        </w:rPr>
      </w:pPr>
      <w:bookmarkStart w:id="56" w:name="_Toc34924511"/>
      <w:r w:rsidRPr="00B778A6">
        <w:rPr>
          <w:rFonts w:ascii="Times New Roman" w:hAnsi="Times New Roman"/>
          <w:lang w:val="lt-LT"/>
        </w:rPr>
        <w:t>6</w:t>
      </w:r>
      <w:r w:rsidR="003364A6" w:rsidRPr="00B778A6">
        <w:rPr>
          <w:rFonts w:ascii="Times New Roman" w:hAnsi="Times New Roman"/>
          <w:lang w:val="lt-LT"/>
        </w:rPr>
        <w:t>.3. Kintamųjų tikimybės</w:t>
      </w:r>
      <w:bookmarkEnd w:id="56"/>
    </w:p>
    <w:p w:rsidR="003364A6" w:rsidRPr="00B778A6" w:rsidRDefault="003364A6" w:rsidP="003364A6">
      <w:pPr>
        <w:pStyle w:val="ColorfulList-Accent11"/>
        <w:ind w:left="0"/>
        <w:rPr>
          <w:b/>
          <w:bCs/>
          <w:i/>
          <w:iCs/>
          <w:sz w:val="28"/>
          <w:szCs w:val="28"/>
        </w:rPr>
      </w:pPr>
    </w:p>
    <w:p w:rsidR="003364A6" w:rsidRPr="00B778A6" w:rsidRDefault="0054472A" w:rsidP="0054472A">
      <w:pPr>
        <w:tabs>
          <w:tab w:val="left" w:pos="720"/>
        </w:tabs>
        <w:ind w:firstLine="720"/>
        <w:jc w:val="both"/>
        <w:rPr>
          <w:lang w:eastAsia="en-US"/>
        </w:rPr>
      </w:pPr>
      <w:r w:rsidRPr="00B778A6">
        <w:rPr>
          <w:lang w:eastAsia="en-US"/>
        </w:rPr>
        <w:t>Vadovaujantis metodika, kintamųjų tikimybės jau yra nustatytos pagal ilgametę V</w:t>
      </w:r>
      <w:r w:rsidR="005D761A" w:rsidRPr="00B778A6">
        <w:rPr>
          <w:lang w:eastAsia="en-US"/>
        </w:rPr>
        <w:t>š</w:t>
      </w:r>
      <w:r w:rsidRPr="00B778A6">
        <w:rPr>
          <w:lang w:eastAsia="en-US"/>
        </w:rPr>
        <w:t>Į CPVA projektų valdymo praktiką ir įtrauktos į skaičiuoklę. Projekto „</w:t>
      </w:r>
      <w:r w:rsidR="00411565" w:rsidRPr="00B778A6">
        <w:rPr>
          <w:lang w:eastAsia="en-US"/>
        </w:rPr>
        <w:t>Lopšelio-</w:t>
      </w:r>
      <w:r w:rsidR="003420ED" w:rsidRPr="00B778A6">
        <w:rPr>
          <w:lang w:eastAsia="en-US"/>
        </w:rPr>
        <w:t>darželio Gintarėlis modernizavimas</w:t>
      </w:r>
      <w:r w:rsidRPr="00B778A6">
        <w:rPr>
          <w:lang w:eastAsia="en-US"/>
        </w:rPr>
        <w:t>“ rizikos nėra labai specifinės ir neturi esminių skirtumų nuo kitų panašaus tipo projektų, todėl vadovaujamasi metodikoje apibrėžtomis kintamųjų tikimybėmis.</w:t>
      </w:r>
    </w:p>
    <w:p w:rsidR="0054472A" w:rsidRPr="00B778A6" w:rsidRDefault="0054472A" w:rsidP="0054472A">
      <w:pPr>
        <w:tabs>
          <w:tab w:val="left" w:pos="720"/>
        </w:tabs>
        <w:ind w:firstLine="720"/>
        <w:jc w:val="both"/>
        <w:rPr>
          <w:lang w:eastAsia="en-US"/>
        </w:rPr>
      </w:pPr>
    </w:p>
    <w:p w:rsidR="00FD1BF7" w:rsidRPr="00B778A6" w:rsidRDefault="00454B87" w:rsidP="00B54573">
      <w:pPr>
        <w:pStyle w:val="Heading2"/>
        <w:rPr>
          <w:rFonts w:ascii="Times New Roman" w:hAnsi="Times New Roman"/>
        </w:rPr>
      </w:pPr>
      <w:bookmarkStart w:id="57" w:name="_Toc34924512"/>
      <w:r w:rsidRPr="00B778A6">
        <w:rPr>
          <w:rFonts w:ascii="Times New Roman" w:hAnsi="Times New Roman"/>
          <w:lang w:val="lt-LT"/>
        </w:rPr>
        <w:t>6</w:t>
      </w:r>
      <w:r w:rsidR="00FD1BF7" w:rsidRPr="00B778A6">
        <w:rPr>
          <w:rFonts w:ascii="Times New Roman" w:hAnsi="Times New Roman"/>
          <w:lang w:val="lt-LT"/>
        </w:rPr>
        <w:t>.</w:t>
      </w:r>
      <w:r w:rsidR="003364A6" w:rsidRPr="00B778A6">
        <w:rPr>
          <w:rFonts w:ascii="Times New Roman" w:hAnsi="Times New Roman"/>
          <w:lang w:val="lt-LT"/>
        </w:rPr>
        <w:t>4. Rizikų vertinimas</w:t>
      </w:r>
      <w:bookmarkEnd w:id="57"/>
    </w:p>
    <w:p w:rsidR="0054472A" w:rsidRPr="00B778A6" w:rsidRDefault="0054472A" w:rsidP="0054472A">
      <w:pPr>
        <w:pStyle w:val="ColorfulList-Accent11"/>
        <w:ind w:left="0" w:firstLine="709"/>
        <w:jc w:val="both"/>
      </w:pPr>
    </w:p>
    <w:p w:rsidR="00B54573" w:rsidRPr="00B778A6" w:rsidRDefault="0054472A" w:rsidP="0054472A">
      <w:pPr>
        <w:pStyle w:val="ColorfulList-Accent11"/>
        <w:ind w:left="0" w:firstLine="709"/>
        <w:jc w:val="both"/>
      </w:pPr>
      <w:r w:rsidRPr="00B778A6">
        <w:t>Projekto rizikos analizės rodikliai apskaičiuoti naudojant oficialią skaičiuoklę. Skaičiuoklė su rezultatais pateikiama, kaip savarankiškas investicijų projekto  priedas.</w:t>
      </w:r>
    </w:p>
    <w:p w:rsidR="0054472A" w:rsidRPr="00B778A6" w:rsidRDefault="0054472A" w:rsidP="0054472A">
      <w:pPr>
        <w:pStyle w:val="ColorfulList-Accent11"/>
        <w:ind w:left="0" w:firstLine="709"/>
        <w:jc w:val="both"/>
        <w:rPr>
          <w:szCs w:val="24"/>
        </w:rPr>
      </w:pPr>
    </w:p>
    <w:p w:rsidR="00FD1BF7" w:rsidRPr="00B778A6" w:rsidRDefault="00454B87" w:rsidP="00B54573">
      <w:pPr>
        <w:pStyle w:val="Heading2"/>
        <w:rPr>
          <w:rFonts w:ascii="Times New Roman" w:hAnsi="Times New Roman"/>
        </w:rPr>
      </w:pPr>
      <w:bookmarkStart w:id="58" w:name="_Toc34924513"/>
      <w:r w:rsidRPr="00B778A6">
        <w:rPr>
          <w:rFonts w:ascii="Times New Roman" w:hAnsi="Times New Roman"/>
          <w:lang w:val="lt-LT"/>
        </w:rPr>
        <w:t>6</w:t>
      </w:r>
      <w:r w:rsidR="00FD1BF7" w:rsidRPr="00B778A6">
        <w:rPr>
          <w:rFonts w:ascii="Times New Roman" w:hAnsi="Times New Roman"/>
          <w:lang w:val="lt-LT"/>
        </w:rPr>
        <w:t>.</w:t>
      </w:r>
      <w:r w:rsidR="003364A6" w:rsidRPr="00B778A6">
        <w:rPr>
          <w:rFonts w:ascii="Times New Roman" w:hAnsi="Times New Roman"/>
          <w:lang w:val="lt-LT"/>
        </w:rPr>
        <w:t>5</w:t>
      </w:r>
      <w:r w:rsidR="00FD1BF7" w:rsidRPr="00B778A6">
        <w:rPr>
          <w:rFonts w:ascii="Times New Roman" w:hAnsi="Times New Roman"/>
          <w:lang w:val="lt-LT"/>
        </w:rPr>
        <w:t>. Rizikos priimtinum</w:t>
      </w:r>
      <w:r w:rsidR="003364A6" w:rsidRPr="00B778A6">
        <w:rPr>
          <w:rFonts w:ascii="Times New Roman" w:hAnsi="Times New Roman"/>
          <w:lang w:val="lt-LT"/>
        </w:rPr>
        <w:t>as</w:t>
      </w:r>
      <w:bookmarkEnd w:id="58"/>
    </w:p>
    <w:p w:rsidR="00BA67FB" w:rsidRPr="00B778A6" w:rsidRDefault="00BA67FB" w:rsidP="0054472A">
      <w:pPr>
        <w:tabs>
          <w:tab w:val="left" w:pos="720"/>
        </w:tabs>
        <w:ind w:firstLine="720"/>
        <w:jc w:val="both"/>
        <w:rPr>
          <w:lang w:eastAsia="en-US"/>
        </w:rPr>
      </w:pPr>
    </w:p>
    <w:p w:rsidR="0054472A" w:rsidRPr="00B778A6" w:rsidRDefault="0054472A" w:rsidP="0054472A">
      <w:pPr>
        <w:tabs>
          <w:tab w:val="left" w:pos="720"/>
        </w:tabs>
        <w:ind w:firstLine="720"/>
        <w:jc w:val="both"/>
        <w:rPr>
          <w:lang w:eastAsia="en-US"/>
        </w:rPr>
      </w:pPr>
      <w:r w:rsidRPr="00B778A6">
        <w:rPr>
          <w:lang w:eastAsia="en-US"/>
        </w:rPr>
        <w:t>Vadovaujantis atlikta rizikos analize, pateikiamas šis rizikos priimtinumo įvertinimas.</w:t>
      </w:r>
    </w:p>
    <w:p w:rsidR="00BA67FB" w:rsidRPr="00B778A6" w:rsidRDefault="00BA67FB" w:rsidP="0054472A">
      <w:pPr>
        <w:tabs>
          <w:tab w:val="left" w:pos="720"/>
        </w:tabs>
        <w:ind w:firstLine="720"/>
        <w:jc w:val="both"/>
        <w:rPr>
          <w:lang w:eastAsia="en-US"/>
        </w:rPr>
      </w:pPr>
    </w:p>
    <w:p w:rsidR="0054472A" w:rsidRPr="00B778A6" w:rsidRDefault="00A36DDC" w:rsidP="0054472A">
      <w:pPr>
        <w:pStyle w:val="ColorfulList-Accent11"/>
        <w:ind w:left="0"/>
        <w:jc w:val="center"/>
        <w:rPr>
          <w:b/>
          <w:szCs w:val="24"/>
        </w:rPr>
      </w:pPr>
      <w:r w:rsidRPr="00B778A6">
        <w:rPr>
          <w:b/>
          <w:szCs w:val="24"/>
        </w:rPr>
        <w:t xml:space="preserve">6.5.1. </w:t>
      </w:r>
      <w:r w:rsidR="0067083E">
        <w:rPr>
          <w:b/>
          <w:szCs w:val="24"/>
        </w:rPr>
        <w:t>l</w:t>
      </w:r>
      <w:r w:rsidR="0067083E" w:rsidRPr="00B778A6">
        <w:rPr>
          <w:b/>
          <w:szCs w:val="24"/>
        </w:rPr>
        <w:t>entelė</w:t>
      </w:r>
      <w:r w:rsidR="0054472A" w:rsidRPr="00B778A6">
        <w:rPr>
          <w:b/>
          <w:szCs w:val="24"/>
        </w:rPr>
        <w:t>. Rizikos priimtinumo vertinimo rezultatai</w:t>
      </w:r>
    </w:p>
    <w:tbl>
      <w:tblPr>
        <w:tblW w:w="48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1"/>
        <w:gridCol w:w="3079"/>
        <w:gridCol w:w="3130"/>
      </w:tblGrid>
      <w:tr w:rsidR="0054472A" w:rsidRPr="00B778A6" w:rsidTr="00B778A6">
        <w:trPr>
          <w:trHeight w:val="20"/>
          <w:jc w:val="center"/>
        </w:trPr>
        <w:tc>
          <w:tcPr>
            <w:tcW w:w="1749" w:type="pct"/>
            <w:shd w:val="clear" w:color="auto" w:fill="D9D9D9"/>
            <w:vAlign w:val="center"/>
            <w:hideMark/>
          </w:tcPr>
          <w:p w:rsidR="0054472A" w:rsidRPr="00B778A6" w:rsidRDefault="0054472A" w:rsidP="00CD02E2">
            <w:pPr>
              <w:jc w:val="center"/>
              <w:rPr>
                <w:b/>
                <w:sz w:val="22"/>
                <w:szCs w:val="22"/>
              </w:rPr>
            </w:pPr>
            <w:r w:rsidRPr="00B778A6">
              <w:rPr>
                <w:b/>
                <w:sz w:val="22"/>
                <w:szCs w:val="22"/>
              </w:rPr>
              <w:t xml:space="preserve">Minimali priimtina </w:t>
            </w:r>
          </w:p>
          <w:p w:rsidR="0054472A" w:rsidRPr="00B778A6" w:rsidRDefault="0054472A" w:rsidP="00CD02E2">
            <w:pPr>
              <w:jc w:val="center"/>
              <w:rPr>
                <w:b/>
                <w:sz w:val="22"/>
                <w:szCs w:val="22"/>
              </w:rPr>
            </w:pPr>
            <w:r w:rsidRPr="00B778A6">
              <w:rPr>
                <w:b/>
                <w:sz w:val="22"/>
                <w:szCs w:val="22"/>
              </w:rPr>
              <w:t>rodiklio reikšmė</w:t>
            </w:r>
          </w:p>
        </w:tc>
        <w:tc>
          <w:tcPr>
            <w:tcW w:w="1612" w:type="pct"/>
            <w:shd w:val="clear" w:color="auto" w:fill="D9D9D9"/>
            <w:vAlign w:val="center"/>
            <w:hideMark/>
          </w:tcPr>
          <w:p w:rsidR="0054472A" w:rsidRPr="00B778A6" w:rsidRDefault="0054472A" w:rsidP="00CD02E2">
            <w:pPr>
              <w:jc w:val="center"/>
              <w:rPr>
                <w:b/>
                <w:sz w:val="22"/>
                <w:szCs w:val="22"/>
              </w:rPr>
            </w:pPr>
            <w:r w:rsidRPr="00B778A6">
              <w:rPr>
                <w:b/>
                <w:sz w:val="22"/>
                <w:szCs w:val="22"/>
              </w:rPr>
              <w:t>Tikimybė, kad nurodyta reikšmė bus pasiekta</w:t>
            </w:r>
          </w:p>
        </w:tc>
        <w:tc>
          <w:tcPr>
            <w:tcW w:w="1639" w:type="pct"/>
            <w:shd w:val="clear" w:color="auto" w:fill="D9D9D9"/>
            <w:vAlign w:val="center"/>
            <w:hideMark/>
          </w:tcPr>
          <w:p w:rsidR="0054472A" w:rsidRPr="00B778A6" w:rsidRDefault="0054472A" w:rsidP="00CD02E2">
            <w:pPr>
              <w:jc w:val="center"/>
              <w:rPr>
                <w:b/>
                <w:sz w:val="22"/>
                <w:szCs w:val="22"/>
              </w:rPr>
            </w:pPr>
            <w:r w:rsidRPr="00B778A6">
              <w:rPr>
                <w:b/>
                <w:sz w:val="22"/>
                <w:szCs w:val="22"/>
              </w:rPr>
              <w:t xml:space="preserve">Labiausiai tikėtina </w:t>
            </w:r>
          </w:p>
          <w:p w:rsidR="0054472A" w:rsidRPr="00B778A6" w:rsidRDefault="0054472A" w:rsidP="00CD02E2">
            <w:pPr>
              <w:jc w:val="center"/>
              <w:rPr>
                <w:b/>
                <w:sz w:val="22"/>
                <w:szCs w:val="22"/>
              </w:rPr>
            </w:pPr>
            <w:r w:rsidRPr="00B778A6">
              <w:rPr>
                <w:b/>
                <w:sz w:val="22"/>
                <w:szCs w:val="22"/>
              </w:rPr>
              <w:t>rodiklio reikšmė</w:t>
            </w:r>
          </w:p>
        </w:tc>
      </w:tr>
      <w:tr w:rsidR="00C668D4" w:rsidRPr="00B778A6" w:rsidTr="00C668D4">
        <w:trPr>
          <w:trHeight w:val="20"/>
          <w:jc w:val="center"/>
        </w:trPr>
        <w:tc>
          <w:tcPr>
            <w:tcW w:w="1749" w:type="pct"/>
            <w:shd w:val="clear" w:color="auto" w:fill="auto"/>
            <w:noWrap/>
            <w:vAlign w:val="center"/>
            <w:hideMark/>
          </w:tcPr>
          <w:p w:rsidR="00C668D4" w:rsidRPr="00B778A6" w:rsidRDefault="00C668D4" w:rsidP="000D64B4">
            <w:pPr>
              <w:jc w:val="center"/>
              <w:rPr>
                <w:sz w:val="22"/>
                <w:szCs w:val="22"/>
              </w:rPr>
            </w:pPr>
            <w:r w:rsidRPr="00B778A6">
              <w:rPr>
                <w:sz w:val="22"/>
                <w:szCs w:val="22"/>
              </w:rPr>
              <w:t>FGDV(I) - netaikoma</w:t>
            </w:r>
          </w:p>
        </w:tc>
        <w:tc>
          <w:tcPr>
            <w:tcW w:w="1612" w:type="pct"/>
            <w:shd w:val="clear" w:color="auto" w:fill="auto"/>
            <w:noWrap/>
            <w:vAlign w:val="center"/>
            <w:hideMark/>
          </w:tcPr>
          <w:p w:rsidR="00C668D4" w:rsidRPr="00B778A6" w:rsidRDefault="00C668D4">
            <w:pPr>
              <w:jc w:val="center"/>
              <w:rPr>
                <w:sz w:val="22"/>
                <w:szCs w:val="22"/>
              </w:rPr>
            </w:pPr>
            <w:r w:rsidRPr="00C668D4">
              <w:rPr>
                <w:sz w:val="22"/>
                <w:szCs w:val="22"/>
              </w:rPr>
              <w:t>0,0%</w:t>
            </w:r>
          </w:p>
        </w:tc>
        <w:tc>
          <w:tcPr>
            <w:tcW w:w="1639" w:type="pct"/>
            <w:shd w:val="clear" w:color="auto" w:fill="auto"/>
            <w:noWrap/>
            <w:vAlign w:val="center"/>
            <w:hideMark/>
          </w:tcPr>
          <w:p w:rsidR="00C668D4" w:rsidRPr="00B778A6" w:rsidRDefault="00C668D4">
            <w:pPr>
              <w:jc w:val="center"/>
              <w:rPr>
                <w:sz w:val="22"/>
                <w:szCs w:val="22"/>
              </w:rPr>
            </w:pPr>
            <w:r w:rsidRPr="00C668D4">
              <w:rPr>
                <w:sz w:val="22"/>
                <w:szCs w:val="22"/>
              </w:rPr>
              <w:t xml:space="preserve">-496 219 </w:t>
            </w:r>
          </w:p>
        </w:tc>
      </w:tr>
      <w:tr w:rsidR="00C668D4" w:rsidRPr="00B778A6" w:rsidTr="00C668D4">
        <w:trPr>
          <w:trHeight w:val="20"/>
          <w:jc w:val="center"/>
        </w:trPr>
        <w:tc>
          <w:tcPr>
            <w:tcW w:w="1749" w:type="pct"/>
            <w:shd w:val="clear" w:color="auto" w:fill="auto"/>
            <w:noWrap/>
            <w:vAlign w:val="center"/>
            <w:hideMark/>
          </w:tcPr>
          <w:p w:rsidR="00C668D4" w:rsidRPr="00B778A6" w:rsidRDefault="00C668D4" w:rsidP="00A36DDC">
            <w:pPr>
              <w:jc w:val="center"/>
              <w:rPr>
                <w:sz w:val="22"/>
                <w:szCs w:val="22"/>
              </w:rPr>
            </w:pPr>
            <w:r w:rsidRPr="00B778A6">
              <w:rPr>
                <w:sz w:val="22"/>
                <w:szCs w:val="22"/>
              </w:rPr>
              <w:t>FVGN(I) – netaikoma</w:t>
            </w:r>
          </w:p>
        </w:tc>
        <w:tc>
          <w:tcPr>
            <w:tcW w:w="1612" w:type="pct"/>
            <w:shd w:val="clear" w:color="auto" w:fill="auto"/>
            <w:noWrap/>
            <w:vAlign w:val="center"/>
            <w:hideMark/>
          </w:tcPr>
          <w:p w:rsidR="00C668D4" w:rsidRPr="00B778A6" w:rsidRDefault="00C668D4">
            <w:pPr>
              <w:jc w:val="center"/>
              <w:rPr>
                <w:sz w:val="22"/>
                <w:szCs w:val="22"/>
              </w:rPr>
            </w:pPr>
            <w:r w:rsidRPr="00C668D4">
              <w:rPr>
                <w:sz w:val="22"/>
                <w:szCs w:val="22"/>
              </w:rPr>
              <w:t>43,2%</w:t>
            </w:r>
          </w:p>
        </w:tc>
        <w:tc>
          <w:tcPr>
            <w:tcW w:w="1639" w:type="pct"/>
            <w:shd w:val="clear" w:color="auto" w:fill="auto"/>
            <w:noWrap/>
            <w:vAlign w:val="center"/>
            <w:hideMark/>
          </w:tcPr>
          <w:p w:rsidR="00C668D4" w:rsidRPr="00B778A6" w:rsidRDefault="00C668D4">
            <w:pPr>
              <w:jc w:val="center"/>
              <w:rPr>
                <w:sz w:val="22"/>
                <w:szCs w:val="22"/>
              </w:rPr>
            </w:pPr>
            <w:r w:rsidRPr="00C668D4">
              <w:rPr>
                <w:sz w:val="22"/>
                <w:szCs w:val="22"/>
              </w:rPr>
              <w:t>-0,2%</w:t>
            </w:r>
          </w:p>
        </w:tc>
      </w:tr>
      <w:tr w:rsidR="00C668D4" w:rsidRPr="00B778A6" w:rsidTr="00C668D4">
        <w:trPr>
          <w:trHeight w:val="20"/>
          <w:jc w:val="center"/>
        </w:trPr>
        <w:tc>
          <w:tcPr>
            <w:tcW w:w="1749" w:type="pct"/>
            <w:shd w:val="clear" w:color="auto" w:fill="auto"/>
            <w:noWrap/>
            <w:vAlign w:val="center"/>
            <w:hideMark/>
          </w:tcPr>
          <w:p w:rsidR="00C668D4" w:rsidRPr="00B778A6" w:rsidRDefault="00C668D4" w:rsidP="00A36DDC">
            <w:pPr>
              <w:jc w:val="center"/>
              <w:rPr>
                <w:sz w:val="22"/>
                <w:szCs w:val="22"/>
              </w:rPr>
            </w:pPr>
            <w:r w:rsidRPr="00B778A6">
              <w:rPr>
                <w:sz w:val="22"/>
                <w:szCs w:val="22"/>
              </w:rPr>
              <w:t>EGDV - 1</w:t>
            </w:r>
          </w:p>
        </w:tc>
        <w:tc>
          <w:tcPr>
            <w:tcW w:w="1612" w:type="pct"/>
            <w:shd w:val="clear" w:color="auto" w:fill="auto"/>
            <w:noWrap/>
            <w:vAlign w:val="center"/>
            <w:hideMark/>
          </w:tcPr>
          <w:p w:rsidR="00C668D4" w:rsidRPr="00B778A6" w:rsidRDefault="00C668D4">
            <w:pPr>
              <w:jc w:val="center"/>
              <w:rPr>
                <w:sz w:val="22"/>
                <w:szCs w:val="22"/>
              </w:rPr>
            </w:pPr>
            <w:r w:rsidRPr="00C668D4">
              <w:rPr>
                <w:sz w:val="22"/>
                <w:szCs w:val="22"/>
              </w:rPr>
              <w:t>0,0%</w:t>
            </w:r>
          </w:p>
        </w:tc>
        <w:tc>
          <w:tcPr>
            <w:tcW w:w="1639" w:type="pct"/>
            <w:shd w:val="clear" w:color="auto" w:fill="auto"/>
            <w:noWrap/>
            <w:vAlign w:val="center"/>
            <w:hideMark/>
          </w:tcPr>
          <w:p w:rsidR="00C668D4" w:rsidRPr="00B778A6" w:rsidRDefault="00C668D4">
            <w:pPr>
              <w:jc w:val="center"/>
              <w:rPr>
                <w:sz w:val="22"/>
                <w:szCs w:val="22"/>
              </w:rPr>
            </w:pPr>
            <w:r w:rsidRPr="00C668D4">
              <w:rPr>
                <w:sz w:val="22"/>
                <w:szCs w:val="22"/>
              </w:rPr>
              <w:t xml:space="preserve">-408 116 </w:t>
            </w:r>
          </w:p>
        </w:tc>
      </w:tr>
      <w:tr w:rsidR="00C668D4" w:rsidRPr="00B778A6" w:rsidTr="00C668D4">
        <w:trPr>
          <w:trHeight w:val="20"/>
          <w:jc w:val="center"/>
        </w:trPr>
        <w:tc>
          <w:tcPr>
            <w:tcW w:w="1749" w:type="pct"/>
            <w:shd w:val="clear" w:color="auto" w:fill="auto"/>
            <w:noWrap/>
            <w:vAlign w:val="center"/>
            <w:hideMark/>
          </w:tcPr>
          <w:p w:rsidR="00C668D4" w:rsidRPr="00B778A6" w:rsidRDefault="00C668D4" w:rsidP="00CD02E2">
            <w:pPr>
              <w:jc w:val="center"/>
              <w:rPr>
                <w:sz w:val="22"/>
                <w:szCs w:val="22"/>
              </w:rPr>
            </w:pPr>
            <w:r w:rsidRPr="00B778A6">
              <w:rPr>
                <w:sz w:val="22"/>
                <w:szCs w:val="22"/>
              </w:rPr>
              <w:t>EVGN – 5,1 %</w:t>
            </w:r>
          </w:p>
        </w:tc>
        <w:tc>
          <w:tcPr>
            <w:tcW w:w="1612" w:type="pct"/>
            <w:shd w:val="clear" w:color="auto" w:fill="auto"/>
            <w:noWrap/>
            <w:vAlign w:val="center"/>
            <w:hideMark/>
          </w:tcPr>
          <w:p w:rsidR="00C668D4" w:rsidRPr="00B778A6" w:rsidRDefault="00C668D4">
            <w:pPr>
              <w:jc w:val="center"/>
              <w:rPr>
                <w:sz w:val="22"/>
                <w:szCs w:val="22"/>
              </w:rPr>
            </w:pPr>
            <w:r w:rsidRPr="00C668D4">
              <w:rPr>
                <w:sz w:val="22"/>
                <w:szCs w:val="22"/>
              </w:rPr>
              <w:t>0,0%</w:t>
            </w:r>
          </w:p>
        </w:tc>
        <w:tc>
          <w:tcPr>
            <w:tcW w:w="1639" w:type="pct"/>
            <w:shd w:val="clear" w:color="auto" w:fill="auto"/>
            <w:noWrap/>
            <w:vAlign w:val="center"/>
            <w:hideMark/>
          </w:tcPr>
          <w:p w:rsidR="00C668D4" w:rsidRPr="00B778A6" w:rsidRDefault="00C668D4">
            <w:pPr>
              <w:jc w:val="center"/>
              <w:rPr>
                <w:sz w:val="22"/>
                <w:szCs w:val="22"/>
              </w:rPr>
            </w:pPr>
            <w:r w:rsidRPr="00C668D4">
              <w:rPr>
                <w:sz w:val="22"/>
                <w:szCs w:val="22"/>
              </w:rPr>
              <w:t>1,4%</w:t>
            </w:r>
          </w:p>
        </w:tc>
      </w:tr>
    </w:tbl>
    <w:p w:rsidR="0092058F" w:rsidRPr="00B778A6" w:rsidRDefault="0092058F" w:rsidP="0054472A">
      <w:pPr>
        <w:pStyle w:val="ColorfulList-Accent11"/>
        <w:ind w:left="0" w:firstLine="709"/>
        <w:jc w:val="both"/>
        <w:rPr>
          <w:szCs w:val="24"/>
        </w:rPr>
      </w:pPr>
    </w:p>
    <w:p w:rsidR="0054472A" w:rsidRPr="00B778A6" w:rsidRDefault="0054472A" w:rsidP="0054472A">
      <w:pPr>
        <w:pStyle w:val="ColorfulList-Accent11"/>
        <w:ind w:left="0" w:firstLine="709"/>
        <w:jc w:val="both"/>
        <w:rPr>
          <w:szCs w:val="24"/>
        </w:rPr>
      </w:pPr>
      <w:r w:rsidRPr="00B778A6">
        <w:rPr>
          <w:szCs w:val="24"/>
        </w:rPr>
        <w:t>Projekto rizikos priimtinumo vertinimo rodikliai apskaičiuoti naudojant oficialią skaičiuoklę. Skaičiuoklė su rezultatais pateikiama, kaip savarankiškas investicijų projekto  priedas.</w:t>
      </w:r>
    </w:p>
    <w:p w:rsidR="00FD1BF7" w:rsidRPr="00B778A6" w:rsidRDefault="00454B87" w:rsidP="00B54573">
      <w:pPr>
        <w:pStyle w:val="Heading2"/>
        <w:rPr>
          <w:rFonts w:ascii="Times New Roman" w:hAnsi="Times New Roman"/>
        </w:rPr>
      </w:pPr>
      <w:bookmarkStart w:id="59" w:name="_Toc34924514"/>
      <w:r w:rsidRPr="00B778A6">
        <w:rPr>
          <w:rFonts w:ascii="Times New Roman" w:hAnsi="Times New Roman"/>
          <w:lang w:val="lt-LT"/>
        </w:rPr>
        <w:lastRenderedPageBreak/>
        <w:t>6</w:t>
      </w:r>
      <w:r w:rsidR="00FD1BF7" w:rsidRPr="00B778A6">
        <w:rPr>
          <w:rFonts w:ascii="Times New Roman" w:hAnsi="Times New Roman"/>
          <w:lang w:val="lt-LT"/>
        </w:rPr>
        <w:t>.</w:t>
      </w:r>
      <w:r w:rsidR="003364A6" w:rsidRPr="00B778A6">
        <w:rPr>
          <w:rFonts w:ascii="Times New Roman" w:hAnsi="Times New Roman"/>
          <w:lang w:val="lt-LT"/>
        </w:rPr>
        <w:t>6</w:t>
      </w:r>
      <w:r w:rsidR="00FD1BF7" w:rsidRPr="00B778A6">
        <w:rPr>
          <w:rFonts w:ascii="Times New Roman" w:hAnsi="Times New Roman"/>
          <w:lang w:val="lt-LT"/>
        </w:rPr>
        <w:t>. Rizikų valdym</w:t>
      </w:r>
      <w:r w:rsidR="00D8578D" w:rsidRPr="00B778A6">
        <w:rPr>
          <w:rFonts w:ascii="Times New Roman" w:hAnsi="Times New Roman"/>
          <w:lang w:val="lt-LT"/>
        </w:rPr>
        <w:t>o veiksmai</w:t>
      </w:r>
      <w:bookmarkEnd w:id="59"/>
    </w:p>
    <w:p w:rsidR="0054472A" w:rsidRPr="00B778A6" w:rsidRDefault="0054472A" w:rsidP="0054472A">
      <w:pPr>
        <w:ind w:left="360"/>
      </w:pPr>
    </w:p>
    <w:p w:rsidR="0054472A" w:rsidRPr="00B778A6" w:rsidRDefault="0054472A" w:rsidP="0054472A">
      <w:pPr>
        <w:autoSpaceDE w:val="0"/>
        <w:autoSpaceDN w:val="0"/>
        <w:adjustRightInd w:val="0"/>
        <w:ind w:firstLine="851"/>
        <w:jc w:val="both"/>
        <w:rPr>
          <w:lang w:eastAsia="en-US"/>
        </w:rPr>
      </w:pPr>
      <w:r w:rsidRPr="00B778A6">
        <w:rPr>
          <w:lang w:eastAsia="en-US"/>
        </w:rPr>
        <w:t>Kiekvienai projekto rizikai suvaldyti reikalinga pasirinkti efektyviausią valdymo būdą. Pagrindiniai galimi rizikos valdymo būdai:</w:t>
      </w:r>
    </w:p>
    <w:p w:rsidR="0054472A" w:rsidRPr="00B778A6" w:rsidRDefault="0054472A" w:rsidP="0054472A">
      <w:pPr>
        <w:numPr>
          <w:ilvl w:val="0"/>
          <w:numId w:val="17"/>
        </w:numPr>
        <w:autoSpaceDE w:val="0"/>
        <w:autoSpaceDN w:val="0"/>
        <w:adjustRightInd w:val="0"/>
        <w:jc w:val="both"/>
        <w:rPr>
          <w:lang w:eastAsia="en-US"/>
        </w:rPr>
      </w:pPr>
      <w:r w:rsidRPr="00B778A6">
        <w:rPr>
          <w:lang w:eastAsia="en-US"/>
        </w:rPr>
        <w:t>Rizikos išvengimas – pašalinamas rizikos sukėlėjas (-ai);</w:t>
      </w:r>
    </w:p>
    <w:p w:rsidR="0054472A" w:rsidRPr="00B778A6" w:rsidRDefault="0054472A" w:rsidP="0054472A">
      <w:pPr>
        <w:numPr>
          <w:ilvl w:val="0"/>
          <w:numId w:val="17"/>
        </w:numPr>
        <w:autoSpaceDE w:val="0"/>
        <w:autoSpaceDN w:val="0"/>
        <w:adjustRightInd w:val="0"/>
        <w:jc w:val="both"/>
        <w:rPr>
          <w:lang w:eastAsia="en-US"/>
        </w:rPr>
      </w:pPr>
      <w:r w:rsidRPr="00B778A6">
        <w:rPr>
          <w:lang w:eastAsia="en-US"/>
        </w:rPr>
        <w:t>Rizikos prevencija – mažinama rizikos pasireiškimo tikimybė, vykdant prevencines veiklas ar investuojant daugiau lėšų į infrastruktūros sukūrimą;</w:t>
      </w:r>
    </w:p>
    <w:p w:rsidR="0054472A" w:rsidRPr="00B778A6" w:rsidRDefault="0054472A" w:rsidP="0054472A">
      <w:pPr>
        <w:numPr>
          <w:ilvl w:val="0"/>
          <w:numId w:val="17"/>
        </w:numPr>
        <w:autoSpaceDE w:val="0"/>
        <w:autoSpaceDN w:val="0"/>
        <w:adjustRightInd w:val="0"/>
        <w:jc w:val="both"/>
        <w:rPr>
          <w:lang w:eastAsia="en-US"/>
        </w:rPr>
      </w:pPr>
      <w:r w:rsidRPr="00B778A6">
        <w:rPr>
          <w:lang w:eastAsia="en-US"/>
        </w:rPr>
        <w:t>Rizikos draudimas – įsigyjamas draudimas nuo rizikų, nuo kurių įmanoma apsidrausti (force majeure rizikos, civilinės atsakomybės rizikos ir pan.);</w:t>
      </w:r>
    </w:p>
    <w:p w:rsidR="0054472A" w:rsidRPr="00B778A6" w:rsidRDefault="0054472A" w:rsidP="0054472A">
      <w:pPr>
        <w:numPr>
          <w:ilvl w:val="0"/>
          <w:numId w:val="17"/>
        </w:numPr>
        <w:autoSpaceDE w:val="0"/>
        <w:autoSpaceDN w:val="0"/>
        <w:adjustRightInd w:val="0"/>
        <w:jc w:val="both"/>
        <w:rPr>
          <w:lang w:eastAsia="en-US"/>
        </w:rPr>
      </w:pPr>
      <w:r w:rsidRPr="00B778A6">
        <w:rPr>
          <w:lang w:eastAsia="en-US"/>
        </w:rPr>
        <w:t>Rizikos perdavimas – rizika perduodama tai šaliai, kuri pajėgesnė ją valdyti (pavyzdžiui, projektas įgyvendinamas pasitelkus partnerį, kuris yra įgijęs atitinkamos rizikos valdymo patirties);</w:t>
      </w:r>
    </w:p>
    <w:p w:rsidR="0054472A" w:rsidRPr="00B778A6" w:rsidRDefault="0054472A" w:rsidP="0054472A">
      <w:pPr>
        <w:numPr>
          <w:ilvl w:val="0"/>
          <w:numId w:val="17"/>
        </w:numPr>
        <w:autoSpaceDE w:val="0"/>
        <w:autoSpaceDN w:val="0"/>
        <w:adjustRightInd w:val="0"/>
        <w:jc w:val="both"/>
        <w:rPr>
          <w:lang w:eastAsia="en-US"/>
        </w:rPr>
      </w:pPr>
      <w:r w:rsidRPr="00B778A6">
        <w:rPr>
          <w:lang w:eastAsia="en-US"/>
        </w:rPr>
        <w:t>Rizikos išlaikymas – riziką nusprendžiama valdyti patiems, sudarant atitinkamą organizacinę struktūrą, paskirstant atsakomybes už visas galimas rizikas projekto organizacijos viduje ir pan.</w:t>
      </w:r>
    </w:p>
    <w:p w:rsidR="0054472A" w:rsidRPr="00B778A6" w:rsidRDefault="0054472A" w:rsidP="0054472A">
      <w:pPr>
        <w:ind w:firstLine="851"/>
        <w:rPr>
          <w:lang w:eastAsia="en-US"/>
        </w:rPr>
      </w:pPr>
    </w:p>
    <w:p w:rsidR="0054472A" w:rsidRPr="00B778A6" w:rsidRDefault="0054472A" w:rsidP="0054472A">
      <w:pPr>
        <w:ind w:firstLine="851"/>
        <w:jc w:val="both"/>
        <w:rPr>
          <w:lang w:eastAsia="en-US"/>
        </w:rPr>
      </w:pPr>
      <w:r w:rsidRPr="00B778A6">
        <w:rPr>
          <w:lang w:eastAsia="en-US"/>
        </w:rPr>
        <w:t>Žemiau išnagrinėsime pagrindines rizikas, kurios gali įtakoti projektą ir galimus jų valdymo būdus.</w:t>
      </w:r>
    </w:p>
    <w:p w:rsidR="0054472A" w:rsidRPr="00B778A6" w:rsidRDefault="0054472A" w:rsidP="0054472A">
      <w:pPr>
        <w:tabs>
          <w:tab w:val="left" w:pos="720"/>
        </w:tabs>
        <w:ind w:firstLine="720"/>
        <w:jc w:val="both"/>
        <w:rPr>
          <w:lang w:eastAsia="en-US"/>
        </w:rPr>
      </w:pPr>
    </w:p>
    <w:p w:rsidR="0054472A" w:rsidRPr="00B778A6" w:rsidRDefault="0054472A" w:rsidP="0054472A">
      <w:pPr>
        <w:tabs>
          <w:tab w:val="left" w:pos="720"/>
        </w:tabs>
        <w:ind w:firstLine="720"/>
        <w:jc w:val="both"/>
      </w:pPr>
    </w:p>
    <w:p w:rsidR="0054472A" w:rsidRPr="00B778A6" w:rsidRDefault="0054472A" w:rsidP="0054472A">
      <w:pPr>
        <w:spacing w:line="360" w:lineRule="auto"/>
        <w:jc w:val="center"/>
        <w:rPr>
          <w:b/>
          <w:lang w:eastAsia="en-US"/>
        </w:rPr>
        <w:sectPr w:rsidR="0054472A" w:rsidRPr="00B778A6" w:rsidSect="00622496">
          <w:pgSz w:w="11906" w:h="16838"/>
          <w:pgMar w:top="1701" w:right="567" w:bottom="1134" w:left="1701" w:header="567" w:footer="567" w:gutter="0"/>
          <w:cols w:space="1296"/>
          <w:docGrid w:linePitch="360"/>
        </w:sectPr>
      </w:pPr>
    </w:p>
    <w:p w:rsidR="0054472A" w:rsidRPr="00B778A6" w:rsidRDefault="00772321" w:rsidP="0054472A">
      <w:pPr>
        <w:jc w:val="center"/>
        <w:rPr>
          <w:b/>
          <w:lang w:eastAsia="en-US"/>
        </w:rPr>
      </w:pPr>
      <w:r w:rsidRPr="00B778A6">
        <w:rPr>
          <w:b/>
          <w:lang w:eastAsia="en-US"/>
        </w:rPr>
        <w:lastRenderedPageBreak/>
        <w:t xml:space="preserve">6.6.1. </w:t>
      </w:r>
      <w:r w:rsidR="0067083E">
        <w:rPr>
          <w:b/>
          <w:lang w:eastAsia="en-US"/>
        </w:rPr>
        <w:t>l</w:t>
      </w:r>
      <w:r w:rsidR="0067083E" w:rsidRPr="00B778A6">
        <w:rPr>
          <w:b/>
          <w:lang w:eastAsia="en-US"/>
        </w:rPr>
        <w:t>entelė</w:t>
      </w:r>
      <w:r w:rsidR="0054472A" w:rsidRPr="00B778A6">
        <w:rPr>
          <w:b/>
          <w:lang w:eastAsia="en-US"/>
        </w:rPr>
        <w:t>. Rizikos ir jų mažinimo būdai</w:t>
      </w:r>
    </w:p>
    <w:tbl>
      <w:tblPr>
        <w:tblW w:w="52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4"/>
        <w:gridCol w:w="1566"/>
        <w:gridCol w:w="3245"/>
        <w:gridCol w:w="4146"/>
        <w:gridCol w:w="5489"/>
      </w:tblGrid>
      <w:tr w:rsidR="0054472A" w:rsidRPr="00B778A6" w:rsidTr="00CD02E2">
        <w:trPr>
          <w:tblHeader/>
        </w:trPr>
        <w:tc>
          <w:tcPr>
            <w:tcW w:w="181" w:type="pct"/>
            <w:shd w:val="clear" w:color="auto" w:fill="D9D9D9"/>
            <w:vAlign w:val="center"/>
          </w:tcPr>
          <w:p w:rsidR="0054472A" w:rsidRPr="00B778A6" w:rsidRDefault="0054472A" w:rsidP="00CD02E2">
            <w:pPr>
              <w:jc w:val="center"/>
              <w:rPr>
                <w:b/>
                <w:bCs/>
                <w:color w:val="000000"/>
                <w:sz w:val="22"/>
                <w:szCs w:val="22"/>
              </w:rPr>
            </w:pPr>
            <w:r w:rsidRPr="00B778A6">
              <w:rPr>
                <w:b/>
                <w:bCs/>
                <w:color w:val="000000"/>
                <w:sz w:val="22"/>
                <w:szCs w:val="22"/>
              </w:rPr>
              <w:t>Eil. Nr.</w:t>
            </w:r>
          </w:p>
        </w:tc>
        <w:tc>
          <w:tcPr>
            <w:tcW w:w="522" w:type="pct"/>
            <w:shd w:val="clear" w:color="auto" w:fill="D9D9D9"/>
            <w:vAlign w:val="center"/>
          </w:tcPr>
          <w:p w:rsidR="0054472A" w:rsidRPr="00B778A6" w:rsidRDefault="0054472A" w:rsidP="00CD02E2">
            <w:pPr>
              <w:spacing w:line="360" w:lineRule="auto"/>
              <w:jc w:val="center"/>
              <w:rPr>
                <w:b/>
                <w:bCs/>
                <w:color w:val="000000"/>
                <w:sz w:val="22"/>
                <w:szCs w:val="22"/>
              </w:rPr>
            </w:pPr>
            <w:r w:rsidRPr="00B778A6">
              <w:rPr>
                <w:b/>
                <w:bCs/>
                <w:color w:val="000000"/>
                <w:sz w:val="22"/>
                <w:szCs w:val="22"/>
              </w:rPr>
              <w:t>Rizikų grupė</w:t>
            </w:r>
          </w:p>
        </w:tc>
        <w:tc>
          <w:tcPr>
            <w:tcW w:w="1082" w:type="pct"/>
            <w:shd w:val="clear" w:color="auto" w:fill="D9D9D9"/>
            <w:vAlign w:val="center"/>
          </w:tcPr>
          <w:p w:rsidR="0054472A" w:rsidRPr="00B778A6" w:rsidRDefault="0054472A" w:rsidP="00CD02E2">
            <w:pPr>
              <w:spacing w:line="360" w:lineRule="auto"/>
              <w:jc w:val="center"/>
              <w:rPr>
                <w:b/>
                <w:bCs/>
                <w:color w:val="000000"/>
                <w:sz w:val="22"/>
                <w:szCs w:val="22"/>
              </w:rPr>
            </w:pPr>
            <w:r w:rsidRPr="00B778A6">
              <w:rPr>
                <w:b/>
                <w:bCs/>
                <w:color w:val="000000"/>
                <w:sz w:val="22"/>
                <w:szCs w:val="22"/>
              </w:rPr>
              <w:t>Rizikų veiksniai</w:t>
            </w:r>
          </w:p>
        </w:tc>
        <w:tc>
          <w:tcPr>
            <w:tcW w:w="1383" w:type="pct"/>
            <w:shd w:val="clear" w:color="auto" w:fill="D9D9D9"/>
            <w:vAlign w:val="center"/>
          </w:tcPr>
          <w:p w:rsidR="0054472A" w:rsidRPr="00B778A6" w:rsidRDefault="0054472A" w:rsidP="00CD02E2">
            <w:pPr>
              <w:spacing w:line="360" w:lineRule="auto"/>
              <w:jc w:val="center"/>
              <w:rPr>
                <w:b/>
                <w:bCs/>
                <w:color w:val="000000"/>
                <w:sz w:val="22"/>
                <w:szCs w:val="22"/>
              </w:rPr>
            </w:pPr>
            <w:r w:rsidRPr="00B778A6">
              <w:rPr>
                <w:b/>
                <w:bCs/>
                <w:color w:val="000000"/>
                <w:sz w:val="22"/>
                <w:szCs w:val="22"/>
              </w:rPr>
              <w:t>Paaiškinimas</w:t>
            </w:r>
          </w:p>
        </w:tc>
        <w:tc>
          <w:tcPr>
            <w:tcW w:w="1831" w:type="pct"/>
            <w:shd w:val="clear" w:color="auto" w:fill="D9D9D9"/>
            <w:vAlign w:val="center"/>
          </w:tcPr>
          <w:p w:rsidR="0054472A" w:rsidRPr="00B778A6" w:rsidRDefault="0054472A" w:rsidP="00CD02E2">
            <w:pPr>
              <w:spacing w:line="360" w:lineRule="auto"/>
              <w:jc w:val="center"/>
              <w:rPr>
                <w:b/>
                <w:bCs/>
                <w:color w:val="000000"/>
                <w:sz w:val="22"/>
                <w:szCs w:val="22"/>
              </w:rPr>
            </w:pPr>
            <w:r w:rsidRPr="00B778A6">
              <w:rPr>
                <w:b/>
                <w:bCs/>
                <w:color w:val="000000"/>
                <w:sz w:val="22"/>
                <w:szCs w:val="22"/>
              </w:rPr>
              <w:t>Valdymo priemonės</w:t>
            </w:r>
          </w:p>
        </w:tc>
      </w:tr>
      <w:tr w:rsidR="0054472A" w:rsidRPr="00B778A6" w:rsidTr="00CD02E2">
        <w:tc>
          <w:tcPr>
            <w:tcW w:w="181" w:type="pct"/>
          </w:tcPr>
          <w:p w:rsidR="0054472A" w:rsidRPr="00B778A6" w:rsidRDefault="0054472A" w:rsidP="00CD02E2">
            <w:pPr>
              <w:spacing w:line="360" w:lineRule="auto"/>
              <w:jc w:val="both"/>
              <w:rPr>
                <w:sz w:val="22"/>
                <w:szCs w:val="22"/>
                <w:lang w:eastAsia="en-US"/>
              </w:rPr>
            </w:pPr>
            <w:r w:rsidRPr="00B778A6">
              <w:rPr>
                <w:sz w:val="22"/>
                <w:szCs w:val="22"/>
                <w:lang w:eastAsia="en-US"/>
              </w:rPr>
              <w:t>1.</w:t>
            </w:r>
          </w:p>
        </w:tc>
        <w:tc>
          <w:tcPr>
            <w:tcW w:w="522" w:type="pct"/>
          </w:tcPr>
          <w:p w:rsidR="0054472A" w:rsidRPr="00B778A6" w:rsidRDefault="0054472A" w:rsidP="00CD02E2">
            <w:pPr>
              <w:pStyle w:val="Default"/>
              <w:jc w:val="both"/>
              <w:rPr>
                <w:sz w:val="22"/>
                <w:szCs w:val="22"/>
              </w:rPr>
            </w:pPr>
            <w:r w:rsidRPr="00B778A6">
              <w:rPr>
                <w:sz w:val="22"/>
                <w:szCs w:val="22"/>
              </w:rPr>
              <w:t>Įsigyjamų (atliekamų) rangos darbų kokybės rizika</w:t>
            </w:r>
          </w:p>
        </w:tc>
        <w:tc>
          <w:tcPr>
            <w:tcW w:w="1082" w:type="pct"/>
          </w:tcPr>
          <w:p w:rsidR="0054472A" w:rsidRPr="00B778A6" w:rsidRDefault="0054472A" w:rsidP="00CD02E2">
            <w:pPr>
              <w:pStyle w:val="Default"/>
              <w:jc w:val="both"/>
              <w:rPr>
                <w:sz w:val="22"/>
                <w:szCs w:val="22"/>
              </w:rPr>
            </w:pPr>
            <w:r w:rsidRPr="00B778A6">
              <w:rPr>
                <w:sz w:val="22"/>
                <w:szCs w:val="22"/>
              </w:rPr>
              <w:t>Rangos darbų kokybė neužtikrinama:</w:t>
            </w:r>
          </w:p>
          <w:p w:rsidR="0054472A" w:rsidRPr="00B778A6" w:rsidRDefault="0054472A" w:rsidP="00CD02E2">
            <w:pPr>
              <w:pStyle w:val="Default"/>
              <w:numPr>
                <w:ilvl w:val="0"/>
                <w:numId w:val="16"/>
              </w:numPr>
              <w:ind w:left="280" w:hanging="219"/>
              <w:jc w:val="both"/>
              <w:rPr>
                <w:sz w:val="22"/>
                <w:szCs w:val="22"/>
              </w:rPr>
            </w:pPr>
            <w:r w:rsidRPr="00B778A6">
              <w:rPr>
                <w:sz w:val="22"/>
                <w:szCs w:val="22"/>
              </w:rPr>
              <w:t xml:space="preserve">dėl technologinių procesų organizavimo; </w:t>
            </w:r>
          </w:p>
          <w:p w:rsidR="0054472A" w:rsidRPr="00B778A6" w:rsidRDefault="0054472A" w:rsidP="00CD02E2">
            <w:pPr>
              <w:pStyle w:val="Default"/>
              <w:numPr>
                <w:ilvl w:val="0"/>
                <w:numId w:val="16"/>
              </w:numPr>
              <w:ind w:left="280" w:hanging="219"/>
              <w:jc w:val="both"/>
              <w:rPr>
                <w:sz w:val="22"/>
                <w:szCs w:val="22"/>
              </w:rPr>
            </w:pPr>
            <w:r w:rsidRPr="00B778A6">
              <w:rPr>
                <w:sz w:val="22"/>
                <w:szCs w:val="22"/>
              </w:rPr>
              <w:t xml:space="preserve">dėl žmogiškųjų išteklių; </w:t>
            </w:r>
          </w:p>
          <w:p w:rsidR="0054472A" w:rsidRPr="00B778A6" w:rsidRDefault="0054472A" w:rsidP="00CD02E2">
            <w:pPr>
              <w:pStyle w:val="Default"/>
              <w:numPr>
                <w:ilvl w:val="0"/>
                <w:numId w:val="16"/>
              </w:numPr>
              <w:ind w:left="280" w:hanging="219"/>
              <w:jc w:val="both"/>
              <w:rPr>
                <w:sz w:val="22"/>
                <w:szCs w:val="22"/>
              </w:rPr>
            </w:pPr>
            <w:r w:rsidRPr="00B778A6">
              <w:rPr>
                <w:sz w:val="22"/>
                <w:szCs w:val="22"/>
              </w:rPr>
              <w:t>dėl technologinių išteklių tinkamumo ir pakankamumo;</w:t>
            </w:r>
          </w:p>
          <w:p w:rsidR="0054472A" w:rsidRPr="00B778A6" w:rsidRDefault="0054472A" w:rsidP="00CD02E2">
            <w:pPr>
              <w:pStyle w:val="Default"/>
              <w:numPr>
                <w:ilvl w:val="0"/>
                <w:numId w:val="16"/>
              </w:numPr>
              <w:ind w:left="280" w:hanging="219"/>
              <w:jc w:val="both"/>
              <w:rPr>
                <w:sz w:val="22"/>
                <w:szCs w:val="22"/>
              </w:rPr>
            </w:pPr>
            <w:r w:rsidRPr="00B778A6">
              <w:rPr>
                <w:sz w:val="22"/>
                <w:szCs w:val="22"/>
              </w:rPr>
              <w:t>dėl žaliavų, medžiagų ir mechanizmų prieinamumo ir kokybės.</w:t>
            </w:r>
          </w:p>
        </w:tc>
        <w:tc>
          <w:tcPr>
            <w:tcW w:w="1383" w:type="pct"/>
          </w:tcPr>
          <w:p w:rsidR="0054472A" w:rsidRPr="00B778A6" w:rsidRDefault="0054472A" w:rsidP="00CD02E2">
            <w:pPr>
              <w:jc w:val="both"/>
              <w:rPr>
                <w:sz w:val="22"/>
                <w:szCs w:val="22"/>
                <w:lang w:eastAsia="en-US"/>
              </w:rPr>
            </w:pPr>
            <w:r w:rsidRPr="00B778A6">
              <w:rPr>
                <w:sz w:val="22"/>
                <w:szCs w:val="22"/>
              </w:rPr>
              <w:t>Atliekamų rangos darbų kokybė priklauso nuo daugelio veiksnių: tiek nuo technologinių procesų organizavimo, personalo kvalifikacijos, įmonės technologinio pajėgumo, medžiagų kokybės ir pan. Nuo rangos darbų kokybės priklauso objektų tinkamumas naudoti, jų eksploatacinė priežiūra, ilgaamžiškumas.</w:t>
            </w:r>
          </w:p>
        </w:tc>
        <w:tc>
          <w:tcPr>
            <w:tcW w:w="1831" w:type="pct"/>
          </w:tcPr>
          <w:p w:rsidR="0054472A" w:rsidRPr="00B778A6" w:rsidRDefault="0054472A" w:rsidP="00CD02E2">
            <w:pPr>
              <w:numPr>
                <w:ilvl w:val="0"/>
                <w:numId w:val="15"/>
              </w:numPr>
              <w:ind w:left="314" w:hanging="283"/>
              <w:jc w:val="both"/>
              <w:rPr>
                <w:color w:val="000000"/>
                <w:sz w:val="22"/>
                <w:szCs w:val="22"/>
              </w:rPr>
            </w:pPr>
            <w:r w:rsidRPr="00B778A6">
              <w:rPr>
                <w:color w:val="000000"/>
                <w:sz w:val="22"/>
                <w:szCs w:val="22"/>
              </w:rPr>
              <w:t xml:space="preserve">Atsakingas rangos darbų sutarties ruošimas, numatant protingus terminus; </w:t>
            </w:r>
          </w:p>
          <w:p w:rsidR="0054472A" w:rsidRPr="00B778A6" w:rsidRDefault="0054472A" w:rsidP="00CD02E2">
            <w:pPr>
              <w:numPr>
                <w:ilvl w:val="0"/>
                <w:numId w:val="15"/>
              </w:numPr>
              <w:ind w:left="314" w:hanging="283"/>
              <w:jc w:val="both"/>
              <w:rPr>
                <w:color w:val="000000"/>
                <w:sz w:val="22"/>
                <w:szCs w:val="22"/>
              </w:rPr>
            </w:pPr>
            <w:r w:rsidRPr="00B778A6">
              <w:rPr>
                <w:color w:val="000000"/>
                <w:sz w:val="22"/>
                <w:szCs w:val="22"/>
              </w:rPr>
              <w:t>Didelis dėmesys rangovų kvalifikacijai, technologiniams ir kitiems pajėgumams viešųjų patikimų metu;</w:t>
            </w:r>
          </w:p>
          <w:p w:rsidR="0054472A" w:rsidRPr="00B778A6" w:rsidRDefault="0054472A" w:rsidP="00CD02E2">
            <w:pPr>
              <w:numPr>
                <w:ilvl w:val="0"/>
                <w:numId w:val="15"/>
              </w:numPr>
              <w:ind w:left="314" w:hanging="283"/>
              <w:jc w:val="both"/>
              <w:rPr>
                <w:color w:val="000000"/>
                <w:sz w:val="22"/>
                <w:szCs w:val="22"/>
              </w:rPr>
            </w:pPr>
            <w:r w:rsidRPr="00B778A6">
              <w:rPr>
                <w:color w:val="000000"/>
                <w:sz w:val="22"/>
                <w:szCs w:val="22"/>
              </w:rPr>
              <w:t>Garantiniai reikalavimai rangos sutartyje;</w:t>
            </w:r>
          </w:p>
          <w:p w:rsidR="0054472A" w:rsidRPr="00B778A6" w:rsidRDefault="0054472A" w:rsidP="00CD02E2">
            <w:pPr>
              <w:numPr>
                <w:ilvl w:val="0"/>
                <w:numId w:val="15"/>
              </w:numPr>
              <w:ind w:left="314" w:hanging="283"/>
              <w:jc w:val="both"/>
              <w:rPr>
                <w:color w:val="000000"/>
                <w:sz w:val="22"/>
                <w:szCs w:val="22"/>
              </w:rPr>
            </w:pPr>
            <w:r w:rsidRPr="00B778A6">
              <w:rPr>
                <w:color w:val="000000"/>
                <w:sz w:val="22"/>
                <w:szCs w:val="22"/>
              </w:rPr>
              <w:t>Rangos sutartyje numatyta atsakomybė už rangos darbų žalą gretimose teritorijose esančiam turtui.</w:t>
            </w:r>
          </w:p>
        </w:tc>
      </w:tr>
      <w:tr w:rsidR="0054472A" w:rsidRPr="00B778A6" w:rsidTr="00CD02E2">
        <w:tc>
          <w:tcPr>
            <w:tcW w:w="181" w:type="pct"/>
          </w:tcPr>
          <w:p w:rsidR="0054472A" w:rsidRPr="00B778A6" w:rsidRDefault="0054472A" w:rsidP="00CD02E2">
            <w:pPr>
              <w:spacing w:line="360" w:lineRule="auto"/>
              <w:jc w:val="both"/>
              <w:rPr>
                <w:sz w:val="22"/>
                <w:szCs w:val="22"/>
                <w:lang w:eastAsia="en-US"/>
              </w:rPr>
            </w:pPr>
            <w:r w:rsidRPr="00B778A6">
              <w:rPr>
                <w:sz w:val="22"/>
                <w:szCs w:val="22"/>
                <w:lang w:eastAsia="en-US"/>
              </w:rPr>
              <w:t>2.</w:t>
            </w:r>
          </w:p>
        </w:tc>
        <w:tc>
          <w:tcPr>
            <w:tcW w:w="522" w:type="pct"/>
          </w:tcPr>
          <w:p w:rsidR="0054472A" w:rsidRPr="00B778A6" w:rsidRDefault="0054472A" w:rsidP="00CD02E2">
            <w:pPr>
              <w:pStyle w:val="Default"/>
              <w:jc w:val="both"/>
              <w:rPr>
                <w:sz w:val="22"/>
                <w:szCs w:val="22"/>
              </w:rPr>
            </w:pPr>
            <w:r w:rsidRPr="00B778A6">
              <w:rPr>
                <w:sz w:val="22"/>
                <w:szCs w:val="22"/>
              </w:rPr>
              <w:t>Projektavimo (planavimo) kokybės rizika</w:t>
            </w:r>
          </w:p>
        </w:tc>
        <w:tc>
          <w:tcPr>
            <w:tcW w:w="1082" w:type="pct"/>
          </w:tcPr>
          <w:p w:rsidR="0054472A" w:rsidRPr="00B778A6" w:rsidRDefault="0054472A" w:rsidP="00CD02E2">
            <w:pPr>
              <w:pStyle w:val="Default"/>
              <w:jc w:val="both"/>
              <w:rPr>
                <w:sz w:val="22"/>
                <w:szCs w:val="22"/>
              </w:rPr>
            </w:pPr>
            <w:r w:rsidRPr="00B778A6">
              <w:rPr>
                <w:sz w:val="22"/>
                <w:szCs w:val="22"/>
              </w:rPr>
              <w:t>Rizikai priskiriamos projektavimo, techninės priežiūros ir kitos su investicijomis į ilgalaikį turtą susijusios paslaugos, taip pat vėlavimų rizika.</w:t>
            </w:r>
          </w:p>
        </w:tc>
        <w:tc>
          <w:tcPr>
            <w:tcW w:w="1383" w:type="pct"/>
          </w:tcPr>
          <w:p w:rsidR="0054472A" w:rsidRPr="00B778A6" w:rsidRDefault="0054472A" w:rsidP="00CD02E2">
            <w:pPr>
              <w:jc w:val="both"/>
              <w:rPr>
                <w:sz w:val="22"/>
                <w:szCs w:val="22"/>
                <w:lang w:eastAsia="en-US"/>
              </w:rPr>
            </w:pPr>
            <w:r w:rsidRPr="00B778A6">
              <w:rPr>
                <w:sz w:val="22"/>
                <w:szCs w:val="22"/>
                <w:lang w:eastAsia="en-US"/>
              </w:rPr>
              <w:t>Tiekiamų paslaugų kokybė priklauso nuo tiekėjų kvalifikacijos ir pajėgumų, procesų organizavimo. Siekiant laiku įgyvendinti projektą, turi būti išvengta veiklų įgyvendinimo vėlavimų.</w:t>
            </w:r>
          </w:p>
        </w:tc>
        <w:tc>
          <w:tcPr>
            <w:tcW w:w="1831" w:type="pct"/>
          </w:tcPr>
          <w:p w:rsidR="0054472A" w:rsidRPr="00B778A6" w:rsidRDefault="0054472A" w:rsidP="00CD02E2">
            <w:pPr>
              <w:numPr>
                <w:ilvl w:val="0"/>
                <w:numId w:val="15"/>
              </w:numPr>
              <w:ind w:left="314" w:hanging="283"/>
              <w:jc w:val="both"/>
              <w:rPr>
                <w:color w:val="000000"/>
                <w:sz w:val="22"/>
                <w:szCs w:val="22"/>
              </w:rPr>
            </w:pPr>
            <w:r w:rsidRPr="00B778A6">
              <w:rPr>
                <w:color w:val="000000"/>
                <w:sz w:val="22"/>
                <w:szCs w:val="22"/>
              </w:rPr>
              <w:t>Didelis dėmesys tiekėjų kvalifikacijai;</w:t>
            </w:r>
          </w:p>
          <w:p w:rsidR="0054472A" w:rsidRPr="00B778A6" w:rsidRDefault="0054472A" w:rsidP="00CD02E2">
            <w:pPr>
              <w:numPr>
                <w:ilvl w:val="0"/>
                <w:numId w:val="15"/>
              </w:numPr>
              <w:ind w:left="314" w:hanging="283"/>
              <w:jc w:val="both"/>
              <w:rPr>
                <w:color w:val="000000"/>
                <w:sz w:val="22"/>
                <w:szCs w:val="22"/>
              </w:rPr>
            </w:pPr>
            <w:r w:rsidRPr="00B778A6">
              <w:rPr>
                <w:color w:val="000000"/>
                <w:sz w:val="22"/>
                <w:szCs w:val="22"/>
              </w:rPr>
              <w:t>Atsakingas sutarčių su tiekėjais ruošimas, numatant protingus terminus;</w:t>
            </w:r>
          </w:p>
          <w:p w:rsidR="0054472A" w:rsidRPr="00B778A6" w:rsidRDefault="0054472A" w:rsidP="00CD02E2">
            <w:pPr>
              <w:numPr>
                <w:ilvl w:val="0"/>
                <w:numId w:val="15"/>
              </w:numPr>
              <w:ind w:left="314" w:hanging="283"/>
              <w:jc w:val="both"/>
              <w:rPr>
                <w:color w:val="000000"/>
                <w:sz w:val="22"/>
                <w:szCs w:val="22"/>
              </w:rPr>
            </w:pPr>
            <w:r w:rsidRPr="00B778A6">
              <w:rPr>
                <w:color w:val="000000"/>
                <w:sz w:val="22"/>
                <w:szCs w:val="22"/>
              </w:rPr>
              <w:t>Atsakingas projekto veiklų grafiko nustatymas atsižvelgiant į panašių projektų patirtį.</w:t>
            </w:r>
          </w:p>
        </w:tc>
      </w:tr>
      <w:tr w:rsidR="0054472A" w:rsidRPr="00B778A6" w:rsidTr="00CD02E2">
        <w:tc>
          <w:tcPr>
            <w:tcW w:w="181" w:type="pct"/>
          </w:tcPr>
          <w:p w:rsidR="0054472A" w:rsidRPr="00B778A6" w:rsidRDefault="00F40C06" w:rsidP="00CD02E2">
            <w:pPr>
              <w:spacing w:line="360" w:lineRule="auto"/>
              <w:jc w:val="both"/>
              <w:rPr>
                <w:sz w:val="22"/>
                <w:szCs w:val="22"/>
                <w:lang w:eastAsia="en-US"/>
              </w:rPr>
            </w:pPr>
            <w:r w:rsidRPr="00B778A6">
              <w:rPr>
                <w:sz w:val="22"/>
                <w:szCs w:val="22"/>
                <w:lang w:eastAsia="en-US"/>
              </w:rPr>
              <w:t>3</w:t>
            </w:r>
            <w:r w:rsidR="0054472A" w:rsidRPr="00B778A6">
              <w:rPr>
                <w:sz w:val="22"/>
                <w:szCs w:val="22"/>
                <w:lang w:eastAsia="en-US"/>
              </w:rPr>
              <w:t>.</w:t>
            </w:r>
          </w:p>
        </w:tc>
        <w:tc>
          <w:tcPr>
            <w:tcW w:w="522" w:type="pct"/>
          </w:tcPr>
          <w:p w:rsidR="0054472A" w:rsidRPr="00B778A6" w:rsidRDefault="0054472A" w:rsidP="00CD02E2">
            <w:pPr>
              <w:pStyle w:val="Default"/>
              <w:jc w:val="both"/>
              <w:rPr>
                <w:sz w:val="22"/>
                <w:szCs w:val="22"/>
              </w:rPr>
            </w:pPr>
            <w:r w:rsidRPr="00B778A6">
              <w:rPr>
                <w:sz w:val="22"/>
                <w:szCs w:val="22"/>
              </w:rPr>
              <w:t xml:space="preserve">Nepakankamo finansavimo rizika </w:t>
            </w:r>
          </w:p>
          <w:p w:rsidR="0054472A" w:rsidRPr="00B778A6" w:rsidRDefault="0054472A" w:rsidP="00CD02E2">
            <w:pPr>
              <w:pStyle w:val="Default"/>
              <w:jc w:val="both"/>
              <w:rPr>
                <w:sz w:val="22"/>
                <w:szCs w:val="22"/>
              </w:rPr>
            </w:pPr>
          </w:p>
        </w:tc>
        <w:tc>
          <w:tcPr>
            <w:tcW w:w="1082" w:type="pct"/>
          </w:tcPr>
          <w:p w:rsidR="0054472A" w:rsidRPr="00B778A6" w:rsidRDefault="0054472A" w:rsidP="00CD02E2">
            <w:pPr>
              <w:pStyle w:val="Default"/>
              <w:jc w:val="both"/>
              <w:rPr>
                <w:sz w:val="22"/>
                <w:szCs w:val="22"/>
              </w:rPr>
            </w:pPr>
            <w:r w:rsidRPr="00B778A6">
              <w:rPr>
                <w:sz w:val="22"/>
                <w:szCs w:val="22"/>
              </w:rPr>
              <w:t>Finansavimo poreikis pasikeičia dėl:</w:t>
            </w:r>
          </w:p>
          <w:p w:rsidR="0054472A" w:rsidRPr="00B778A6" w:rsidRDefault="0054472A" w:rsidP="00CD02E2">
            <w:pPr>
              <w:pStyle w:val="Default"/>
              <w:numPr>
                <w:ilvl w:val="0"/>
                <w:numId w:val="16"/>
              </w:numPr>
              <w:ind w:left="280" w:hanging="219"/>
              <w:jc w:val="both"/>
              <w:rPr>
                <w:sz w:val="22"/>
                <w:szCs w:val="22"/>
              </w:rPr>
            </w:pPr>
            <w:r w:rsidRPr="00B778A6">
              <w:rPr>
                <w:sz w:val="22"/>
                <w:szCs w:val="22"/>
              </w:rPr>
              <w:t>padidėjusių investicijų išlaidų;</w:t>
            </w:r>
          </w:p>
          <w:p w:rsidR="0054472A" w:rsidRPr="00B778A6" w:rsidRDefault="0054472A" w:rsidP="00CD02E2">
            <w:pPr>
              <w:pStyle w:val="Default"/>
              <w:numPr>
                <w:ilvl w:val="0"/>
                <w:numId w:val="16"/>
              </w:numPr>
              <w:ind w:left="280" w:hanging="219"/>
              <w:jc w:val="both"/>
              <w:rPr>
                <w:sz w:val="22"/>
                <w:szCs w:val="22"/>
              </w:rPr>
            </w:pPr>
            <w:r w:rsidRPr="00B778A6">
              <w:rPr>
                <w:sz w:val="22"/>
                <w:szCs w:val="22"/>
              </w:rPr>
              <w:t>pridėtinės vertės mokesčio tarifo pasikeitimo;</w:t>
            </w:r>
          </w:p>
          <w:p w:rsidR="0054472A" w:rsidRPr="00B778A6" w:rsidRDefault="0054472A" w:rsidP="00CD02E2">
            <w:pPr>
              <w:pStyle w:val="Default"/>
              <w:numPr>
                <w:ilvl w:val="0"/>
                <w:numId w:val="16"/>
              </w:numPr>
              <w:ind w:left="280" w:hanging="219"/>
              <w:jc w:val="both"/>
              <w:rPr>
                <w:sz w:val="22"/>
                <w:szCs w:val="22"/>
              </w:rPr>
            </w:pPr>
            <w:r w:rsidRPr="00B778A6">
              <w:rPr>
                <w:sz w:val="22"/>
                <w:szCs w:val="22"/>
              </w:rPr>
              <w:t xml:space="preserve">bet kurio mokesčio išskyrus pridėtinės vertės mokestį ar rinkliavos tarifo pasikeitimo. </w:t>
            </w:r>
          </w:p>
        </w:tc>
        <w:tc>
          <w:tcPr>
            <w:tcW w:w="1383" w:type="pct"/>
          </w:tcPr>
          <w:p w:rsidR="0054472A" w:rsidRPr="00B778A6" w:rsidRDefault="0054472A" w:rsidP="00CD02E2">
            <w:pPr>
              <w:pStyle w:val="Default"/>
              <w:jc w:val="both"/>
              <w:rPr>
                <w:sz w:val="22"/>
                <w:szCs w:val="22"/>
              </w:rPr>
            </w:pPr>
            <w:r w:rsidRPr="00B778A6">
              <w:rPr>
                <w:sz w:val="22"/>
                <w:szCs w:val="22"/>
              </w:rPr>
              <w:t>Investicijų vertė įgyvendinant projektą (vykdant viešuosius pirkimus) gali būti didesnė nei numatyta preliminariame projekto biudžete.</w:t>
            </w:r>
          </w:p>
          <w:p w:rsidR="0054472A" w:rsidRPr="00B778A6" w:rsidRDefault="0054472A" w:rsidP="00CD02E2">
            <w:pPr>
              <w:pStyle w:val="Default"/>
              <w:jc w:val="both"/>
              <w:rPr>
                <w:sz w:val="22"/>
                <w:szCs w:val="22"/>
              </w:rPr>
            </w:pPr>
            <w:r w:rsidRPr="00B778A6">
              <w:rPr>
                <w:sz w:val="22"/>
                <w:szCs w:val="22"/>
              </w:rPr>
              <w:t>Galimas kainų augimas dėl pasikeitusios valstybės mokesčių politikos.</w:t>
            </w:r>
          </w:p>
        </w:tc>
        <w:tc>
          <w:tcPr>
            <w:tcW w:w="1831" w:type="pct"/>
          </w:tcPr>
          <w:p w:rsidR="0054472A" w:rsidRPr="00B778A6" w:rsidRDefault="0054472A" w:rsidP="00CD02E2">
            <w:pPr>
              <w:numPr>
                <w:ilvl w:val="0"/>
                <w:numId w:val="15"/>
              </w:numPr>
              <w:ind w:left="314" w:hanging="283"/>
              <w:jc w:val="both"/>
              <w:rPr>
                <w:color w:val="000000"/>
                <w:sz w:val="22"/>
                <w:szCs w:val="22"/>
              </w:rPr>
            </w:pPr>
            <w:r w:rsidRPr="00B778A6">
              <w:rPr>
                <w:color w:val="000000"/>
                <w:sz w:val="22"/>
                <w:szCs w:val="22"/>
              </w:rPr>
              <w:t xml:space="preserve">Įvertintos analogiškų </w:t>
            </w:r>
            <w:r w:rsidR="00BA67FB" w:rsidRPr="00B778A6">
              <w:rPr>
                <w:color w:val="000000"/>
                <w:sz w:val="22"/>
                <w:szCs w:val="22"/>
              </w:rPr>
              <w:t>paslaugų ir darbų</w:t>
            </w:r>
            <w:r w:rsidRPr="00B778A6">
              <w:rPr>
                <w:color w:val="000000"/>
                <w:sz w:val="22"/>
                <w:szCs w:val="22"/>
              </w:rPr>
              <w:t xml:space="preserve"> kainos, įvertintas galimas pabrangimas; </w:t>
            </w:r>
          </w:p>
          <w:p w:rsidR="0054472A" w:rsidRPr="00B778A6" w:rsidRDefault="0054472A" w:rsidP="00CD02E2">
            <w:pPr>
              <w:numPr>
                <w:ilvl w:val="0"/>
                <w:numId w:val="15"/>
              </w:numPr>
              <w:ind w:left="314" w:hanging="283"/>
              <w:jc w:val="both"/>
              <w:rPr>
                <w:color w:val="000000"/>
                <w:sz w:val="22"/>
                <w:szCs w:val="22"/>
              </w:rPr>
            </w:pPr>
            <w:r w:rsidRPr="00B778A6">
              <w:rPr>
                <w:color w:val="000000"/>
                <w:sz w:val="22"/>
                <w:szCs w:val="22"/>
              </w:rPr>
              <w:t>Sutarčių sudarymas su tiekėjais, numatant fiksuotas galutines kainas.</w:t>
            </w:r>
          </w:p>
        </w:tc>
      </w:tr>
    </w:tbl>
    <w:p w:rsidR="00772321" w:rsidRPr="00B778A6" w:rsidRDefault="00772321">
      <w:r w:rsidRPr="00B778A6">
        <w:br w:type="page"/>
      </w:r>
    </w:p>
    <w:tbl>
      <w:tblPr>
        <w:tblW w:w="52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4"/>
        <w:gridCol w:w="1566"/>
        <w:gridCol w:w="3245"/>
        <w:gridCol w:w="4146"/>
        <w:gridCol w:w="5489"/>
      </w:tblGrid>
      <w:tr w:rsidR="0054472A" w:rsidRPr="00B778A6" w:rsidTr="00CD02E2">
        <w:tc>
          <w:tcPr>
            <w:tcW w:w="181" w:type="pct"/>
          </w:tcPr>
          <w:p w:rsidR="0054472A" w:rsidRPr="00B778A6" w:rsidRDefault="00F40C06" w:rsidP="00CD02E2">
            <w:pPr>
              <w:spacing w:line="360" w:lineRule="auto"/>
              <w:jc w:val="both"/>
              <w:rPr>
                <w:sz w:val="22"/>
                <w:szCs w:val="22"/>
                <w:lang w:eastAsia="en-US"/>
              </w:rPr>
            </w:pPr>
            <w:r w:rsidRPr="00B778A6">
              <w:rPr>
                <w:sz w:val="22"/>
                <w:szCs w:val="22"/>
                <w:lang w:eastAsia="en-US"/>
              </w:rPr>
              <w:t>4</w:t>
            </w:r>
            <w:r w:rsidR="0054472A" w:rsidRPr="00B778A6">
              <w:rPr>
                <w:sz w:val="22"/>
                <w:szCs w:val="22"/>
                <w:lang w:eastAsia="en-US"/>
              </w:rPr>
              <w:t>.</w:t>
            </w:r>
          </w:p>
        </w:tc>
        <w:tc>
          <w:tcPr>
            <w:tcW w:w="522" w:type="pct"/>
          </w:tcPr>
          <w:p w:rsidR="0054472A" w:rsidRPr="00B778A6" w:rsidRDefault="0054472A" w:rsidP="00CD02E2">
            <w:pPr>
              <w:pStyle w:val="Default"/>
              <w:jc w:val="both"/>
              <w:rPr>
                <w:sz w:val="22"/>
                <w:szCs w:val="22"/>
              </w:rPr>
            </w:pPr>
            <w:r w:rsidRPr="00B778A6">
              <w:rPr>
                <w:sz w:val="22"/>
                <w:szCs w:val="22"/>
              </w:rPr>
              <w:t>Rinkai pateikiamų produktų (paslaugų, prekių) tinkamumo rizika</w:t>
            </w:r>
          </w:p>
          <w:p w:rsidR="0054472A" w:rsidRPr="00B778A6" w:rsidRDefault="0054472A" w:rsidP="00CD02E2">
            <w:pPr>
              <w:pStyle w:val="Default"/>
              <w:jc w:val="both"/>
              <w:rPr>
                <w:sz w:val="22"/>
                <w:szCs w:val="22"/>
              </w:rPr>
            </w:pPr>
          </w:p>
        </w:tc>
        <w:tc>
          <w:tcPr>
            <w:tcW w:w="1082" w:type="pct"/>
          </w:tcPr>
          <w:p w:rsidR="0054472A" w:rsidRPr="00B778A6" w:rsidRDefault="0054472A" w:rsidP="00CD02E2">
            <w:pPr>
              <w:pStyle w:val="Default"/>
              <w:jc w:val="both"/>
              <w:rPr>
                <w:sz w:val="22"/>
                <w:szCs w:val="22"/>
              </w:rPr>
            </w:pPr>
            <w:r w:rsidRPr="00B778A6">
              <w:rPr>
                <w:sz w:val="22"/>
                <w:szCs w:val="22"/>
              </w:rPr>
              <w:t xml:space="preserve">Vėluojama pradėti teikti paslaugas, prekes ar produktus. </w:t>
            </w:r>
          </w:p>
          <w:p w:rsidR="0054472A" w:rsidRPr="00B778A6" w:rsidRDefault="0054472A" w:rsidP="00CD02E2">
            <w:pPr>
              <w:pStyle w:val="Default"/>
              <w:jc w:val="both"/>
              <w:rPr>
                <w:sz w:val="22"/>
                <w:szCs w:val="22"/>
              </w:rPr>
            </w:pPr>
            <w:r w:rsidRPr="00B778A6">
              <w:rPr>
                <w:sz w:val="22"/>
                <w:szCs w:val="22"/>
              </w:rPr>
              <w:t xml:space="preserve">Infrastruktūra visiškai ar iš dalies nėra tinkama teikti sutarties nuostatas atitinkančias paslaugas, prekes ar produktus. </w:t>
            </w:r>
          </w:p>
        </w:tc>
        <w:tc>
          <w:tcPr>
            <w:tcW w:w="1383" w:type="pct"/>
          </w:tcPr>
          <w:p w:rsidR="0054472A" w:rsidRPr="00B778A6" w:rsidRDefault="0054472A" w:rsidP="00CD02E2">
            <w:pPr>
              <w:pStyle w:val="Default"/>
              <w:jc w:val="both"/>
              <w:rPr>
                <w:sz w:val="22"/>
                <w:szCs w:val="22"/>
              </w:rPr>
            </w:pPr>
            <w:r w:rsidRPr="00B778A6">
              <w:rPr>
                <w:sz w:val="22"/>
                <w:szCs w:val="22"/>
              </w:rPr>
              <w:t>Kuriant visuomenės viešiesiems poreikiams skirtą infrastruktūrą kyla rizika, kad dėl užsitęsusio paslaugų, prekių tiekimo bei paruošimo naudoti, bus atsiliekama nuo planuojamų patalpų eksploatacijos pradžios terminų.</w:t>
            </w:r>
          </w:p>
          <w:p w:rsidR="0054472A" w:rsidRPr="00B778A6" w:rsidRDefault="0054472A" w:rsidP="00CD02E2">
            <w:pPr>
              <w:pStyle w:val="Default"/>
              <w:jc w:val="both"/>
              <w:rPr>
                <w:sz w:val="22"/>
                <w:szCs w:val="22"/>
              </w:rPr>
            </w:pPr>
            <w:r w:rsidRPr="00B778A6">
              <w:rPr>
                <w:sz w:val="22"/>
                <w:szCs w:val="22"/>
              </w:rPr>
              <w:t xml:space="preserve">Galima rizika, kad sukurta infrastruktūra nebus tinkama naudojimui.  </w:t>
            </w:r>
          </w:p>
          <w:p w:rsidR="0054472A" w:rsidRPr="00B778A6" w:rsidRDefault="0054472A" w:rsidP="00CD02E2">
            <w:pPr>
              <w:pStyle w:val="Default"/>
              <w:jc w:val="both"/>
              <w:rPr>
                <w:sz w:val="22"/>
                <w:szCs w:val="22"/>
              </w:rPr>
            </w:pPr>
          </w:p>
        </w:tc>
        <w:tc>
          <w:tcPr>
            <w:tcW w:w="1831" w:type="pct"/>
          </w:tcPr>
          <w:p w:rsidR="0054472A" w:rsidRPr="00B778A6" w:rsidRDefault="0054472A" w:rsidP="00CD02E2">
            <w:pPr>
              <w:numPr>
                <w:ilvl w:val="0"/>
                <w:numId w:val="15"/>
              </w:numPr>
              <w:ind w:left="314" w:hanging="283"/>
              <w:jc w:val="both"/>
              <w:rPr>
                <w:color w:val="000000"/>
                <w:sz w:val="22"/>
                <w:szCs w:val="22"/>
              </w:rPr>
            </w:pPr>
            <w:r w:rsidRPr="00B778A6">
              <w:rPr>
                <w:color w:val="000000"/>
                <w:sz w:val="22"/>
                <w:szCs w:val="22"/>
              </w:rPr>
              <w:t>Atsakingas projekto veiklų planavimas atsižvelgiant į galimus trukdžius;</w:t>
            </w:r>
          </w:p>
          <w:p w:rsidR="0054472A" w:rsidRPr="00B778A6" w:rsidRDefault="0054472A" w:rsidP="00CD02E2">
            <w:pPr>
              <w:numPr>
                <w:ilvl w:val="0"/>
                <w:numId w:val="15"/>
              </w:numPr>
              <w:ind w:left="314" w:hanging="283"/>
              <w:jc w:val="both"/>
              <w:rPr>
                <w:color w:val="000000"/>
                <w:sz w:val="22"/>
                <w:szCs w:val="22"/>
              </w:rPr>
            </w:pPr>
            <w:r w:rsidRPr="00B778A6">
              <w:rPr>
                <w:color w:val="000000"/>
                <w:sz w:val="22"/>
                <w:szCs w:val="22"/>
              </w:rPr>
              <w:t>Sutartyse numatyti paslaugų, prekių tiekimo terminai, griežtos nuobaudos vėlavimo atveju;</w:t>
            </w:r>
          </w:p>
          <w:p w:rsidR="0054472A" w:rsidRPr="00B778A6" w:rsidRDefault="0054472A" w:rsidP="00CD02E2">
            <w:pPr>
              <w:numPr>
                <w:ilvl w:val="0"/>
                <w:numId w:val="15"/>
              </w:numPr>
              <w:ind w:left="314" w:hanging="283"/>
              <w:jc w:val="both"/>
              <w:rPr>
                <w:color w:val="000000"/>
                <w:sz w:val="22"/>
                <w:szCs w:val="22"/>
              </w:rPr>
            </w:pPr>
            <w:r w:rsidRPr="00B778A6">
              <w:rPr>
                <w:color w:val="000000"/>
                <w:sz w:val="22"/>
                <w:szCs w:val="22"/>
              </w:rPr>
              <w:t>Realus ir pagrįstas veiklų planas-grafikas;</w:t>
            </w:r>
          </w:p>
          <w:p w:rsidR="0054472A" w:rsidRPr="00B778A6" w:rsidRDefault="0054472A" w:rsidP="00CD02E2">
            <w:pPr>
              <w:numPr>
                <w:ilvl w:val="0"/>
                <w:numId w:val="15"/>
              </w:numPr>
              <w:ind w:left="314" w:hanging="283"/>
              <w:jc w:val="both"/>
              <w:rPr>
                <w:color w:val="000000"/>
                <w:sz w:val="22"/>
                <w:szCs w:val="22"/>
              </w:rPr>
            </w:pPr>
            <w:r w:rsidRPr="00B778A6">
              <w:rPr>
                <w:color w:val="000000"/>
                <w:sz w:val="22"/>
                <w:szCs w:val="22"/>
              </w:rPr>
              <w:t>Atsakinga kuriamos infrastruktūros analizė jos reikalingumo, praktiškumo ir pritaikomumo atžvilgiais;</w:t>
            </w:r>
          </w:p>
          <w:p w:rsidR="0054472A" w:rsidRPr="00B778A6" w:rsidRDefault="0054472A" w:rsidP="00CD02E2">
            <w:pPr>
              <w:numPr>
                <w:ilvl w:val="0"/>
                <w:numId w:val="15"/>
              </w:numPr>
              <w:ind w:left="314" w:hanging="283"/>
              <w:jc w:val="both"/>
              <w:rPr>
                <w:color w:val="000000"/>
                <w:sz w:val="22"/>
                <w:szCs w:val="22"/>
              </w:rPr>
            </w:pPr>
            <w:r w:rsidRPr="00B778A6">
              <w:rPr>
                <w:color w:val="000000"/>
                <w:sz w:val="22"/>
                <w:szCs w:val="22"/>
              </w:rPr>
              <w:t>Nuoseklus ir profesionalus kuriamos infrastruktūros projektavimas.</w:t>
            </w:r>
          </w:p>
        </w:tc>
      </w:tr>
      <w:tr w:rsidR="0054472A" w:rsidRPr="00B778A6" w:rsidTr="00CD02E2">
        <w:tc>
          <w:tcPr>
            <w:tcW w:w="181" w:type="pct"/>
          </w:tcPr>
          <w:p w:rsidR="0054472A" w:rsidRPr="00B778A6" w:rsidRDefault="00F40C06" w:rsidP="00CD02E2">
            <w:pPr>
              <w:spacing w:line="360" w:lineRule="auto"/>
              <w:jc w:val="both"/>
              <w:rPr>
                <w:sz w:val="22"/>
                <w:szCs w:val="22"/>
                <w:lang w:eastAsia="en-US"/>
              </w:rPr>
            </w:pPr>
            <w:r w:rsidRPr="00B778A6">
              <w:rPr>
                <w:sz w:val="22"/>
                <w:szCs w:val="22"/>
                <w:lang w:eastAsia="en-US"/>
              </w:rPr>
              <w:t>5</w:t>
            </w:r>
            <w:r w:rsidR="0054472A" w:rsidRPr="00B778A6">
              <w:rPr>
                <w:sz w:val="22"/>
                <w:szCs w:val="22"/>
                <w:lang w:eastAsia="en-US"/>
              </w:rPr>
              <w:t>.</w:t>
            </w:r>
          </w:p>
        </w:tc>
        <w:tc>
          <w:tcPr>
            <w:tcW w:w="522" w:type="pct"/>
          </w:tcPr>
          <w:p w:rsidR="0054472A" w:rsidRPr="00B778A6" w:rsidRDefault="0054472A" w:rsidP="00CD02E2">
            <w:pPr>
              <w:pStyle w:val="Default"/>
              <w:jc w:val="both"/>
              <w:rPr>
                <w:sz w:val="22"/>
                <w:szCs w:val="22"/>
              </w:rPr>
            </w:pPr>
            <w:r w:rsidRPr="00B778A6">
              <w:rPr>
                <w:sz w:val="22"/>
                <w:szCs w:val="22"/>
              </w:rPr>
              <w:t xml:space="preserve">Turto likutinės vertės projekto ataskaitinio laikotarpio pabaigoje rizika </w:t>
            </w:r>
          </w:p>
          <w:p w:rsidR="0054472A" w:rsidRPr="00B778A6" w:rsidRDefault="0054472A" w:rsidP="00CD02E2">
            <w:pPr>
              <w:pStyle w:val="Default"/>
              <w:jc w:val="both"/>
              <w:rPr>
                <w:sz w:val="22"/>
                <w:szCs w:val="22"/>
              </w:rPr>
            </w:pPr>
          </w:p>
        </w:tc>
        <w:tc>
          <w:tcPr>
            <w:tcW w:w="1082" w:type="pct"/>
          </w:tcPr>
          <w:p w:rsidR="0054472A" w:rsidRPr="00B778A6" w:rsidRDefault="0054472A" w:rsidP="00CD02E2">
            <w:pPr>
              <w:pStyle w:val="Default"/>
              <w:jc w:val="both"/>
              <w:rPr>
                <w:sz w:val="22"/>
                <w:szCs w:val="22"/>
              </w:rPr>
            </w:pPr>
            <w:r w:rsidRPr="00B778A6">
              <w:rPr>
                <w:sz w:val="22"/>
                <w:szCs w:val="22"/>
              </w:rPr>
              <w:t xml:space="preserve">Nukrypstama nuo infrastruktūros būklės palaikymo plano. </w:t>
            </w:r>
          </w:p>
          <w:p w:rsidR="0054472A" w:rsidRPr="00B778A6" w:rsidRDefault="0054472A" w:rsidP="00CD02E2">
            <w:pPr>
              <w:pStyle w:val="Default"/>
              <w:jc w:val="both"/>
              <w:rPr>
                <w:sz w:val="22"/>
                <w:szCs w:val="22"/>
              </w:rPr>
            </w:pPr>
            <w:r w:rsidRPr="00B778A6">
              <w:rPr>
                <w:sz w:val="22"/>
                <w:szCs w:val="22"/>
              </w:rPr>
              <w:t xml:space="preserve">Netiksliai suplanuotos infrastruktūros būklės palaikymo išlaidos. </w:t>
            </w:r>
          </w:p>
        </w:tc>
        <w:tc>
          <w:tcPr>
            <w:tcW w:w="1383" w:type="pct"/>
          </w:tcPr>
          <w:p w:rsidR="0054472A" w:rsidRPr="00B778A6" w:rsidRDefault="0054472A" w:rsidP="00CD02E2">
            <w:pPr>
              <w:pStyle w:val="Default"/>
              <w:jc w:val="both"/>
              <w:rPr>
                <w:sz w:val="22"/>
                <w:szCs w:val="22"/>
              </w:rPr>
            </w:pPr>
            <w:r w:rsidRPr="00B778A6">
              <w:rPr>
                <w:sz w:val="22"/>
                <w:szCs w:val="22"/>
              </w:rPr>
              <w:t xml:space="preserve">Sukuriama viešoji infrastruktūra natūraliai dėvisi, todėl būtinos investicijos jos būklės palaikymui. Kyla rizika, kad bus nukrypstama nuo infrastruktūros būklės palaikymo plano arba infrastruktūros palaikymo išlaidos bus didesnės nei planuota, kas reikštų reikalingą papildomą finansavimą. </w:t>
            </w:r>
          </w:p>
        </w:tc>
        <w:tc>
          <w:tcPr>
            <w:tcW w:w="1831" w:type="pct"/>
          </w:tcPr>
          <w:p w:rsidR="0054472A" w:rsidRPr="00B778A6" w:rsidRDefault="0054472A" w:rsidP="00CD02E2">
            <w:pPr>
              <w:jc w:val="both"/>
              <w:rPr>
                <w:color w:val="000000"/>
                <w:sz w:val="22"/>
                <w:szCs w:val="22"/>
              </w:rPr>
            </w:pPr>
            <w:r w:rsidRPr="00B778A6">
              <w:rPr>
                <w:color w:val="000000"/>
                <w:sz w:val="22"/>
                <w:szCs w:val="22"/>
              </w:rPr>
              <w:t>Valdymo priemonės:</w:t>
            </w:r>
          </w:p>
          <w:p w:rsidR="0054472A" w:rsidRPr="00B778A6" w:rsidRDefault="0054472A" w:rsidP="00CD02E2">
            <w:pPr>
              <w:numPr>
                <w:ilvl w:val="0"/>
                <w:numId w:val="15"/>
              </w:numPr>
              <w:ind w:left="314" w:hanging="283"/>
              <w:jc w:val="both"/>
              <w:rPr>
                <w:color w:val="000000"/>
                <w:sz w:val="22"/>
                <w:szCs w:val="22"/>
              </w:rPr>
            </w:pPr>
            <w:r w:rsidRPr="00B778A6">
              <w:rPr>
                <w:color w:val="000000"/>
                <w:sz w:val="22"/>
                <w:szCs w:val="22"/>
              </w:rPr>
              <w:t>Skirti didelį dėmesį kuriamos infrastruktūros kokybei;</w:t>
            </w:r>
          </w:p>
          <w:p w:rsidR="0054472A" w:rsidRPr="00B778A6" w:rsidRDefault="0054472A" w:rsidP="00CD02E2">
            <w:pPr>
              <w:numPr>
                <w:ilvl w:val="0"/>
                <w:numId w:val="15"/>
              </w:numPr>
              <w:ind w:left="314" w:hanging="283"/>
              <w:jc w:val="both"/>
              <w:rPr>
                <w:color w:val="000000"/>
                <w:sz w:val="22"/>
                <w:szCs w:val="22"/>
              </w:rPr>
            </w:pPr>
            <w:r w:rsidRPr="00B778A6">
              <w:rPr>
                <w:color w:val="000000"/>
                <w:sz w:val="22"/>
                <w:szCs w:val="22"/>
              </w:rPr>
              <w:t>Atsižvelgiant į ilgametę projekto vykdytojo patirtį įgyvendinant panašius projektus, numatyti pakankamas reinvesticijas sukurtos infrastruktūros atnaujinimui (kas 25 metus);</w:t>
            </w:r>
          </w:p>
          <w:p w:rsidR="0054472A" w:rsidRPr="00B778A6" w:rsidRDefault="0054472A" w:rsidP="00CD02E2">
            <w:pPr>
              <w:numPr>
                <w:ilvl w:val="0"/>
                <w:numId w:val="15"/>
              </w:numPr>
              <w:ind w:left="314" w:hanging="283"/>
              <w:jc w:val="both"/>
              <w:rPr>
                <w:color w:val="000000"/>
                <w:sz w:val="22"/>
                <w:szCs w:val="22"/>
              </w:rPr>
            </w:pPr>
            <w:r w:rsidRPr="00B778A6">
              <w:rPr>
                <w:color w:val="000000"/>
                <w:sz w:val="22"/>
                <w:szCs w:val="22"/>
              </w:rPr>
              <w:t xml:space="preserve">Po projekto įgyvendinimo numatyti tam tikrų institucijų atsakomybę už sukurtos infrastruktūros priežiūrą. </w:t>
            </w:r>
          </w:p>
        </w:tc>
      </w:tr>
    </w:tbl>
    <w:p w:rsidR="0054472A" w:rsidRPr="00B778A6" w:rsidRDefault="0054472A" w:rsidP="0054472A">
      <w:pPr>
        <w:spacing w:line="360" w:lineRule="auto"/>
        <w:rPr>
          <w:b/>
          <w:bCs/>
          <w:kern w:val="32"/>
          <w:sz w:val="32"/>
          <w:szCs w:val="32"/>
        </w:rPr>
        <w:sectPr w:rsidR="0054472A" w:rsidRPr="00B778A6" w:rsidSect="00622496">
          <w:pgSz w:w="16838" w:h="11906" w:orient="landscape"/>
          <w:pgMar w:top="1701" w:right="1701" w:bottom="567" w:left="1134" w:header="567" w:footer="567" w:gutter="0"/>
          <w:cols w:space="1296"/>
          <w:docGrid w:linePitch="360"/>
        </w:sectPr>
      </w:pPr>
    </w:p>
    <w:p w:rsidR="005F37F7" w:rsidRPr="00B778A6" w:rsidRDefault="00454B87" w:rsidP="00B54573">
      <w:pPr>
        <w:pStyle w:val="Heading1"/>
        <w:rPr>
          <w:rFonts w:ascii="Times New Roman" w:hAnsi="Times New Roman"/>
        </w:rPr>
      </w:pPr>
      <w:bookmarkStart w:id="60" w:name="_Toc34924515"/>
      <w:r w:rsidRPr="00B778A6">
        <w:rPr>
          <w:rFonts w:ascii="Times New Roman" w:hAnsi="Times New Roman"/>
          <w:lang w:val="lt-LT"/>
        </w:rPr>
        <w:lastRenderedPageBreak/>
        <w:t>7</w:t>
      </w:r>
      <w:r w:rsidR="005F37F7" w:rsidRPr="00B778A6">
        <w:rPr>
          <w:rFonts w:ascii="Times New Roman" w:hAnsi="Times New Roman"/>
          <w:lang w:val="lt-LT"/>
        </w:rPr>
        <w:t xml:space="preserve">. </w:t>
      </w:r>
      <w:r w:rsidR="00551AEF" w:rsidRPr="00B778A6">
        <w:rPr>
          <w:rFonts w:ascii="Times New Roman" w:hAnsi="Times New Roman"/>
          <w:lang w:val="lt-LT"/>
        </w:rPr>
        <w:t xml:space="preserve">PROJEKTO </w:t>
      </w:r>
      <w:r w:rsidR="005F37F7" w:rsidRPr="00B778A6">
        <w:rPr>
          <w:rFonts w:ascii="Times New Roman" w:hAnsi="Times New Roman"/>
          <w:lang w:val="lt-LT"/>
        </w:rPr>
        <w:t>VYKDYMO PLANAS</w:t>
      </w:r>
      <w:bookmarkEnd w:id="60"/>
    </w:p>
    <w:p w:rsidR="00F95BAD" w:rsidRPr="00B778A6" w:rsidRDefault="00F95BAD" w:rsidP="00B84504">
      <w:pPr>
        <w:ind w:firstLine="720"/>
        <w:jc w:val="both"/>
      </w:pPr>
    </w:p>
    <w:p w:rsidR="00F95BAD" w:rsidRPr="00B778A6" w:rsidRDefault="00F95BAD" w:rsidP="00B84504">
      <w:pPr>
        <w:ind w:firstLine="720"/>
        <w:jc w:val="both"/>
      </w:pPr>
      <w:r w:rsidRPr="00B778A6">
        <w:t xml:space="preserve">Šiame skyriuje numatoma projekto trukmė ir etapai, pateikiamas projekto veiklų įgyvendinimo grafikas, fizinė projekto įgyvendinimo vieta, </w:t>
      </w:r>
      <w:r w:rsidR="00DD18E3" w:rsidRPr="00B778A6">
        <w:t>projekto komanda, prielaidos ir tęstinumas.</w:t>
      </w:r>
    </w:p>
    <w:p w:rsidR="00F95BAD" w:rsidRPr="00B778A6" w:rsidRDefault="00F95BAD" w:rsidP="00B84504">
      <w:pPr>
        <w:ind w:firstLine="720"/>
        <w:jc w:val="both"/>
      </w:pPr>
    </w:p>
    <w:p w:rsidR="00B84504" w:rsidRPr="00B778A6" w:rsidRDefault="00454B87" w:rsidP="002C68C6">
      <w:pPr>
        <w:pStyle w:val="Heading2"/>
        <w:rPr>
          <w:rFonts w:ascii="Times New Roman" w:hAnsi="Times New Roman"/>
        </w:rPr>
      </w:pPr>
      <w:bookmarkStart w:id="61" w:name="_Toc34924516"/>
      <w:r w:rsidRPr="00B778A6">
        <w:rPr>
          <w:rFonts w:ascii="Times New Roman" w:hAnsi="Times New Roman"/>
          <w:lang w:val="lt-LT"/>
        </w:rPr>
        <w:t>7</w:t>
      </w:r>
      <w:r w:rsidR="00B84504" w:rsidRPr="00B778A6">
        <w:rPr>
          <w:rFonts w:ascii="Times New Roman" w:hAnsi="Times New Roman"/>
          <w:lang w:val="lt-LT"/>
        </w:rPr>
        <w:t>.1. Projekto trukmė ir etapai</w:t>
      </w:r>
      <w:bookmarkEnd w:id="61"/>
    </w:p>
    <w:p w:rsidR="00F95BAD" w:rsidRPr="00B778A6" w:rsidRDefault="00F95BAD" w:rsidP="00B84504">
      <w:pPr>
        <w:ind w:firstLine="720"/>
        <w:jc w:val="both"/>
      </w:pPr>
    </w:p>
    <w:p w:rsidR="0054472A" w:rsidRPr="00B778A6" w:rsidRDefault="0054472A" w:rsidP="0054472A">
      <w:pPr>
        <w:tabs>
          <w:tab w:val="left" w:pos="720"/>
        </w:tabs>
        <w:ind w:firstLine="720"/>
        <w:jc w:val="both"/>
        <w:rPr>
          <w:color w:val="000000"/>
          <w:lang w:eastAsia="en-US"/>
        </w:rPr>
      </w:pPr>
      <w:r w:rsidRPr="00B778A6">
        <w:rPr>
          <w:color w:val="000000"/>
          <w:lang w:eastAsia="en-US"/>
        </w:rPr>
        <w:t>Planuojama projekto „</w:t>
      </w:r>
      <w:r w:rsidR="00411565" w:rsidRPr="00B778A6">
        <w:rPr>
          <w:lang w:eastAsia="en-US"/>
        </w:rPr>
        <w:t>Lopšelio-</w:t>
      </w:r>
      <w:r w:rsidR="003420ED" w:rsidRPr="00B778A6">
        <w:rPr>
          <w:lang w:eastAsia="en-US"/>
        </w:rPr>
        <w:t>darželio Gintarėlis modernizavimas</w:t>
      </w:r>
      <w:r w:rsidRPr="00B778A6">
        <w:rPr>
          <w:color w:val="000000"/>
          <w:lang w:eastAsia="en-US"/>
        </w:rPr>
        <w:t xml:space="preserve">“ </w:t>
      </w:r>
      <w:r w:rsidR="005F1890" w:rsidRPr="00B778A6">
        <w:rPr>
          <w:color w:val="000000"/>
          <w:lang w:eastAsia="en-US"/>
        </w:rPr>
        <w:t xml:space="preserve">darbų </w:t>
      </w:r>
      <w:r w:rsidRPr="00B778A6">
        <w:rPr>
          <w:color w:val="000000"/>
          <w:lang w:eastAsia="en-US"/>
        </w:rPr>
        <w:t xml:space="preserve">įgyvendinimo trukmė – </w:t>
      </w:r>
      <w:r w:rsidR="0067083E" w:rsidRPr="00B778A6">
        <w:rPr>
          <w:color w:val="000000"/>
          <w:lang w:eastAsia="en-US"/>
        </w:rPr>
        <w:t>2</w:t>
      </w:r>
      <w:r w:rsidR="0067083E">
        <w:rPr>
          <w:color w:val="000000"/>
          <w:lang w:eastAsia="en-US"/>
        </w:rPr>
        <w:t>1</w:t>
      </w:r>
      <w:r w:rsidR="0067083E" w:rsidRPr="00B778A6">
        <w:rPr>
          <w:color w:val="000000"/>
          <w:lang w:eastAsia="en-US"/>
        </w:rPr>
        <w:t xml:space="preserve"> </w:t>
      </w:r>
      <w:r w:rsidRPr="00B778A6">
        <w:rPr>
          <w:color w:val="000000"/>
          <w:lang w:eastAsia="en-US"/>
        </w:rPr>
        <w:t>mėn.</w:t>
      </w:r>
    </w:p>
    <w:p w:rsidR="0054472A" w:rsidRPr="00B778A6" w:rsidRDefault="0054472A" w:rsidP="0054472A">
      <w:pPr>
        <w:tabs>
          <w:tab w:val="left" w:pos="720"/>
        </w:tabs>
        <w:ind w:firstLine="720"/>
        <w:jc w:val="both"/>
        <w:rPr>
          <w:color w:val="000000"/>
          <w:lang w:eastAsia="en-US"/>
        </w:rPr>
      </w:pPr>
      <w:r w:rsidRPr="00B778A6">
        <w:rPr>
          <w:color w:val="000000"/>
          <w:lang w:eastAsia="en-US"/>
        </w:rPr>
        <w:t xml:space="preserve">Projekto įgyvendinimo pradžia tiesiogiai priklauso nuo vertinančių institucijų priimtų sprendimų dėl projekto finansavimo. Nesant nustatytai tiksliai projekto įgyvendinimo pradžiai, projekto įgyvendinimo veiklų grafikas pateikiamas nuo </w:t>
      </w:r>
      <w:r w:rsidR="0067083E" w:rsidRPr="00B778A6">
        <w:rPr>
          <w:color w:val="000000"/>
          <w:lang w:eastAsia="en-US"/>
        </w:rPr>
        <w:t>202</w:t>
      </w:r>
      <w:r w:rsidR="0067083E">
        <w:rPr>
          <w:color w:val="000000"/>
          <w:lang w:eastAsia="en-US"/>
        </w:rPr>
        <w:t>1</w:t>
      </w:r>
      <w:r w:rsidR="0067083E" w:rsidRPr="00B778A6">
        <w:rPr>
          <w:color w:val="000000"/>
          <w:lang w:eastAsia="en-US"/>
        </w:rPr>
        <w:t xml:space="preserve"> </w:t>
      </w:r>
      <w:r w:rsidRPr="00B778A6">
        <w:rPr>
          <w:color w:val="000000"/>
          <w:lang w:eastAsia="en-US"/>
        </w:rPr>
        <w:t xml:space="preserve">m. </w:t>
      </w:r>
      <w:r w:rsidR="0067083E">
        <w:rPr>
          <w:color w:val="000000"/>
          <w:lang w:eastAsia="en-US"/>
        </w:rPr>
        <w:t>balandžio</w:t>
      </w:r>
      <w:r w:rsidR="0067083E" w:rsidRPr="00B778A6">
        <w:rPr>
          <w:color w:val="000000"/>
          <w:lang w:eastAsia="en-US"/>
        </w:rPr>
        <w:t xml:space="preserve"> </w:t>
      </w:r>
      <w:r w:rsidRPr="00B778A6">
        <w:rPr>
          <w:color w:val="000000"/>
          <w:lang w:eastAsia="en-US"/>
        </w:rPr>
        <w:t xml:space="preserve">mėn. </w:t>
      </w:r>
    </w:p>
    <w:p w:rsidR="0054472A" w:rsidRPr="00B778A6" w:rsidRDefault="0054472A" w:rsidP="0054472A">
      <w:pPr>
        <w:ind w:firstLine="720"/>
        <w:jc w:val="both"/>
      </w:pPr>
      <w:r w:rsidRPr="00B778A6">
        <w:t>Projekto veiklos ir veiklų įgyvendini</w:t>
      </w:r>
      <w:r w:rsidR="001A050D" w:rsidRPr="00B778A6">
        <w:t>mo grafikas pateiktas lentelėje.</w:t>
      </w:r>
    </w:p>
    <w:p w:rsidR="0054472A" w:rsidRPr="00B778A6" w:rsidRDefault="0054472A" w:rsidP="0054472A">
      <w:pPr>
        <w:ind w:firstLine="720"/>
        <w:jc w:val="center"/>
      </w:pPr>
    </w:p>
    <w:p w:rsidR="001A28E4" w:rsidRPr="00B778A6" w:rsidRDefault="00772321" w:rsidP="001A28E4">
      <w:pPr>
        <w:ind w:firstLine="720"/>
        <w:jc w:val="center"/>
        <w:rPr>
          <w:b/>
        </w:rPr>
      </w:pPr>
      <w:r w:rsidRPr="00B778A6">
        <w:rPr>
          <w:b/>
        </w:rPr>
        <w:t xml:space="preserve">7.1.1. </w:t>
      </w:r>
      <w:r w:rsidR="0067083E">
        <w:rPr>
          <w:b/>
        </w:rPr>
        <w:t>l</w:t>
      </w:r>
      <w:r w:rsidR="0067083E" w:rsidRPr="00B778A6">
        <w:rPr>
          <w:b/>
        </w:rPr>
        <w:t>entelė</w:t>
      </w:r>
      <w:r w:rsidR="001A28E4" w:rsidRPr="00B778A6">
        <w:rPr>
          <w:b/>
        </w:rPr>
        <w:t>. Projekto veiklų grafikas</w:t>
      </w:r>
    </w:p>
    <w:tbl>
      <w:tblPr>
        <w:tblW w:w="9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5120"/>
        <w:gridCol w:w="485"/>
        <w:gridCol w:w="485"/>
        <w:gridCol w:w="485"/>
        <w:gridCol w:w="485"/>
        <w:gridCol w:w="485"/>
        <w:gridCol w:w="485"/>
        <w:gridCol w:w="485"/>
        <w:gridCol w:w="485"/>
      </w:tblGrid>
      <w:tr w:rsidR="004779D1" w:rsidRPr="00B778A6" w:rsidTr="00B778A6">
        <w:trPr>
          <w:trHeight w:val="57"/>
          <w:tblHeader/>
          <w:jc w:val="center"/>
        </w:trPr>
        <w:tc>
          <w:tcPr>
            <w:tcW w:w="561" w:type="dxa"/>
            <w:vMerge w:val="restart"/>
            <w:shd w:val="clear" w:color="auto" w:fill="D9D9D9"/>
            <w:vAlign w:val="center"/>
          </w:tcPr>
          <w:p w:rsidR="004779D1" w:rsidRPr="00B778A6" w:rsidRDefault="004779D1" w:rsidP="00180F4B">
            <w:pPr>
              <w:tabs>
                <w:tab w:val="left" w:pos="709"/>
              </w:tabs>
              <w:jc w:val="center"/>
              <w:rPr>
                <w:b/>
                <w:bCs/>
                <w:sz w:val="22"/>
                <w:szCs w:val="22"/>
                <w:lang w:eastAsia="en-US"/>
              </w:rPr>
            </w:pPr>
            <w:r w:rsidRPr="00B778A6">
              <w:rPr>
                <w:b/>
                <w:bCs/>
                <w:sz w:val="22"/>
                <w:szCs w:val="22"/>
                <w:lang w:eastAsia="en-US"/>
              </w:rPr>
              <w:t>Eil. Nr.</w:t>
            </w:r>
          </w:p>
        </w:tc>
        <w:tc>
          <w:tcPr>
            <w:tcW w:w="5120" w:type="dxa"/>
            <w:shd w:val="clear" w:color="auto" w:fill="D9D9D9"/>
            <w:vAlign w:val="center"/>
          </w:tcPr>
          <w:p w:rsidR="004779D1" w:rsidRPr="00B778A6" w:rsidRDefault="004779D1" w:rsidP="00180F4B">
            <w:pPr>
              <w:tabs>
                <w:tab w:val="left" w:pos="709"/>
              </w:tabs>
              <w:jc w:val="center"/>
              <w:rPr>
                <w:b/>
                <w:bCs/>
                <w:sz w:val="22"/>
                <w:szCs w:val="22"/>
                <w:lang w:eastAsia="en-US"/>
              </w:rPr>
            </w:pPr>
            <w:r w:rsidRPr="00B778A6">
              <w:rPr>
                <w:b/>
                <w:bCs/>
                <w:sz w:val="22"/>
                <w:szCs w:val="22"/>
                <w:lang w:eastAsia="en-US"/>
              </w:rPr>
              <w:t>Metai</w:t>
            </w:r>
          </w:p>
        </w:tc>
        <w:tc>
          <w:tcPr>
            <w:tcW w:w="1940" w:type="dxa"/>
            <w:gridSpan w:val="4"/>
            <w:tcBorders>
              <w:bottom w:val="single" w:sz="4" w:space="0" w:color="auto"/>
            </w:tcBorders>
            <w:shd w:val="clear" w:color="auto" w:fill="D9D9D9"/>
            <w:noWrap/>
            <w:vAlign w:val="center"/>
          </w:tcPr>
          <w:p w:rsidR="004779D1" w:rsidRPr="00B778A6" w:rsidRDefault="004779D1" w:rsidP="00B778A6">
            <w:pPr>
              <w:tabs>
                <w:tab w:val="left" w:pos="709"/>
              </w:tabs>
              <w:jc w:val="center"/>
              <w:rPr>
                <w:b/>
                <w:bCs/>
                <w:sz w:val="22"/>
                <w:szCs w:val="22"/>
                <w:lang w:eastAsia="en-US"/>
              </w:rPr>
            </w:pPr>
            <w:r w:rsidRPr="00B778A6">
              <w:rPr>
                <w:b/>
                <w:bCs/>
                <w:sz w:val="22"/>
                <w:szCs w:val="22"/>
                <w:lang w:eastAsia="en-US"/>
              </w:rPr>
              <w:t>2022</w:t>
            </w:r>
          </w:p>
        </w:tc>
        <w:tc>
          <w:tcPr>
            <w:tcW w:w="1940" w:type="dxa"/>
            <w:gridSpan w:val="4"/>
            <w:tcBorders>
              <w:bottom w:val="single" w:sz="4" w:space="0" w:color="auto"/>
            </w:tcBorders>
            <w:shd w:val="clear" w:color="auto" w:fill="D9D9D9"/>
            <w:noWrap/>
            <w:vAlign w:val="center"/>
          </w:tcPr>
          <w:p w:rsidR="004779D1" w:rsidRPr="00B778A6" w:rsidRDefault="004779D1" w:rsidP="00B778A6">
            <w:pPr>
              <w:tabs>
                <w:tab w:val="left" w:pos="709"/>
              </w:tabs>
              <w:jc w:val="center"/>
              <w:rPr>
                <w:b/>
                <w:bCs/>
                <w:sz w:val="22"/>
                <w:szCs w:val="22"/>
                <w:lang w:eastAsia="en-US"/>
              </w:rPr>
            </w:pPr>
            <w:r w:rsidRPr="00B778A6">
              <w:rPr>
                <w:b/>
                <w:bCs/>
                <w:sz w:val="22"/>
                <w:szCs w:val="22"/>
                <w:lang w:eastAsia="en-US"/>
              </w:rPr>
              <w:t>2023</w:t>
            </w:r>
          </w:p>
        </w:tc>
      </w:tr>
      <w:tr w:rsidR="004779D1" w:rsidRPr="00B778A6" w:rsidTr="00B778A6">
        <w:trPr>
          <w:trHeight w:val="57"/>
          <w:tblHeader/>
          <w:jc w:val="center"/>
        </w:trPr>
        <w:tc>
          <w:tcPr>
            <w:tcW w:w="561" w:type="dxa"/>
            <w:vMerge/>
            <w:shd w:val="clear" w:color="auto" w:fill="D9D9D9"/>
            <w:vAlign w:val="center"/>
          </w:tcPr>
          <w:p w:rsidR="004779D1" w:rsidRPr="00B778A6" w:rsidRDefault="004779D1" w:rsidP="00180F4B">
            <w:pPr>
              <w:tabs>
                <w:tab w:val="left" w:pos="709"/>
              </w:tabs>
              <w:jc w:val="center"/>
              <w:rPr>
                <w:b/>
                <w:bCs/>
                <w:sz w:val="22"/>
                <w:szCs w:val="22"/>
                <w:lang w:eastAsia="en-US"/>
              </w:rPr>
            </w:pPr>
          </w:p>
        </w:tc>
        <w:tc>
          <w:tcPr>
            <w:tcW w:w="5120" w:type="dxa"/>
            <w:shd w:val="clear" w:color="auto" w:fill="D9D9D9"/>
            <w:vAlign w:val="center"/>
          </w:tcPr>
          <w:p w:rsidR="004779D1" w:rsidRPr="00B778A6" w:rsidRDefault="004779D1" w:rsidP="00180F4B">
            <w:pPr>
              <w:tabs>
                <w:tab w:val="left" w:pos="709"/>
              </w:tabs>
              <w:jc w:val="center"/>
              <w:rPr>
                <w:b/>
                <w:bCs/>
                <w:sz w:val="22"/>
                <w:szCs w:val="22"/>
                <w:lang w:eastAsia="en-US"/>
              </w:rPr>
            </w:pPr>
            <w:r w:rsidRPr="00B778A6">
              <w:rPr>
                <w:b/>
                <w:bCs/>
                <w:sz w:val="22"/>
                <w:szCs w:val="22"/>
                <w:lang w:eastAsia="en-US"/>
              </w:rPr>
              <w:t>Ketvirtis</w:t>
            </w:r>
          </w:p>
        </w:tc>
        <w:tc>
          <w:tcPr>
            <w:tcW w:w="485" w:type="dxa"/>
            <w:tcBorders>
              <w:bottom w:val="single" w:sz="4" w:space="0" w:color="auto"/>
            </w:tcBorders>
            <w:shd w:val="clear" w:color="auto" w:fill="D9D9D9"/>
            <w:noWrap/>
            <w:vAlign w:val="center"/>
          </w:tcPr>
          <w:p w:rsidR="004779D1" w:rsidRPr="00B778A6" w:rsidRDefault="004779D1" w:rsidP="00180F4B">
            <w:pPr>
              <w:tabs>
                <w:tab w:val="left" w:pos="709"/>
              </w:tabs>
              <w:jc w:val="center"/>
              <w:rPr>
                <w:b/>
                <w:bCs/>
                <w:sz w:val="22"/>
                <w:szCs w:val="22"/>
                <w:lang w:eastAsia="en-US"/>
              </w:rPr>
            </w:pPr>
            <w:r w:rsidRPr="00B778A6">
              <w:rPr>
                <w:b/>
                <w:bCs/>
                <w:sz w:val="22"/>
                <w:szCs w:val="22"/>
                <w:lang w:eastAsia="en-US"/>
              </w:rPr>
              <w:t>I</w:t>
            </w:r>
          </w:p>
        </w:tc>
        <w:tc>
          <w:tcPr>
            <w:tcW w:w="485" w:type="dxa"/>
            <w:tcBorders>
              <w:bottom w:val="single" w:sz="4" w:space="0" w:color="auto"/>
            </w:tcBorders>
            <w:shd w:val="clear" w:color="auto" w:fill="D9D9D9"/>
            <w:noWrap/>
            <w:vAlign w:val="center"/>
          </w:tcPr>
          <w:p w:rsidR="004779D1" w:rsidRPr="00B778A6" w:rsidRDefault="004779D1" w:rsidP="00180F4B">
            <w:pPr>
              <w:tabs>
                <w:tab w:val="left" w:pos="709"/>
              </w:tabs>
              <w:jc w:val="center"/>
              <w:rPr>
                <w:b/>
                <w:bCs/>
                <w:sz w:val="22"/>
                <w:szCs w:val="22"/>
                <w:lang w:eastAsia="en-US"/>
              </w:rPr>
            </w:pPr>
            <w:r w:rsidRPr="00B778A6">
              <w:rPr>
                <w:b/>
                <w:bCs/>
                <w:sz w:val="22"/>
                <w:szCs w:val="22"/>
                <w:lang w:eastAsia="en-US"/>
              </w:rPr>
              <w:t>II</w:t>
            </w:r>
          </w:p>
        </w:tc>
        <w:tc>
          <w:tcPr>
            <w:tcW w:w="485" w:type="dxa"/>
            <w:tcBorders>
              <w:bottom w:val="single" w:sz="4" w:space="0" w:color="auto"/>
            </w:tcBorders>
            <w:shd w:val="clear" w:color="auto" w:fill="D9D9D9"/>
            <w:noWrap/>
            <w:vAlign w:val="center"/>
          </w:tcPr>
          <w:p w:rsidR="004779D1" w:rsidRPr="00B778A6" w:rsidRDefault="004779D1" w:rsidP="00180F4B">
            <w:pPr>
              <w:tabs>
                <w:tab w:val="left" w:pos="709"/>
              </w:tabs>
              <w:jc w:val="center"/>
              <w:rPr>
                <w:b/>
                <w:bCs/>
                <w:sz w:val="22"/>
                <w:szCs w:val="22"/>
                <w:lang w:eastAsia="en-US"/>
              </w:rPr>
            </w:pPr>
            <w:r w:rsidRPr="00B778A6">
              <w:rPr>
                <w:b/>
                <w:bCs/>
                <w:sz w:val="22"/>
                <w:szCs w:val="22"/>
                <w:lang w:eastAsia="en-US"/>
              </w:rPr>
              <w:t>III</w:t>
            </w:r>
          </w:p>
        </w:tc>
        <w:tc>
          <w:tcPr>
            <w:tcW w:w="485" w:type="dxa"/>
            <w:tcBorders>
              <w:bottom w:val="single" w:sz="4" w:space="0" w:color="auto"/>
            </w:tcBorders>
            <w:shd w:val="clear" w:color="auto" w:fill="D9D9D9"/>
            <w:noWrap/>
            <w:vAlign w:val="center"/>
          </w:tcPr>
          <w:p w:rsidR="004779D1" w:rsidRPr="00B778A6" w:rsidRDefault="004779D1" w:rsidP="00180F4B">
            <w:pPr>
              <w:tabs>
                <w:tab w:val="left" w:pos="709"/>
              </w:tabs>
              <w:jc w:val="center"/>
              <w:rPr>
                <w:b/>
                <w:bCs/>
                <w:sz w:val="22"/>
                <w:szCs w:val="22"/>
                <w:lang w:eastAsia="en-US"/>
              </w:rPr>
            </w:pPr>
            <w:r w:rsidRPr="00B778A6">
              <w:rPr>
                <w:b/>
                <w:bCs/>
                <w:sz w:val="22"/>
                <w:szCs w:val="22"/>
                <w:lang w:eastAsia="en-US"/>
              </w:rPr>
              <w:t>IV</w:t>
            </w:r>
          </w:p>
        </w:tc>
        <w:tc>
          <w:tcPr>
            <w:tcW w:w="485" w:type="dxa"/>
            <w:tcBorders>
              <w:bottom w:val="single" w:sz="4" w:space="0" w:color="auto"/>
            </w:tcBorders>
            <w:shd w:val="clear" w:color="auto" w:fill="D9D9D9"/>
            <w:noWrap/>
            <w:vAlign w:val="center"/>
          </w:tcPr>
          <w:p w:rsidR="004779D1" w:rsidRPr="00B778A6" w:rsidRDefault="004779D1" w:rsidP="00180F4B">
            <w:pPr>
              <w:tabs>
                <w:tab w:val="left" w:pos="709"/>
              </w:tabs>
              <w:jc w:val="center"/>
              <w:rPr>
                <w:b/>
                <w:bCs/>
                <w:sz w:val="22"/>
                <w:szCs w:val="22"/>
                <w:lang w:eastAsia="en-US"/>
              </w:rPr>
            </w:pPr>
            <w:r w:rsidRPr="00B778A6">
              <w:rPr>
                <w:b/>
                <w:bCs/>
                <w:sz w:val="22"/>
                <w:szCs w:val="22"/>
                <w:lang w:eastAsia="en-US"/>
              </w:rPr>
              <w:t>I</w:t>
            </w:r>
          </w:p>
        </w:tc>
        <w:tc>
          <w:tcPr>
            <w:tcW w:w="485" w:type="dxa"/>
            <w:tcBorders>
              <w:bottom w:val="single" w:sz="4" w:space="0" w:color="auto"/>
            </w:tcBorders>
            <w:shd w:val="clear" w:color="auto" w:fill="D9D9D9"/>
            <w:noWrap/>
            <w:vAlign w:val="center"/>
          </w:tcPr>
          <w:p w:rsidR="004779D1" w:rsidRPr="00B778A6" w:rsidRDefault="004779D1" w:rsidP="00180F4B">
            <w:pPr>
              <w:tabs>
                <w:tab w:val="left" w:pos="709"/>
              </w:tabs>
              <w:jc w:val="center"/>
              <w:rPr>
                <w:b/>
                <w:bCs/>
                <w:sz w:val="22"/>
                <w:szCs w:val="22"/>
                <w:lang w:eastAsia="en-US"/>
              </w:rPr>
            </w:pPr>
            <w:r w:rsidRPr="00B778A6">
              <w:rPr>
                <w:b/>
                <w:bCs/>
                <w:sz w:val="22"/>
                <w:szCs w:val="22"/>
                <w:lang w:eastAsia="en-US"/>
              </w:rPr>
              <w:t>II</w:t>
            </w:r>
          </w:p>
        </w:tc>
        <w:tc>
          <w:tcPr>
            <w:tcW w:w="485" w:type="dxa"/>
            <w:tcBorders>
              <w:bottom w:val="single" w:sz="4" w:space="0" w:color="auto"/>
            </w:tcBorders>
            <w:shd w:val="clear" w:color="auto" w:fill="D9D9D9"/>
            <w:noWrap/>
            <w:vAlign w:val="center"/>
          </w:tcPr>
          <w:p w:rsidR="004779D1" w:rsidRPr="00B778A6" w:rsidRDefault="004779D1" w:rsidP="00180F4B">
            <w:pPr>
              <w:tabs>
                <w:tab w:val="left" w:pos="709"/>
              </w:tabs>
              <w:jc w:val="center"/>
              <w:rPr>
                <w:b/>
                <w:bCs/>
                <w:sz w:val="22"/>
                <w:szCs w:val="22"/>
                <w:lang w:eastAsia="en-US"/>
              </w:rPr>
            </w:pPr>
            <w:r w:rsidRPr="00B778A6">
              <w:rPr>
                <w:b/>
                <w:bCs/>
                <w:sz w:val="22"/>
                <w:szCs w:val="22"/>
                <w:lang w:eastAsia="en-US"/>
              </w:rPr>
              <w:t>III</w:t>
            </w:r>
          </w:p>
        </w:tc>
        <w:tc>
          <w:tcPr>
            <w:tcW w:w="485" w:type="dxa"/>
            <w:tcBorders>
              <w:bottom w:val="single" w:sz="4" w:space="0" w:color="auto"/>
            </w:tcBorders>
            <w:shd w:val="clear" w:color="auto" w:fill="D9D9D9"/>
            <w:noWrap/>
            <w:vAlign w:val="center"/>
          </w:tcPr>
          <w:p w:rsidR="004779D1" w:rsidRPr="00B778A6" w:rsidRDefault="004779D1" w:rsidP="00180F4B">
            <w:pPr>
              <w:tabs>
                <w:tab w:val="left" w:pos="709"/>
              </w:tabs>
              <w:jc w:val="center"/>
              <w:rPr>
                <w:b/>
                <w:bCs/>
                <w:sz w:val="22"/>
                <w:szCs w:val="22"/>
                <w:lang w:eastAsia="en-US"/>
              </w:rPr>
            </w:pPr>
            <w:r w:rsidRPr="00B778A6">
              <w:rPr>
                <w:b/>
                <w:bCs/>
                <w:sz w:val="22"/>
                <w:szCs w:val="22"/>
                <w:lang w:eastAsia="en-US"/>
              </w:rPr>
              <w:t>IV</w:t>
            </w:r>
          </w:p>
        </w:tc>
      </w:tr>
      <w:tr w:rsidR="004779D1" w:rsidRPr="00B778A6" w:rsidTr="00B778A6">
        <w:trPr>
          <w:trHeight w:val="57"/>
          <w:jc w:val="center"/>
        </w:trPr>
        <w:tc>
          <w:tcPr>
            <w:tcW w:w="561" w:type="dxa"/>
            <w:shd w:val="clear" w:color="auto" w:fill="auto"/>
            <w:noWrap/>
            <w:vAlign w:val="center"/>
          </w:tcPr>
          <w:p w:rsidR="004779D1" w:rsidRPr="00B778A6" w:rsidRDefault="004779D1" w:rsidP="00180F4B">
            <w:pPr>
              <w:tabs>
                <w:tab w:val="left" w:pos="709"/>
              </w:tabs>
              <w:jc w:val="center"/>
              <w:rPr>
                <w:b/>
                <w:bCs/>
                <w:sz w:val="22"/>
                <w:szCs w:val="22"/>
                <w:lang w:eastAsia="en-US"/>
              </w:rPr>
            </w:pPr>
            <w:r w:rsidRPr="00B778A6">
              <w:rPr>
                <w:b/>
                <w:bCs/>
                <w:sz w:val="22"/>
                <w:szCs w:val="22"/>
                <w:lang w:eastAsia="en-US"/>
              </w:rPr>
              <w:t>1.</w:t>
            </w:r>
          </w:p>
        </w:tc>
        <w:tc>
          <w:tcPr>
            <w:tcW w:w="5120" w:type="dxa"/>
            <w:shd w:val="clear" w:color="auto" w:fill="auto"/>
            <w:noWrap/>
            <w:vAlign w:val="center"/>
          </w:tcPr>
          <w:p w:rsidR="004779D1" w:rsidRPr="00B778A6" w:rsidRDefault="00411565" w:rsidP="00180F4B">
            <w:pPr>
              <w:tabs>
                <w:tab w:val="left" w:pos="709"/>
              </w:tabs>
              <w:jc w:val="both"/>
              <w:rPr>
                <w:b/>
                <w:bCs/>
                <w:sz w:val="22"/>
                <w:szCs w:val="22"/>
                <w:lang w:eastAsia="en-US"/>
              </w:rPr>
            </w:pPr>
            <w:r w:rsidRPr="00B778A6">
              <w:rPr>
                <w:b/>
                <w:bCs/>
                <w:sz w:val="22"/>
                <w:szCs w:val="22"/>
                <w:lang w:eastAsia="en-US"/>
              </w:rPr>
              <w:t>Lopšelio-</w:t>
            </w:r>
            <w:r w:rsidR="004779D1" w:rsidRPr="00B778A6">
              <w:rPr>
                <w:b/>
                <w:bCs/>
                <w:sz w:val="22"/>
                <w:szCs w:val="22"/>
                <w:lang w:eastAsia="en-US"/>
              </w:rPr>
              <w:t>darželio Gintarėlis pastato energetinio efektyvumo pagerinimas</w:t>
            </w:r>
          </w:p>
        </w:tc>
        <w:tc>
          <w:tcPr>
            <w:tcW w:w="485" w:type="dxa"/>
            <w:shd w:val="clear" w:color="auto" w:fill="auto"/>
            <w:noWrap/>
            <w:vAlign w:val="center"/>
          </w:tcPr>
          <w:p w:rsidR="004779D1" w:rsidRPr="00B778A6" w:rsidRDefault="004779D1" w:rsidP="005F1890">
            <w:pPr>
              <w:tabs>
                <w:tab w:val="left" w:pos="709"/>
              </w:tabs>
              <w:jc w:val="center"/>
              <w:rPr>
                <w:b/>
                <w:sz w:val="22"/>
                <w:szCs w:val="22"/>
                <w:lang w:eastAsia="en-US"/>
              </w:rPr>
            </w:pPr>
            <w:r w:rsidRPr="00B778A6">
              <w:rPr>
                <w:b/>
                <w:sz w:val="22"/>
                <w:szCs w:val="22"/>
                <w:lang w:eastAsia="en-US"/>
              </w:rPr>
              <w:t>X</w:t>
            </w:r>
          </w:p>
        </w:tc>
        <w:tc>
          <w:tcPr>
            <w:tcW w:w="485" w:type="dxa"/>
            <w:shd w:val="clear" w:color="auto" w:fill="auto"/>
            <w:noWrap/>
            <w:vAlign w:val="center"/>
          </w:tcPr>
          <w:p w:rsidR="004779D1" w:rsidRPr="00B778A6" w:rsidRDefault="004779D1" w:rsidP="005F1890">
            <w:pPr>
              <w:tabs>
                <w:tab w:val="left" w:pos="709"/>
              </w:tabs>
              <w:jc w:val="center"/>
              <w:rPr>
                <w:b/>
                <w:sz w:val="22"/>
                <w:szCs w:val="22"/>
                <w:lang w:eastAsia="en-US"/>
              </w:rPr>
            </w:pPr>
            <w:r w:rsidRPr="00B778A6">
              <w:rPr>
                <w:b/>
                <w:sz w:val="22"/>
                <w:szCs w:val="22"/>
                <w:lang w:eastAsia="en-US"/>
              </w:rPr>
              <w:t>X</w:t>
            </w:r>
          </w:p>
        </w:tc>
        <w:tc>
          <w:tcPr>
            <w:tcW w:w="485" w:type="dxa"/>
            <w:shd w:val="clear" w:color="auto" w:fill="auto"/>
            <w:noWrap/>
            <w:vAlign w:val="center"/>
          </w:tcPr>
          <w:p w:rsidR="004779D1" w:rsidRPr="00B778A6" w:rsidRDefault="004779D1" w:rsidP="005F1890">
            <w:pPr>
              <w:tabs>
                <w:tab w:val="left" w:pos="709"/>
              </w:tabs>
              <w:jc w:val="center"/>
              <w:rPr>
                <w:b/>
                <w:sz w:val="22"/>
                <w:szCs w:val="22"/>
                <w:lang w:eastAsia="en-US"/>
              </w:rPr>
            </w:pPr>
            <w:r w:rsidRPr="00B778A6">
              <w:rPr>
                <w:b/>
                <w:sz w:val="22"/>
                <w:szCs w:val="22"/>
                <w:lang w:eastAsia="en-US"/>
              </w:rPr>
              <w:t>X</w:t>
            </w:r>
          </w:p>
        </w:tc>
        <w:tc>
          <w:tcPr>
            <w:tcW w:w="485" w:type="dxa"/>
            <w:shd w:val="clear" w:color="auto" w:fill="auto"/>
            <w:noWrap/>
            <w:vAlign w:val="center"/>
          </w:tcPr>
          <w:p w:rsidR="004779D1" w:rsidRPr="00B778A6" w:rsidRDefault="004779D1" w:rsidP="005F1890">
            <w:pPr>
              <w:tabs>
                <w:tab w:val="left" w:pos="709"/>
              </w:tabs>
              <w:jc w:val="center"/>
              <w:rPr>
                <w:b/>
                <w:sz w:val="22"/>
                <w:szCs w:val="22"/>
                <w:lang w:eastAsia="en-US"/>
              </w:rPr>
            </w:pPr>
            <w:r w:rsidRPr="00B778A6">
              <w:rPr>
                <w:b/>
                <w:sz w:val="22"/>
                <w:szCs w:val="22"/>
                <w:lang w:eastAsia="en-US"/>
              </w:rPr>
              <w:t>X</w:t>
            </w:r>
          </w:p>
        </w:tc>
        <w:tc>
          <w:tcPr>
            <w:tcW w:w="485" w:type="dxa"/>
            <w:shd w:val="clear" w:color="auto" w:fill="auto"/>
            <w:noWrap/>
            <w:vAlign w:val="center"/>
          </w:tcPr>
          <w:p w:rsidR="004779D1" w:rsidRPr="00B778A6" w:rsidRDefault="004779D1" w:rsidP="005F1890">
            <w:pPr>
              <w:tabs>
                <w:tab w:val="left" w:pos="709"/>
              </w:tabs>
              <w:jc w:val="center"/>
              <w:rPr>
                <w:b/>
                <w:sz w:val="22"/>
                <w:szCs w:val="22"/>
                <w:lang w:eastAsia="en-US"/>
              </w:rPr>
            </w:pPr>
            <w:r w:rsidRPr="00B778A6">
              <w:rPr>
                <w:b/>
                <w:sz w:val="22"/>
                <w:szCs w:val="22"/>
                <w:lang w:eastAsia="en-US"/>
              </w:rPr>
              <w:t>X</w:t>
            </w:r>
          </w:p>
        </w:tc>
        <w:tc>
          <w:tcPr>
            <w:tcW w:w="485" w:type="dxa"/>
            <w:shd w:val="clear" w:color="auto" w:fill="auto"/>
            <w:noWrap/>
            <w:vAlign w:val="center"/>
          </w:tcPr>
          <w:p w:rsidR="004779D1" w:rsidRPr="00B778A6" w:rsidRDefault="004779D1" w:rsidP="005F1890">
            <w:pPr>
              <w:tabs>
                <w:tab w:val="left" w:pos="709"/>
              </w:tabs>
              <w:jc w:val="center"/>
              <w:rPr>
                <w:b/>
                <w:sz w:val="22"/>
                <w:szCs w:val="22"/>
                <w:lang w:eastAsia="en-US"/>
              </w:rPr>
            </w:pPr>
            <w:r w:rsidRPr="00B778A6">
              <w:rPr>
                <w:b/>
                <w:sz w:val="22"/>
                <w:szCs w:val="22"/>
                <w:lang w:eastAsia="en-US"/>
              </w:rPr>
              <w:t>X</w:t>
            </w:r>
          </w:p>
        </w:tc>
        <w:tc>
          <w:tcPr>
            <w:tcW w:w="485" w:type="dxa"/>
            <w:shd w:val="clear" w:color="auto" w:fill="auto"/>
            <w:noWrap/>
            <w:vAlign w:val="center"/>
          </w:tcPr>
          <w:p w:rsidR="004779D1" w:rsidRPr="00B778A6" w:rsidRDefault="004779D1" w:rsidP="005F1890">
            <w:pPr>
              <w:tabs>
                <w:tab w:val="left" w:pos="709"/>
              </w:tabs>
              <w:jc w:val="center"/>
              <w:rPr>
                <w:b/>
                <w:sz w:val="22"/>
                <w:szCs w:val="22"/>
                <w:lang w:eastAsia="en-US"/>
              </w:rPr>
            </w:pPr>
            <w:r w:rsidRPr="00B778A6">
              <w:rPr>
                <w:b/>
                <w:sz w:val="22"/>
                <w:szCs w:val="22"/>
                <w:lang w:eastAsia="en-US"/>
              </w:rPr>
              <w:t>X</w:t>
            </w:r>
          </w:p>
        </w:tc>
        <w:tc>
          <w:tcPr>
            <w:tcW w:w="485" w:type="dxa"/>
            <w:shd w:val="clear" w:color="auto" w:fill="auto"/>
            <w:noWrap/>
            <w:vAlign w:val="center"/>
          </w:tcPr>
          <w:p w:rsidR="004779D1" w:rsidRPr="00B778A6" w:rsidRDefault="004779D1" w:rsidP="005F1890">
            <w:pPr>
              <w:tabs>
                <w:tab w:val="left" w:pos="709"/>
              </w:tabs>
              <w:jc w:val="center"/>
              <w:rPr>
                <w:b/>
                <w:sz w:val="22"/>
                <w:szCs w:val="22"/>
                <w:lang w:eastAsia="en-US"/>
              </w:rPr>
            </w:pPr>
            <w:r w:rsidRPr="00B778A6">
              <w:rPr>
                <w:b/>
                <w:sz w:val="22"/>
                <w:szCs w:val="22"/>
                <w:lang w:eastAsia="en-US"/>
              </w:rPr>
              <w:t>X</w:t>
            </w:r>
          </w:p>
        </w:tc>
      </w:tr>
      <w:tr w:rsidR="004779D1" w:rsidRPr="00B778A6" w:rsidTr="00B778A6">
        <w:trPr>
          <w:trHeight w:val="57"/>
          <w:jc w:val="center"/>
        </w:trPr>
        <w:tc>
          <w:tcPr>
            <w:tcW w:w="561" w:type="dxa"/>
            <w:shd w:val="clear" w:color="auto" w:fill="auto"/>
            <w:noWrap/>
            <w:vAlign w:val="center"/>
          </w:tcPr>
          <w:p w:rsidR="004779D1" w:rsidRPr="00B778A6" w:rsidRDefault="004779D1" w:rsidP="00180F4B">
            <w:pPr>
              <w:tabs>
                <w:tab w:val="left" w:pos="709"/>
              </w:tabs>
              <w:jc w:val="center"/>
              <w:rPr>
                <w:sz w:val="22"/>
                <w:szCs w:val="22"/>
                <w:lang w:eastAsia="en-US"/>
              </w:rPr>
            </w:pPr>
            <w:r w:rsidRPr="00B778A6">
              <w:rPr>
                <w:sz w:val="22"/>
                <w:szCs w:val="22"/>
                <w:lang w:eastAsia="en-US"/>
              </w:rPr>
              <w:t>1.1.</w:t>
            </w:r>
          </w:p>
        </w:tc>
        <w:tc>
          <w:tcPr>
            <w:tcW w:w="5120" w:type="dxa"/>
            <w:shd w:val="clear" w:color="auto" w:fill="auto"/>
            <w:noWrap/>
            <w:vAlign w:val="center"/>
          </w:tcPr>
          <w:p w:rsidR="004779D1" w:rsidRPr="00B778A6" w:rsidRDefault="004779D1" w:rsidP="00180F4B">
            <w:pPr>
              <w:jc w:val="both"/>
              <w:rPr>
                <w:sz w:val="22"/>
                <w:szCs w:val="22"/>
                <w:lang w:eastAsia="en-US"/>
              </w:rPr>
            </w:pPr>
            <w:r w:rsidRPr="00B778A6">
              <w:rPr>
                <w:sz w:val="22"/>
                <w:szCs w:val="22"/>
                <w:lang w:eastAsia="en-US"/>
              </w:rPr>
              <w:t>Investicijų projekto bei energijos vartojimo audito ataskaitos parengimo paslaugų įsigijimas ir investicijų projekto bei energijos vartojimo audito ataskaitos parengimas</w:t>
            </w: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r w:rsidRPr="00B778A6">
              <w:rPr>
                <w:sz w:val="22"/>
                <w:szCs w:val="22"/>
                <w:lang w:eastAsia="en-US"/>
              </w:rPr>
              <w:t>X</w:t>
            </w:r>
            <w:r w:rsidRPr="00B778A6">
              <w:rPr>
                <w:rStyle w:val="FootnoteReference"/>
                <w:sz w:val="22"/>
                <w:szCs w:val="22"/>
                <w:lang w:eastAsia="en-US"/>
              </w:rPr>
              <w:footnoteReference w:id="5"/>
            </w: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p>
        </w:tc>
      </w:tr>
      <w:tr w:rsidR="004779D1" w:rsidRPr="00B778A6" w:rsidTr="00B778A6">
        <w:trPr>
          <w:trHeight w:val="57"/>
          <w:jc w:val="center"/>
        </w:trPr>
        <w:tc>
          <w:tcPr>
            <w:tcW w:w="561" w:type="dxa"/>
            <w:shd w:val="clear" w:color="auto" w:fill="auto"/>
            <w:noWrap/>
            <w:vAlign w:val="center"/>
          </w:tcPr>
          <w:p w:rsidR="004779D1" w:rsidRPr="00B778A6" w:rsidRDefault="004779D1" w:rsidP="00180F4B">
            <w:pPr>
              <w:tabs>
                <w:tab w:val="left" w:pos="709"/>
              </w:tabs>
              <w:jc w:val="center"/>
              <w:rPr>
                <w:sz w:val="22"/>
                <w:szCs w:val="22"/>
                <w:lang w:eastAsia="en-US"/>
              </w:rPr>
            </w:pPr>
            <w:r w:rsidRPr="00B778A6">
              <w:rPr>
                <w:sz w:val="22"/>
                <w:szCs w:val="22"/>
                <w:lang w:eastAsia="en-US"/>
              </w:rPr>
              <w:t>1.2.</w:t>
            </w:r>
          </w:p>
        </w:tc>
        <w:tc>
          <w:tcPr>
            <w:tcW w:w="5120" w:type="dxa"/>
            <w:shd w:val="clear" w:color="auto" w:fill="auto"/>
            <w:noWrap/>
            <w:vAlign w:val="center"/>
          </w:tcPr>
          <w:p w:rsidR="004779D1" w:rsidRPr="00B778A6" w:rsidRDefault="004779D1" w:rsidP="00180F4B">
            <w:pPr>
              <w:jc w:val="both"/>
              <w:rPr>
                <w:sz w:val="22"/>
                <w:szCs w:val="22"/>
                <w:lang w:eastAsia="en-US"/>
              </w:rPr>
            </w:pPr>
            <w:r w:rsidRPr="00B778A6">
              <w:rPr>
                <w:sz w:val="22"/>
                <w:szCs w:val="22"/>
                <w:lang w:eastAsia="en-US"/>
              </w:rPr>
              <w:t>Projektavimo ir statinio projekto vykdymo priežiūros paslaugų pirkimas, projektavimas</w:t>
            </w: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r w:rsidRPr="00B778A6">
              <w:rPr>
                <w:sz w:val="22"/>
                <w:szCs w:val="22"/>
                <w:lang w:eastAsia="en-US"/>
              </w:rPr>
              <w:t>X</w:t>
            </w: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r w:rsidRPr="00B778A6">
              <w:rPr>
                <w:sz w:val="22"/>
                <w:szCs w:val="22"/>
                <w:lang w:eastAsia="en-US"/>
              </w:rPr>
              <w:t>X</w:t>
            </w: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p>
        </w:tc>
      </w:tr>
      <w:tr w:rsidR="004779D1" w:rsidRPr="00B778A6" w:rsidTr="00B778A6">
        <w:trPr>
          <w:trHeight w:val="57"/>
          <w:jc w:val="center"/>
        </w:trPr>
        <w:tc>
          <w:tcPr>
            <w:tcW w:w="561" w:type="dxa"/>
            <w:shd w:val="clear" w:color="auto" w:fill="auto"/>
            <w:noWrap/>
            <w:vAlign w:val="center"/>
          </w:tcPr>
          <w:p w:rsidR="004779D1" w:rsidRPr="00B778A6" w:rsidRDefault="004779D1" w:rsidP="00180F4B">
            <w:pPr>
              <w:tabs>
                <w:tab w:val="left" w:pos="720"/>
              </w:tabs>
              <w:jc w:val="center"/>
              <w:rPr>
                <w:sz w:val="22"/>
                <w:szCs w:val="22"/>
                <w:lang w:eastAsia="en-US"/>
              </w:rPr>
            </w:pPr>
            <w:r w:rsidRPr="00B778A6">
              <w:rPr>
                <w:sz w:val="22"/>
                <w:szCs w:val="22"/>
                <w:lang w:eastAsia="en-US"/>
              </w:rPr>
              <w:t>1.3.</w:t>
            </w:r>
          </w:p>
        </w:tc>
        <w:tc>
          <w:tcPr>
            <w:tcW w:w="5120" w:type="dxa"/>
            <w:shd w:val="clear" w:color="auto" w:fill="auto"/>
            <w:noWrap/>
            <w:vAlign w:val="center"/>
          </w:tcPr>
          <w:p w:rsidR="004779D1" w:rsidRPr="00B778A6" w:rsidRDefault="004779D1" w:rsidP="00180F4B">
            <w:pPr>
              <w:jc w:val="both"/>
              <w:rPr>
                <w:sz w:val="22"/>
                <w:szCs w:val="22"/>
                <w:lang w:eastAsia="en-US"/>
              </w:rPr>
            </w:pPr>
            <w:r w:rsidRPr="00B778A6">
              <w:rPr>
                <w:sz w:val="22"/>
                <w:szCs w:val="22"/>
                <w:lang w:eastAsia="en-US"/>
              </w:rPr>
              <w:t>Projekto ekspertizės paslaugų pirkimas, ekspertizė</w:t>
            </w: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r w:rsidRPr="00B778A6">
              <w:rPr>
                <w:sz w:val="22"/>
                <w:szCs w:val="22"/>
                <w:lang w:eastAsia="en-US"/>
              </w:rPr>
              <w:t>X</w:t>
            </w: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p>
        </w:tc>
      </w:tr>
      <w:tr w:rsidR="004779D1" w:rsidRPr="00B778A6" w:rsidTr="00B778A6">
        <w:trPr>
          <w:trHeight w:val="57"/>
          <w:jc w:val="center"/>
        </w:trPr>
        <w:tc>
          <w:tcPr>
            <w:tcW w:w="561" w:type="dxa"/>
            <w:shd w:val="clear" w:color="auto" w:fill="auto"/>
            <w:noWrap/>
            <w:vAlign w:val="center"/>
          </w:tcPr>
          <w:p w:rsidR="004779D1" w:rsidRPr="00B778A6" w:rsidRDefault="004779D1" w:rsidP="00180F4B">
            <w:pPr>
              <w:tabs>
                <w:tab w:val="left" w:pos="720"/>
              </w:tabs>
              <w:jc w:val="center"/>
              <w:rPr>
                <w:sz w:val="22"/>
                <w:szCs w:val="22"/>
                <w:lang w:eastAsia="en-US"/>
              </w:rPr>
            </w:pPr>
            <w:r w:rsidRPr="00B778A6">
              <w:rPr>
                <w:sz w:val="22"/>
                <w:szCs w:val="22"/>
                <w:lang w:eastAsia="en-US"/>
              </w:rPr>
              <w:t>1.4.</w:t>
            </w:r>
          </w:p>
        </w:tc>
        <w:tc>
          <w:tcPr>
            <w:tcW w:w="5120" w:type="dxa"/>
            <w:shd w:val="clear" w:color="auto" w:fill="auto"/>
            <w:noWrap/>
            <w:vAlign w:val="center"/>
          </w:tcPr>
          <w:p w:rsidR="004779D1" w:rsidRPr="00B778A6" w:rsidRDefault="004779D1" w:rsidP="00180F4B">
            <w:pPr>
              <w:jc w:val="both"/>
              <w:rPr>
                <w:sz w:val="22"/>
                <w:szCs w:val="22"/>
                <w:lang w:eastAsia="en-US"/>
              </w:rPr>
            </w:pPr>
            <w:r w:rsidRPr="00B778A6">
              <w:rPr>
                <w:sz w:val="22"/>
                <w:szCs w:val="22"/>
                <w:lang w:eastAsia="en-US"/>
              </w:rPr>
              <w:t>Rangos darbų pirkimas</w:t>
            </w: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r w:rsidRPr="00B778A6">
              <w:rPr>
                <w:sz w:val="22"/>
                <w:szCs w:val="22"/>
                <w:lang w:eastAsia="en-US"/>
              </w:rPr>
              <w:t>X</w:t>
            </w: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r w:rsidRPr="00B778A6">
              <w:rPr>
                <w:sz w:val="22"/>
                <w:szCs w:val="22"/>
                <w:lang w:eastAsia="en-US"/>
              </w:rPr>
              <w:t>X</w:t>
            </w: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p>
        </w:tc>
      </w:tr>
      <w:tr w:rsidR="004779D1" w:rsidRPr="00B778A6" w:rsidTr="00B778A6">
        <w:trPr>
          <w:trHeight w:val="57"/>
          <w:jc w:val="center"/>
        </w:trPr>
        <w:tc>
          <w:tcPr>
            <w:tcW w:w="561" w:type="dxa"/>
            <w:shd w:val="clear" w:color="auto" w:fill="auto"/>
            <w:noWrap/>
            <w:vAlign w:val="center"/>
          </w:tcPr>
          <w:p w:rsidR="004779D1" w:rsidRPr="00B778A6" w:rsidRDefault="004779D1" w:rsidP="00180F4B">
            <w:pPr>
              <w:tabs>
                <w:tab w:val="left" w:pos="709"/>
              </w:tabs>
              <w:jc w:val="center"/>
              <w:rPr>
                <w:sz w:val="22"/>
                <w:szCs w:val="22"/>
                <w:lang w:eastAsia="en-US"/>
              </w:rPr>
            </w:pPr>
            <w:r w:rsidRPr="00B778A6">
              <w:rPr>
                <w:sz w:val="22"/>
                <w:szCs w:val="22"/>
                <w:lang w:eastAsia="en-US"/>
              </w:rPr>
              <w:t>1.5.</w:t>
            </w:r>
          </w:p>
        </w:tc>
        <w:tc>
          <w:tcPr>
            <w:tcW w:w="5120" w:type="dxa"/>
            <w:shd w:val="clear" w:color="auto" w:fill="auto"/>
            <w:noWrap/>
            <w:vAlign w:val="center"/>
          </w:tcPr>
          <w:p w:rsidR="004779D1" w:rsidRPr="00B778A6" w:rsidRDefault="004779D1" w:rsidP="00180F4B">
            <w:pPr>
              <w:tabs>
                <w:tab w:val="left" w:pos="720"/>
              </w:tabs>
              <w:jc w:val="both"/>
              <w:rPr>
                <w:sz w:val="22"/>
                <w:szCs w:val="22"/>
                <w:lang w:eastAsia="en-US"/>
              </w:rPr>
            </w:pPr>
            <w:r w:rsidRPr="00B778A6">
              <w:rPr>
                <w:sz w:val="22"/>
                <w:szCs w:val="22"/>
                <w:lang w:eastAsia="en-US"/>
              </w:rPr>
              <w:t>Rangos darbai</w:t>
            </w: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r w:rsidRPr="00B778A6">
              <w:rPr>
                <w:sz w:val="22"/>
                <w:szCs w:val="22"/>
                <w:lang w:eastAsia="en-US"/>
              </w:rPr>
              <w:t>X</w:t>
            </w: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r w:rsidRPr="00B778A6">
              <w:rPr>
                <w:sz w:val="22"/>
                <w:szCs w:val="22"/>
                <w:lang w:eastAsia="en-US"/>
              </w:rPr>
              <w:t>X</w:t>
            </w: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r w:rsidRPr="00B778A6">
              <w:rPr>
                <w:sz w:val="22"/>
                <w:szCs w:val="22"/>
                <w:lang w:eastAsia="en-US"/>
              </w:rPr>
              <w:t>X</w:t>
            </w: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r w:rsidRPr="00B778A6">
              <w:rPr>
                <w:sz w:val="22"/>
                <w:szCs w:val="22"/>
                <w:lang w:eastAsia="en-US"/>
              </w:rPr>
              <w:t>X</w:t>
            </w:r>
          </w:p>
        </w:tc>
      </w:tr>
      <w:tr w:rsidR="004779D1" w:rsidRPr="00B778A6" w:rsidTr="00B778A6">
        <w:trPr>
          <w:trHeight w:val="57"/>
          <w:jc w:val="center"/>
        </w:trPr>
        <w:tc>
          <w:tcPr>
            <w:tcW w:w="561" w:type="dxa"/>
            <w:shd w:val="clear" w:color="auto" w:fill="auto"/>
            <w:noWrap/>
            <w:vAlign w:val="center"/>
          </w:tcPr>
          <w:p w:rsidR="004779D1" w:rsidRPr="00B778A6" w:rsidRDefault="004779D1" w:rsidP="00180F4B">
            <w:pPr>
              <w:tabs>
                <w:tab w:val="left" w:pos="709"/>
              </w:tabs>
              <w:jc w:val="center"/>
              <w:rPr>
                <w:sz w:val="22"/>
                <w:szCs w:val="22"/>
                <w:lang w:eastAsia="en-US"/>
              </w:rPr>
            </w:pPr>
            <w:r w:rsidRPr="00B778A6">
              <w:rPr>
                <w:sz w:val="22"/>
                <w:szCs w:val="22"/>
                <w:lang w:eastAsia="en-US"/>
              </w:rPr>
              <w:t>1.6.</w:t>
            </w:r>
          </w:p>
        </w:tc>
        <w:tc>
          <w:tcPr>
            <w:tcW w:w="5120" w:type="dxa"/>
            <w:shd w:val="clear" w:color="auto" w:fill="auto"/>
            <w:noWrap/>
            <w:vAlign w:val="center"/>
          </w:tcPr>
          <w:p w:rsidR="004779D1" w:rsidRPr="00B778A6" w:rsidRDefault="004779D1" w:rsidP="00180F4B">
            <w:pPr>
              <w:tabs>
                <w:tab w:val="left" w:pos="709"/>
              </w:tabs>
              <w:jc w:val="both"/>
              <w:rPr>
                <w:sz w:val="22"/>
                <w:szCs w:val="22"/>
                <w:lang w:eastAsia="en-US"/>
              </w:rPr>
            </w:pPr>
            <w:r w:rsidRPr="00B778A6">
              <w:rPr>
                <w:sz w:val="22"/>
                <w:szCs w:val="22"/>
                <w:lang w:eastAsia="en-US"/>
              </w:rPr>
              <w:t>Techninės priežiūros paslaugų pirkimas</w:t>
            </w: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r w:rsidRPr="00B778A6">
              <w:rPr>
                <w:sz w:val="22"/>
                <w:szCs w:val="22"/>
                <w:lang w:eastAsia="en-US"/>
              </w:rPr>
              <w:t>X</w:t>
            </w: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p>
        </w:tc>
      </w:tr>
      <w:tr w:rsidR="004779D1" w:rsidRPr="00B778A6" w:rsidTr="00B778A6">
        <w:trPr>
          <w:trHeight w:val="57"/>
          <w:jc w:val="center"/>
        </w:trPr>
        <w:tc>
          <w:tcPr>
            <w:tcW w:w="561" w:type="dxa"/>
            <w:shd w:val="clear" w:color="auto" w:fill="auto"/>
            <w:noWrap/>
            <w:vAlign w:val="center"/>
          </w:tcPr>
          <w:p w:rsidR="004779D1" w:rsidRPr="00B778A6" w:rsidRDefault="004779D1" w:rsidP="00180F4B">
            <w:pPr>
              <w:tabs>
                <w:tab w:val="left" w:pos="709"/>
              </w:tabs>
              <w:jc w:val="center"/>
              <w:rPr>
                <w:sz w:val="22"/>
                <w:szCs w:val="22"/>
                <w:lang w:eastAsia="en-US"/>
              </w:rPr>
            </w:pPr>
            <w:r w:rsidRPr="00B778A6">
              <w:rPr>
                <w:sz w:val="22"/>
                <w:szCs w:val="22"/>
                <w:lang w:eastAsia="en-US"/>
              </w:rPr>
              <w:t>1.7.</w:t>
            </w:r>
          </w:p>
        </w:tc>
        <w:tc>
          <w:tcPr>
            <w:tcW w:w="5120" w:type="dxa"/>
            <w:shd w:val="clear" w:color="auto" w:fill="auto"/>
            <w:noWrap/>
            <w:vAlign w:val="center"/>
          </w:tcPr>
          <w:p w:rsidR="004779D1" w:rsidRPr="00B778A6" w:rsidRDefault="004779D1" w:rsidP="00180F4B">
            <w:pPr>
              <w:tabs>
                <w:tab w:val="left" w:pos="709"/>
              </w:tabs>
              <w:jc w:val="both"/>
              <w:rPr>
                <w:sz w:val="22"/>
                <w:szCs w:val="22"/>
                <w:lang w:eastAsia="en-US"/>
              </w:rPr>
            </w:pPr>
            <w:r w:rsidRPr="00B778A6">
              <w:rPr>
                <w:sz w:val="22"/>
                <w:szCs w:val="22"/>
                <w:lang w:eastAsia="en-US"/>
              </w:rPr>
              <w:t>Techninė priežiūra</w:t>
            </w: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r w:rsidRPr="00B778A6">
              <w:rPr>
                <w:sz w:val="22"/>
                <w:szCs w:val="22"/>
                <w:lang w:eastAsia="en-US"/>
              </w:rPr>
              <w:t>X</w:t>
            </w: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r w:rsidRPr="00B778A6">
              <w:rPr>
                <w:sz w:val="22"/>
                <w:szCs w:val="22"/>
                <w:lang w:eastAsia="en-US"/>
              </w:rPr>
              <w:t>X</w:t>
            </w: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r w:rsidRPr="00B778A6">
              <w:rPr>
                <w:sz w:val="22"/>
                <w:szCs w:val="22"/>
                <w:lang w:eastAsia="en-US"/>
              </w:rPr>
              <w:t>X</w:t>
            </w: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r w:rsidRPr="00B778A6">
              <w:rPr>
                <w:sz w:val="22"/>
                <w:szCs w:val="22"/>
                <w:lang w:eastAsia="en-US"/>
              </w:rPr>
              <w:t>X</w:t>
            </w:r>
          </w:p>
        </w:tc>
      </w:tr>
      <w:tr w:rsidR="004779D1" w:rsidRPr="00B778A6" w:rsidTr="00B778A6">
        <w:trPr>
          <w:trHeight w:val="57"/>
          <w:jc w:val="center"/>
        </w:trPr>
        <w:tc>
          <w:tcPr>
            <w:tcW w:w="561" w:type="dxa"/>
            <w:shd w:val="clear" w:color="auto" w:fill="auto"/>
            <w:noWrap/>
            <w:vAlign w:val="center"/>
          </w:tcPr>
          <w:p w:rsidR="004779D1" w:rsidRPr="00B778A6" w:rsidRDefault="004779D1" w:rsidP="00180F4B">
            <w:pPr>
              <w:tabs>
                <w:tab w:val="left" w:pos="709"/>
              </w:tabs>
              <w:jc w:val="center"/>
              <w:rPr>
                <w:sz w:val="22"/>
                <w:szCs w:val="22"/>
                <w:lang w:eastAsia="en-US"/>
              </w:rPr>
            </w:pPr>
            <w:r w:rsidRPr="00B778A6">
              <w:rPr>
                <w:sz w:val="22"/>
                <w:szCs w:val="22"/>
                <w:lang w:eastAsia="en-US"/>
              </w:rPr>
              <w:t>1.8.</w:t>
            </w:r>
          </w:p>
        </w:tc>
        <w:tc>
          <w:tcPr>
            <w:tcW w:w="5120" w:type="dxa"/>
            <w:shd w:val="clear" w:color="auto" w:fill="auto"/>
            <w:noWrap/>
            <w:vAlign w:val="center"/>
          </w:tcPr>
          <w:p w:rsidR="004779D1" w:rsidRPr="00B778A6" w:rsidRDefault="004779D1" w:rsidP="00180F4B">
            <w:pPr>
              <w:tabs>
                <w:tab w:val="left" w:pos="709"/>
              </w:tabs>
              <w:jc w:val="both"/>
              <w:rPr>
                <w:sz w:val="22"/>
                <w:szCs w:val="22"/>
                <w:lang w:eastAsia="en-US"/>
              </w:rPr>
            </w:pPr>
            <w:r w:rsidRPr="00B778A6">
              <w:rPr>
                <w:sz w:val="22"/>
                <w:szCs w:val="22"/>
                <w:lang w:eastAsia="en-US"/>
              </w:rPr>
              <w:t>Statinio projekto vykdymo priežiūra</w:t>
            </w: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r w:rsidRPr="00B778A6">
              <w:rPr>
                <w:sz w:val="22"/>
                <w:szCs w:val="22"/>
                <w:lang w:eastAsia="en-US"/>
              </w:rPr>
              <w:t>X</w:t>
            </w: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r w:rsidRPr="00B778A6">
              <w:rPr>
                <w:sz w:val="22"/>
                <w:szCs w:val="22"/>
                <w:lang w:eastAsia="en-US"/>
              </w:rPr>
              <w:t>X</w:t>
            </w: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r w:rsidRPr="00B778A6">
              <w:rPr>
                <w:sz w:val="22"/>
                <w:szCs w:val="22"/>
                <w:lang w:eastAsia="en-US"/>
              </w:rPr>
              <w:t>X</w:t>
            </w:r>
          </w:p>
        </w:tc>
        <w:tc>
          <w:tcPr>
            <w:tcW w:w="485" w:type="dxa"/>
            <w:shd w:val="clear" w:color="auto" w:fill="FFFFFF"/>
            <w:noWrap/>
            <w:vAlign w:val="center"/>
          </w:tcPr>
          <w:p w:rsidR="004779D1" w:rsidRPr="00B778A6" w:rsidRDefault="004779D1" w:rsidP="005F1890">
            <w:pPr>
              <w:tabs>
                <w:tab w:val="left" w:pos="709"/>
              </w:tabs>
              <w:jc w:val="center"/>
              <w:rPr>
                <w:sz w:val="22"/>
                <w:szCs w:val="22"/>
                <w:lang w:eastAsia="en-US"/>
              </w:rPr>
            </w:pPr>
            <w:r w:rsidRPr="00B778A6">
              <w:rPr>
                <w:sz w:val="22"/>
                <w:szCs w:val="22"/>
                <w:lang w:eastAsia="en-US"/>
              </w:rPr>
              <w:t>X</w:t>
            </w:r>
          </w:p>
        </w:tc>
      </w:tr>
    </w:tbl>
    <w:p w:rsidR="001A28E4" w:rsidRPr="00B778A6" w:rsidRDefault="001A28E4" w:rsidP="0054472A">
      <w:pPr>
        <w:ind w:firstLine="720"/>
        <w:jc w:val="center"/>
      </w:pPr>
    </w:p>
    <w:p w:rsidR="00772321" w:rsidRPr="00B778A6" w:rsidRDefault="00772321" w:rsidP="00772321">
      <w:pPr>
        <w:ind w:firstLine="720"/>
      </w:pPr>
      <w:r w:rsidRPr="00B778A6">
        <w:t>Projektas įgyvendinamas vienu etapu.</w:t>
      </w:r>
    </w:p>
    <w:p w:rsidR="001A28E4" w:rsidRPr="00B778A6" w:rsidRDefault="001A28E4" w:rsidP="00605842">
      <w:pPr>
        <w:tabs>
          <w:tab w:val="left" w:pos="720"/>
        </w:tabs>
        <w:ind w:firstLine="720"/>
        <w:jc w:val="both"/>
        <w:rPr>
          <w:lang w:eastAsia="en-US"/>
        </w:rPr>
      </w:pPr>
    </w:p>
    <w:p w:rsidR="001A28E4" w:rsidRPr="00B778A6" w:rsidRDefault="001A28E4" w:rsidP="00605842">
      <w:pPr>
        <w:tabs>
          <w:tab w:val="left" w:pos="720"/>
        </w:tabs>
        <w:ind w:firstLine="720"/>
        <w:jc w:val="both"/>
        <w:rPr>
          <w:lang w:eastAsia="en-US"/>
        </w:rPr>
      </w:pPr>
    </w:p>
    <w:p w:rsidR="001A28E4" w:rsidRPr="00B778A6" w:rsidRDefault="001A28E4" w:rsidP="00605842">
      <w:pPr>
        <w:tabs>
          <w:tab w:val="left" w:pos="720"/>
        </w:tabs>
        <w:ind w:firstLine="720"/>
        <w:jc w:val="both"/>
        <w:rPr>
          <w:lang w:eastAsia="en-US"/>
        </w:rPr>
      </w:pPr>
    </w:p>
    <w:p w:rsidR="00605842" w:rsidRPr="00B778A6" w:rsidRDefault="001A28E4" w:rsidP="00605842">
      <w:pPr>
        <w:tabs>
          <w:tab w:val="left" w:pos="720"/>
        </w:tabs>
        <w:ind w:firstLine="720"/>
        <w:jc w:val="both"/>
        <w:rPr>
          <w:lang w:eastAsia="en-US"/>
        </w:rPr>
      </w:pPr>
      <w:r w:rsidRPr="00B778A6">
        <w:rPr>
          <w:lang w:eastAsia="en-US"/>
        </w:rPr>
        <w:br w:type="page"/>
      </w:r>
      <w:r w:rsidR="00605842" w:rsidRPr="00B778A6">
        <w:rPr>
          <w:lang w:eastAsia="en-US"/>
        </w:rPr>
        <w:lastRenderedPageBreak/>
        <w:t>Projekto veiklų sudedamųjų dalių aprašymas:</w:t>
      </w:r>
    </w:p>
    <w:p w:rsidR="00605842" w:rsidRPr="00B778A6" w:rsidRDefault="00605842" w:rsidP="00605842">
      <w:pPr>
        <w:pStyle w:val="ColorfulList-Accent11"/>
        <w:ind w:left="360"/>
        <w:rPr>
          <w:szCs w:val="24"/>
        </w:rPr>
      </w:pPr>
    </w:p>
    <w:p w:rsidR="00605842" w:rsidRPr="00B778A6" w:rsidRDefault="00A36DDC" w:rsidP="00605842">
      <w:pPr>
        <w:pStyle w:val="ColorfulList-Accent11"/>
        <w:ind w:left="0"/>
        <w:jc w:val="center"/>
        <w:rPr>
          <w:b/>
          <w:szCs w:val="24"/>
        </w:rPr>
      </w:pPr>
      <w:r w:rsidRPr="00B778A6">
        <w:rPr>
          <w:b/>
          <w:szCs w:val="24"/>
        </w:rPr>
        <w:t xml:space="preserve">7.1.2. </w:t>
      </w:r>
      <w:r w:rsidR="00B778A6">
        <w:rPr>
          <w:b/>
          <w:szCs w:val="24"/>
        </w:rPr>
        <w:t>l</w:t>
      </w:r>
      <w:r w:rsidR="00B778A6" w:rsidRPr="00B778A6">
        <w:rPr>
          <w:b/>
          <w:szCs w:val="24"/>
        </w:rPr>
        <w:t>entelė</w:t>
      </w:r>
      <w:r w:rsidR="00605842" w:rsidRPr="00B778A6">
        <w:rPr>
          <w:b/>
          <w:szCs w:val="24"/>
        </w:rPr>
        <w:t>. Projekto veiklų sudedamųjų dalių aprašymas</w:t>
      </w:r>
    </w:p>
    <w:tbl>
      <w:tblPr>
        <w:tblW w:w="9484" w:type="dxa"/>
        <w:jc w:val="center"/>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2502"/>
        <w:gridCol w:w="6442"/>
      </w:tblGrid>
      <w:tr w:rsidR="00605842" w:rsidRPr="00B778A6" w:rsidTr="006B0DF9">
        <w:trPr>
          <w:trHeight w:val="57"/>
          <w:tblHeader/>
          <w:jc w:val="center"/>
        </w:trPr>
        <w:tc>
          <w:tcPr>
            <w:tcW w:w="540" w:type="dxa"/>
            <w:shd w:val="clear" w:color="auto" w:fill="D9D9D9"/>
            <w:vAlign w:val="center"/>
          </w:tcPr>
          <w:p w:rsidR="00605842" w:rsidRPr="00B778A6" w:rsidRDefault="00605842" w:rsidP="00CD02E2">
            <w:pPr>
              <w:jc w:val="center"/>
              <w:rPr>
                <w:b/>
                <w:sz w:val="22"/>
                <w:szCs w:val="22"/>
                <w:lang w:eastAsia="en-US"/>
              </w:rPr>
            </w:pPr>
            <w:r w:rsidRPr="00B778A6">
              <w:rPr>
                <w:b/>
                <w:sz w:val="22"/>
                <w:szCs w:val="22"/>
                <w:lang w:eastAsia="en-US"/>
              </w:rPr>
              <w:t>Eil. Nr.</w:t>
            </w:r>
          </w:p>
        </w:tc>
        <w:tc>
          <w:tcPr>
            <w:tcW w:w="2502" w:type="dxa"/>
            <w:shd w:val="clear" w:color="auto" w:fill="D9D9D9"/>
            <w:vAlign w:val="center"/>
          </w:tcPr>
          <w:p w:rsidR="00605842" w:rsidRPr="00B778A6" w:rsidRDefault="00605842" w:rsidP="00CD02E2">
            <w:pPr>
              <w:jc w:val="center"/>
              <w:rPr>
                <w:b/>
                <w:sz w:val="22"/>
                <w:szCs w:val="22"/>
                <w:lang w:eastAsia="en-US"/>
              </w:rPr>
            </w:pPr>
            <w:r w:rsidRPr="00B778A6">
              <w:rPr>
                <w:b/>
                <w:sz w:val="22"/>
                <w:szCs w:val="22"/>
                <w:lang w:eastAsia="en-US"/>
              </w:rPr>
              <w:t>Veikla</w:t>
            </w:r>
          </w:p>
        </w:tc>
        <w:tc>
          <w:tcPr>
            <w:tcW w:w="6442" w:type="dxa"/>
            <w:shd w:val="clear" w:color="auto" w:fill="D9D9D9"/>
            <w:vAlign w:val="center"/>
          </w:tcPr>
          <w:p w:rsidR="00605842" w:rsidRPr="00B778A6" w:rsidRDefault="00605842" w:rsidP="00CD02E2">
            <w:pPr>
              <w:jc w:val="center"/>
              <w:rPr>
                <w:b/>
                <w:sz w:val="22"/>
                <w:szCs w:val="22"/>
                <w:lang w:eastAsia="en-US"/>
              </w:rPr>
            </w:pPr>
            <w:r w:rsidRPr="00B778A6">
              <w:rPr>
                <w:b/>
                <w:sz w:val="22"/>
                <w:szCs w:val="22"/>
                <w:lang w:eastAsia="en-US"/>
              </w:rPr>
              <w:t>Apibūdinimas</w:t>
            </w:r>
          </w:p>
        </w:tc>
      </w:tr>
      <w:tr w:rsidR="00605842" w:rsidRPr="00B778A6" w:rsidTr="006B0DF9">
        <w:trPr>
          <w:trHeight w:val="57"/>
          <w:jc w:val="center"/>
        </w:trPr>
        <w:tc>
          <w:tcPr>
            <w:tcW w:w="540" w:type="dxa"/>
            <w:vAlign w:val="center"/>
          </w:tcPr>
          <w:p w:rsidR="00605842" w:rsidRPr="00B778A6" w:rsidRDefault="00605842" w:rsidP="00CD02E2">
            <w:pPr>
              <w:jc w:val="center"/>
              <w:rPr>
                <w:sz w:val="22"/>
                <w:szCs w:val="22"/>
                <w:lang w:eastAsia="en-US"/>
              </w:rPr>
            </w:pPr>
            <w:r w:rsidRPr="00B778A6">
              <w:rPr>
                <w:sz w:val="22"/>
                <w:szCs w:val="22"/>
                <w:lang w:eastAsia="en-US"/>
              </w:rPr>
              <w:t>1.</w:t>
            </w:r>
          </w:p>
        </w:tc>
        <w:tc>
          <w:tcPr>
            <w:tcW w:w="2502" w:type="dxa"/>
            <w:vAlign w:val="center"/>
          </w:tcPr>
          <w:p w:rsidR="00605842" w:rsidRPr="00B778A6" w:rsidRDefault="00605842" w:rsidP="006B0DF9">
            <w:pPr>
              <w:jc w:val="center"/>
              <w:rPr>
                <w:sz w:val="22"/>
                <w:szCs w:val="22"/>
                <w:lang w:eastAsia="en-US"/>
              </w:rPr>
            </w:pPr>
            <w:r w:rsidRPr="00B778A6">
              <w:rPr>
                <w:sz w:val="22"/>
                <w:szCs w:val="22"/>
                <w:lang w:eastAsia="en-US"/>
              </w:rPr>
              <w:t>Investicijų projekto bei energijos vartojimo audito ataskaitos parengimo paslaugų pirkimas ir investicijų projekto bei energijos vartojimo audito ataskaitos rengimas</w:t>
            </w:r>
          </w:p>
        </w:tc>
        <w:tc>
          <w:tcPr>
            <w:tcW w:w="6442" w:type="dxa"/>
          </w:tcPr>
          <w:p w:rsidR="00605842" w:rsidRPr="00B778A6" w:rsidRDefault="00605842" w:rsidP="00605842">
            <w:pPr>
              <w:jc w:val="both"/>
              <w:rPr>
                <w:sz w:val="22"/>
                <w:szCs w:val="22"/>
                <w:lang w:eastAsia="en-US"/>
              </w:rPr>
            </w:pPr>
            <w:r w:rsidRPr="00B778A6">
              <w:rPr>
                <w:sz w:val="22"/>
                <w:szCs w:val="22"/>
                <w:lang w:eastAsia="en-US"/>
              </w:rPr>
              <w:t>Investicijų projektas ir energijos vartojimo audito ataskaita yra privalomas dokumentas siekiant projekto finansavimo Viešųjų pastatų energinio efektyvumo didinimo programos lėšomis. Dokumentus parengė viešųjų pirkimų konkursą laimėjusi UAB „</w:t>
            </w:r>
            <w:r w:rsidR="00416D93" w:rsidRPr="00B778A6">
              <w:rPr>
                <w:sz w:val="22"/>
                <w:szCs w:val="22"/>
                <w:lang w:eastAsia="en-US"/>
              </w:rPr>
              <w:t>Geotaškas</w:t>
            </w:r>
            <w:r w:rsidRPr="00B778A6">
              <w:rPr>
                <w:sz w:val="22"/>
                <w:szCs w:val="22"/>
                <w:lang w:eastAsia="en-US"/>
              </w:rPr>
              <w:t>“.</w:t>
            </w:r>
          </w:p>
        </w:tc>
      </w:tr>
      <w:tr w:rsidR="00605842" w:rsidRPr="00B778A6" w:rsidTr="006B0DF9">
        <w:trPr>
          <w:trHeight w:val="57"/>
          <w:jc w:val="center"/>
        </w:trPr>
        <w:tc>
          <w:tcPr>
            <w:tcW w:w="540" w:type="dxa"/>
            <w:vAlign w:val="center"/>
          </w:tcPr>
          <w:p w:rsidR="00605842" w:rsidRPr="00B778A6" w:rsidRDefault="00605842" w:rsidP="00CD02E2">
            <w:pPr>
              <w:jc w:val="center"/>
              <w:rPr>
                <w:sz w:val="22"/>
                <w:szCs w:val="22"/>
                <w:lang w:eastAsia="en-US"/>
              </w:rPr>
            </w:pPr>
            <w:r w:rsidRPr="00B778A6">
              <w:rPr>
                <w:sz w:val="22"/>
                <w:szCs w:val="22"/>
                <w:lang w:eastAsia="en-US"/>
              </w:rPr>
              <w:t>2.</w:t>
            </w:r>
          </w:p>
        </w:tc>
        <w:tc>
          <w:tcPr>
            <w:tcW w:w="2502" w:type="dxa"/>
            <w:vAlign w:val="center"/>
          </w:tcPr>
          <w:p w:rsidR="00605842" w:rsidRPr="00B778A6" w:rsidRDefault="00605842" w:rsidP="00CD02E2">
            <w:pPr>
              <w:jc w:val="center"/>
              <w:rPr>
                <w:sz w:val="22"/>
                <w:szCs w:val="22"/>
                <w:lang w:eastAsia="en-US"/>
              </w:rPr>
            </w:pPr>
            <w:r w:rsidRPr="00B778A6">
              <w:rPr>
                <w:sz w:val="22"/>
                <w:szCs w:val="22"/>
                <w:lang w:eastAsia="en-US"/>
              </w:rPr>
              <w:t>Projektavimo ir statinio projekto vykdymo priežiūros paslaugų pirkimas, projektavimas, statinio projekto vykdymo priežiūra</w:t>
            </w:r>
          </w:p>
        </w:tc>
        <w:tc>
          <w:tcPr>
            <w:tcW w:w="6442" w:type="dxa"/>
          </w:tcPr>
          <w:p w:rsidR="00605842" w:rsidRPr="00B778A6" w:rsidRDefault="00605842" w:rsidP="00CD02E2">
            <w:pPr>
              <w:jc w:val="both"/>
              <w:rPr>
                <w:sz w:val="22"/>
                <w:szCs w:val="22"/>
                <w:lang w:eastAsia="en-US"/>
              </w:rPr>
            </w:pPr>
            <w:r w:rsidRPr="00B778A6">
              <w:rPr>
                <w:sz w:val="22"/>
                <w:szCs w:val="22"/>
                <w:lang w:eastAsia="en-US"/>
              </w:rPr>
              <w:t>Projektavimas yra būtina statybos proceso dalis ir priklauso projektavimo ir inžinerinių paslaugų grupei. Rengėjas atsakingas už statybos leidimų gavimą. Techninį projektą parengs viešųjų pirkimų konkursą laimėjusi projektavimo įmonė.</w:t>
            </w:r>
          </w:p>
          <w:p w:rsidR="00605842" w:rsidRPr="00B778A6" w:rsidRDefault="00605842" w:rsidP="00CD02E2">
            <w:pPr>
              <w:jc w:val="both"/>
              <w:rPr>
                <w:sz w:val="22"/>
                <w:szCs w:val="22"/>
                <w:lang w:eastAsia="en-US"/>
              </w:rPr>
            </w:pPr>
            <w:r w:rsidRPr="00B778A6">
              <w:rPr>
                <w:sz w:val="22"/>
                <w:szCs w:val="22"/>
                <w:lang w:eastAsia="en-US"/>
              </w:rPr>
              <w:t>Taip pat projekto metu bus atliekama statinio projekto vykdymo priežiūra, kurios tikslas kontroliuoti, ar laikomasi techninio projekto. Statinio projekto vykdymo priežiūra yra privaloma ypatingiems statiniams, kurie yra visuomeninės paskirties ir skirti daugiau nei 100 asmenų, o taip pat kultūros paveldo pastatams ir kt., kaip išvardinta LR Statybos įstatyme. Šią priežiūrą atliks viešųjų pirkimų konkursą laimėjusi įmonė.</w:t>
            </w:r>
          </w:p>
        </w:tc>
      </w:tr>
      <w:tr w:rsidR="00605842" w:rsidRPr="00B778A6" w:rsidTr="006B0DF9">
        <w:trPr>
          <w:trHeight w:val="57"/>
          <w:jc w:val="center"/>
        </w:trPr>
        <w:tc>
          <w:tcPr>
            <w:tcW w:w="540" w:type="dxa"/>
            <w:vAlign w:val="center"/>
          </w:tcPr>
          <w:p w:rsidR="00605842" w:rsidRPr="00B778A6" w:rsidRDefault="00605842" w:rsidP="00CD02E2">
            <w:pPr>
              <w:jc w:val="center"/>
              <w:rPr>
                <w:sz w:val="22"/>
                <w:szCs w:val="22"/>
                <w:lang w:eastAsia="en-US"/>
              </w:rPr>
            </w:pPr>
            <w:r w:rsidRPr="00B778A6">
              <w:rPr>
                <w:sz w:val="22"/>
                <w:szCs w:val="22"/>
                <w:lang w:eastAsia="en-US"/>
              </w:rPr>
              <w:t>3.</w:t>
            </w:r>
          </w:p>
        </w:tc>
        <w:tc>
          <w:tcPr>
            <w:tcW w:w="2502" w:type="dxa"/>
            <w:vAlign w:val="center"/>
          </w:tcPr>
          <w:p w:rsidR="00605842" w:rsidRPr="00B778A6" w:rsidRDefault="00605842" w:rsidP="00CD02E2">
            <w:pPr>
              <w:jc w:val="center"/>
              <w:rPr>
                <w:sz w:val="22"/>
                <w:szCs w:val="22"/>
                <w:lang w:eastAsia="en-US"/>
              </w:rPr>
            </w:pPr>
            <w:r w:rsidRPr="00B778A6">
              <w:rPr>
                <w:sz w:val="22"/>
                <w:szCs w:val="22"/>
                <w:lang w:eastAsia="en-US"/>
              </w:rPr>
              <w:t>Projekto ekspertizės paslaugų pirkimas, projekto ekspertizė</w:t>
            </w:r>
          </w:p>
        </w:tc>
        <w:tc>
          <w:tcPr>
            <w:tcW w:w="6442" w:type="dxa"/>
          </w:tcPr>
          <w:p w:rsidR="00605842" w:rsidRPr="00B778A6" w:rsidRDefault="00605842" w:rsidP="00CD02E2">
            <w:pPr>
              <w:jc w:val="both"/>
              <w:rPr>
                <w:sz w:val="22"/>
                <w:szCs w:val="22"/>
                <w:lang w:eastAsia="en-US"/>
              </w:rPr>
            </w:pPr>
            <w:r w:rsidRPr="00B778A6">
              <w:rPr>
                <w:sz w:val="22"/>
                <w:szCs w:val="22"/>
                <w:lang w:eastAsia="en-US"/>
              </w:rPr>
              <w:t xml:space="preserve">Statinio techninio projekto ekspertizė – įvertinimas kaip statinio projekte įgyvendinti LR Statybos įstatyme nustatyti esminiai statinio reikalavimai, taip pat kitų įstatymų ir teisės aktų, normatyvinių statybos techninių dokumentų bei privalomųjų statinio projekto rengimo dokumentų reikalavimai. </w:t>
            </w:r>
          </w:p>
          <w:p w:rsidR="00605842" w:rsidRPr="00B778A6" w:rsidRDefault="00605842" w:rsidP="00CD02E2">
            <w:pPr>
              <w:jc w:val="both"/>
              <w:rPr>
                <w:sz w:val="22"/>
                <w:szCs w:val="22"/>
                <w:lang w:eastAsia="en-US"/>
              </w:rPr>
            </w:pPr>
            <w:r w:rsidRPr="00B778A6">
              <w:rPr>
                <w:sz w:val="22"/>
                <w:szCs w:val="22"/>
                <w:lang w:eastAsia="en-US"/>
              </w:rPr>
              <w:t>Projekto ekspertizė yra privaloma ypatingiems statiniams, kurie yra visuomeninės paskirties ir skirti daugiau nei 100 asmenų, o taip pat kultūros paveldo pastatams ir kt., kaip išvardinta LR Statybos įstatyme. Ekspertizė būtina atliekant investicijas, finansuojamas Valstybės biudžeto lėšomis. Ekspertizę atliks viešųjų pirkimų konkursą laimėjusi įmonė.</w:t>
            </w:r>
          </w:p>
        </w:tc>
      </w:tr>
      <w:tr w:rsidR="00605842" w:rsidRPr="00B778A6" w:rsidTr="006B0DF9">
        <w:trPr>
          <w:trHeight w:val="57"/>
          <w:jc w:val="center"/>
        </w:trPr>
        <w:tc>
          <w:tcPr>
            <w:tcW w:w="540" w:type="dxa"/>
            <w:vAlign w:val="center"/>
          </w:tcPr>
          <w:p w:rsidR="00605842" w:rsidRPr="00B778A6" w:rsidRDefault="00605842" w:rsidP="00CD02E2">
            <w:pPr>
              <w:jc w:val="center"/>
              <w:rPr>
                <w:sz w:val="22"/>
                <w:szCs w:val="22"/>
                <w:lang w:eastAsia="en-US"/>
              </w:rPr>
            </w:pPr>
            <w:r w:rsidRPr="00B778A6">
              <w:rPr>
                <w:sz w:val="22"/>
                <w:szCs w:val="22"/>
                <w:lang w:eastAsia="en-US"/>
              </w:rPr>
              <w:t>4.</w:t>
            </w:r>
          </w:p>
        </w:tc>
        <w:tc>
          <w:tcPr>
            <w:tcW w:w="2502" w:type="dxa"/>
            <w:vAlign w:val="center"/>
          </w:tcPr>
          <w:p w:rsidR="00605842" w:rsidRPr="00B778A6" w:rsidRDefault="00605842" w:rsidP="00CD02E2">
            <w:pPr>
              <w:jc w:val="center"/>
              <w:rPr>
                <w:sz w:val="22"/>
                <w:szCs w:val="22"/>
                <w:lang w:eastAsia="en-US"/>
              </w:rPr>
            </w:pPr>
            <w:r w:rsidRPr="00B778A6">
              <w:rPr>
                <w:sz w:val="22"/>
                <w:szCs w:val="22"/>
                <w:lang w:eastAsia="en-US"/>
              </w:rPr>
              <w:t>Rangos darbų pirkimas, rangos darbai</w:t>
            </w:r>
          </w:p>
        </w:tc>
        <w:tc>
          <w:tcPr>
            <w:tcW w:w="6442" w:type="dxa"/>
          </w:tcPr>
          <w:p w:rsidR="00605842" w:rsidRPr="00B778A6" w:rsidRDefault="00605842" w:rsidP="00B778A6">
            <w:pPr>
              <w:jc w:val="both"/>
              <w:rPr>
                <w:sz w:val="22"/>
                <w:szCs w:val="22"/>
                <w:lang w:eastAsia="en-US"/>
              </w:rPr>
            </w:pPr>
            <w:r w:rsidRPr="00B778A6">
              <w:rPr>
                <w:sz w:val="22"/>
                <w:szCs w:val="22"/>
                <w:lang w:eastAsia="en-US"/>
              </w:rPr>
              <w:t>Projekto metu numatoma atlikti</w:t>
            </w:r>
            <w:r w:rsidRPr="00B778A6">
              <w:rPr>
                <w:sz w:val="22"/>
                <w:szCs w:val="22"/>
              </w:rPr>
              <w:t xml:space="preserve"> </w:t>
            </w:r>
            <w:r w:rsidR="0033067A" w:rsidRPr="00B778A6">
              <w:rPr>
                <w:sz w:val="22"/>
                <w:szCs w:val="22"/>
              </w:rPr>
              <w:t>Prienų</w:t>
            </w:r>
            <w:r w:rsidRPr="00B778A6">
              <w:rPr>
                <w:sz w:val="22"/>
                <w:szCs w:val="22"/>
              </w:rPr>
              <w:t xml:space="preserve"> </w:t>
            </w:r>
            <w:r w:rsidR="00411565" w:rsidRPr="00B778A6">
              <w:rPr>
                <w:sz w:val="22"/>
                <w:szCs w:val="22"/>
              </w:rPr>
              <w:t>Lopšelio-</w:t>
            </w:r>
            <w:r w:rsidR="003420ED" w:rsidRPr="00B778A6">
              <w:rPr>
                <w:sz w:val="22"/>
                <w:szCs w:val="22"/>
              </w:rPr>
              <w:t xml:space="preserve">darželio Gintarėlis </w:t>
            </w:r>
            <w:r w:rsidRPr="00B778A6">
              <w:rPr>
                <w:sz w:val="22"/>
                <w:szCs w:val="22"/>
              </w:rPr>
              <w:t xml:space="preserve"> pastato energijos efektyvumą padidinančius darbus.</w:t>
            </w:r>
            <w:r w:rsidR="006B0DF9" w:rsidRPr="00B778A6">
              <w:rPr>
                <w:sz w:val="22"/>
                <w:szCs w:val="22"/>
              </w:rPr>
              <w:t xml:space="preserve"> </w:t>
            </w:r>
            <w:r w:rsidRPr="00B778A6">
              <w:rPr>
                <w:sz w:val="22"/>
                <w:szCs w:val="22"/>
                <w:lang w:eastAsia="en-US"/>
              </w:rPr>
              <w:t>Šiuos darbus atliks viešųjų pirkimų konkurso būdu atrinkta rangos bendrovė.</w:t>
            </w:r>
          </w:p>
        </w:tc>
      </w:tr>
      <w:tr w:rsidR="00605842" w:rsidRPr="00B778A6" w:rsidTr="006B0DF9">
        <w:trPr>
          <w:trHeight w:val="57"/>
          <w:jc w:val="center"/>
        </w:trPr>
        <w:tc>
          <w:tcPr>
            <w:tcW w:w="540" w:type="dxa"/>
            <w:vAlign w:val="center"/>
          </w:tcPr>
          <w:p w:rsidR="00605842" w:rsidRPr="00B778A6" w:rsidRDefault="00605842" w:rsidP="00CD02E2">
            <w:pPr>
              <w:jc w:val="center"/>
              <w:rPr>
                <w:sz w:val="22"/>
                <w:szCs w:val="22"/>
                <w:lang w:eastAsia="en-US"/>
              </w:rPr>
            </w:pPr>
            <w:r w:rsidRPr="00B778A6">
              <w:rPr>
                <w:sz w:val="22"/>
                <w:szCs w:val="22"/>
                <w:lang w:eastAsia="en-US"/>
              </w:rPr>
              <w:t>5.</w:t>
            </w:r>
          </w:p>
        </w:tc>
        <w:tc>
          <w:tcPr>
            <w:tcW w:w="2502" w:type="dxa"/>
            <w:vAlign w:val="center"/>
          </w:tcPr>
          <w:p w:rsidR="00605842" w:rsidRPr="00B778A6" w:rsidRDefault="00605842" w:rsidP="00CD02E2">
            <w:pPr>
              <w:jc w:val="center"/>
              <w:rPr>
                <w:sz w:val="22"/>
                <w:szCs w:val="22"/>
                <w:lang w:eastAsia="en-US"/>
              </w:rPr>
            </w:pPr>
            <w:r w:rsidRPr="00B778A6">
              <w:rPr>
                <w:sz w:val="22"/>
                <w:szCs w:val="22"/>
                <w:lang w:eastAsia="en-US"/>
              </w:rPr>
              <w:t xml:space="preserve">Techninės priežiūros paslaugų pirkimas, techninė priežiūra </w:t>
            </w:r>
          </w:p>
        </w:tc>
        <w:tc>
          <w:tcPr>
            <w:tcW w:w="6442" w:type="dxa"/>
          </w:tcPr>
          <w:p w:rsidR="00605842" w:rsidRPr="00B778A6" w:rsidRDefault="00605842" w:rsidP="00CD02E2">
            <w:pPr>
              <w:jc w:val="both"/>
              <w:rPr>
                <w:sz w:val="22"/>
                <w:szCs w:val="22"/>
                <w:lang w:eastAsia="en-US"/>
              </w:rPr>
            </w:pPr>
            <w:r w:rsidRPr="00B778A6">
              <w:rPr>
                <w:sz w:val="22"/>
                <w:szCs w:val="22"/>
                <w:lang w:eastAsia="en-US"/>
              </w:rPr>
              <w:t xml:space="preserve">Statybos darbų metu organizuojama techninė priežiūra, kurios tikslas – kontroliuoti, ar statinys statomas pagal techninį projektą, rangos sutarties, įstatymų, kitų teisės aktų, taip pat normatyvinių statybos techninių dokumentų, normatyvinių saugos ir paskirties dokumentų reikalavimus. Techninę priežiūrą atliks viešųjų pirkimų konkurso būdu atrinkta techninės priežiūros paslaugas teikianti įmonė. </w:t>
            </w:r>
          </w:p>
        </w:tc>
      </w:tr>
    </w:tbl>
    <w:p w:rsidR="00772321" w:rsidRPr="00B778A6" w:rsidRDefault="00772321" w:rsidP="002C68C6">
      <w:pPr>
        <w:pStyle w:val="Heading2"/>
        <w:rPr>
          <w:rFonts w:ascii="Times New Roman" w:hAnsi="Times New Roman"/>
        </w:rPr>
      </w:pPr>
      <w:bookmarkStart w:id="62" w:name="_Toc34924517"/>
    </w:p>
    <w:p w:rsidR="00B84504" w:rsidRPr="00B778A6" w:rsidRDefault="00772321" w:rsidP="002C68C6">
      <w:pPr>
        <w:pStyle w:val="Heading2"/>
        <w:rPr>
          <w:rFonts w:ascii="Times New Roman" w:hAnsi="Times New Roman"/>
        </w:rPr>
      </w:pPr>
      <w:r w:rsidRPr="00B778A6">
        <w:rPr>
          <w:rFonts w:ascii="Times New Roman" w:hAnsi="Times New Roman"/>
          <w:lang w:val="lt-LT"/>
        </w:rPr>
        <w:br w:type="page"/>
      </w:r>
      <w:r w:rsidR="00454B87" w:rsidRPr="00B778A6">
        <w:rPr>
          <w:rFonts w:ascii="Times New Roman" w:hAnsi="Times New Roman"/>
          <w:lang w:val="lt-LT"/>
        </w:rPr>
        <w:lastRenderedPageBreak/>
        <w:t>7</w:t>
      </w:r>
      <w:r w:rsidR="00B84504" w:rsidRPr="00B778A6">
        <w:rPr>
          <w:rFonts w:ascii="Times New Roman" w:hAnsi="Times New Roman"/>
          <w:lang w:val="lt-LT"/>
        </w:rPr>
        <w:t>.2. Projekto vieta</w:t>
      </w:r>
      <w:bookmarkEnd w:id="62"/>
    </w:p>
    <w:p w:rsidR="00B84504" w:rsidRPr="00B778A6" w:rsidRDefault="00B84504" w:rsidP="00B84504">
      <w:pPr>
        <w:ind w:firstLine="720"/>
        <w:jc w:val="both"/>
      </w:pPr>
    </w:p>
    <w:p w:rsidR="00744681" w:rsidRPr="00B778A6" w:rsidRDefault="00744681" w:rsidP="00744681">
      <w:pPr>
        <w:tabs>
          <w:tab w:val="left" w:pos="720"/>
        </w:tabs>
        <w:ind w:firstLine="720"/>
        <w:jc w:val="both"/>
        <w:rPr>
          <w:lang w:eastAsia="en-US"/>
        </w:rPr>
      </w:pPr>
      <w:r w:rsidRPr="00B778A6">
        <w:rPr>
          <w:lang w:eastAsia="en-US"/>
        </w:rPr>
        <w:t>Projekto „</w:t>
      </w:r>
      <w:r w:rsidR="00411565" w:rsidRPr="00B778A6">
        <w:rPr>
          <w:lang w:eastAsia="en-US"/>
        </w:rPr>
        <w:t>Lopšelio-</w:t>
      </w:r>
      <w:r w:rsidR="004779D1" w:rsidRPr="00B778A6">
        <w:rPr>
          <w:lang w:eastAsia="en-US"/>
        </w:rPr>
        <w:t>darželio Gintarėlis modernizavimas</w:t>
      </w:r>
      <w:r w:rsidRPr="00B778A6">
        <w:rPr>
          <w:lang w:eastAsia="en-US"/>
        </w:rPr>
        <w:t xml:space="preserve">“ fizinė vieta apibrėžta investicijų projekto 2.3 skyriuje: </w:t>
      </w:r>
      <w:r w:rsidR="00BE4C10" w:rsidRPr="00B778A6">
        <w:t>Statybininkų g. 17, Prienai</w:t>
      </w:r>
      <w:r w:rsidRPr="00B778A6">
        <w:rPr>
          <w:lang w:eastAsia="en-US"/>
        </w:rPr>
        <w:t>.</w:t>
      </w:r>
    </w:p>
    <w:p w:rsidR="00B84504" w:rsidRPr="00B778A6" w:rsidRDefault="00B84504" w:rsidP="00744681">
      <w:pPr>
        <w:jc w:val="both"/>
      </w:pPr>
    </w:p>
    <w:p w:rsidR="00B84504" w:rsidRPr="00B778A6" w:rsidRDefault="00454B87" w:rsidP="002C68C6">
      <w:pPr>
        <w:pStyle w:val="Heading2"/>
        <w:rPr>
          <w:rFonts w:ascii="Times New Roman" w:hAnsi="Times New Roman"/>
        </w:rPr>
      </w:pPr>
      <w:bookmarkStart w:id="63" w:name="_Toc34924518"/>
      <w:r w:rsidRPr="00B778A6">
        <w:rPr>
          <w:rFonts w:ascii="Times New Roman" w:hAnsi="Times New Roman"/>
          <w:lang w:val="lt-LT"/>
        </w:rPr>
        <w:t>7</w:t>
      </w:r>
      <w:r w:rsidR="00B84504" w:rsidRPr="00B778A6">
        <w:rPr>
          <w:rFonts w:ascii="Times New Roman" w:hAnsi="Times New Roman"/>
          <w:lang w:val="lt-LT"/>
        </w:rPr>
        <w:t>.</w:t>
      </w:r>
      <w:r w:rsidR="00551AEF" w:rsidRPr="00B778A6">
        <w:rPr>
          <w:rFonts w:ascii="Times New Roman" w:hAnsi="Times New Roman"/>
          <w:lang w:val="lt-LT"/>
        </w:rPr>
        <w:t>3</w:t>
      </w:r>
      <w:r w:rsidR="00B84504" w:rsidRPr="00B778A6">
        <w:rPr>
          <w:rFonts w:ascii="Times New Roman" w:hAnsi="Times New Roman"/>
          <w:lang w:val="lt-LT"/>
        </w:rPr>
        <w:t>. Projekto komanda</w:t>
      </w:r>
      <w:bookmarkEnd w:id="63"/>
    </w:p>
    <w:p w:rsidR="00B84504" w:rsidRPr="00B778A6" w:rsidRDefault="00B84504" w:rsidP="00B84504">
      <w:pPr>
        <w:ind w:firstLine="720"/>
        <w:jc w:val="both"/>
      </w:pPr>
    </w:p>
    <w:p w:rsidR="00C3505B" w:rsidRPr="00B778A6" w:rsidRDefault="00C3505B" w:rsidP="00C3505B">
      <w:pPr>
        <w:ind w:firstLine="720"/>
        <w:jc w:val="both"/>
      </w:pPr>
      <w:r w:rsidRPr="00B778A6">
        <w:t xml:space="preserve">Projekto įgyvendinimo komanda bus sudaryta iš </w:t>
      </w:r>
      <w:r w:rsidR="0033067A" w:rsidRPr="00B778A6">
        <w:t>Prienų</w:t>
      </w:r>
      <w:r w:rsidRPr="00B778A6">
        <w:t xml:space="preserve"> rajono savivaldybės administracijos darbuotojų. Projekto komandą sudarys projekto vadovas, projekto finansininkas, kiti grupės nariai. </w:t>
      </w:r>
    </w:p>
    <w:p w:rsidR="00C3505B" w:rsidRPr="00B778A6" w:rsidRDefault="00C3505B" w:rsidP="00B84504">
      <w:pPr>
        <w:ind w:firstLine="720"/>
        <w:jc w:val="both"/>
      </w:pPr>
    </w:p>
    <w:p w:rsidR="00B84504" w:rsidRPr="00B778A6" w:rsidRDefault="00454B87" w:rsidP="002C68C6">
      <w:pPr>
        <w:pStyle w:val="Heading2"/>
        <w:rPr>
          <w:rFonts w:ascii="Times New Roman" w:hAnsi="Times New Roman"/>
        </w:rPr>
      </w:pPr>
      <w:bookmarkStart w:id="64" w:name="_Toc34924519"/>
      <w:r w:rsidRPr="00B778A6">
        <w:rPr>
          <w:rFonts w:ascii="Times New Roman" w:hAnsi="Times New Roman"/>
          <w:lang w:val="lt-LT"/>
        </w:rPr>
        <w:t>7</w:t>
      </w:r>
      <w:r w:rsidR="00B84504" w:rsidRPr="00B778A6">
        <w:rPr>
          <w:rFonts w:ascii="Times New Roman" w:hAnsi="Times New Roman"/>
          <w:lang w:val="lt-LT"/>
        </w:rPr>
        <w:t>.</w:t>
      </w:r>
      <w:r w:rsidR="00551AEF" w:rsidRPr="00B778A6">
        <w:rPr>
          <w:rFonts w:ascii="Times New Roman" w:hAnsi="Times New Roman"/>
          <w:lang w:val="lt-LT"/>
        </w:rPr>
        <w:t>4</w:t>
      </w:r>
      <w:r w:rsidR="00B84504" w:rsidRPr="00B778A6">
        <w:rPr>
          <w:rFonts w:ascii="Times New Roman" w:hAnsi="Times New Roman"/>
          <w:lang w:val="lt-LT"/>
        </w:rPr>
        <w:t>. Projekto prielaidos ir tęstinumas</w:t>
      </w:r>
      <w:bookmarkEnd w:id="64"/>
    </w:p>
    <w:p w:rsidR="00B84504" w:rsidRPr="00B778A6" w:rsidRDefault="00B84504" w:rsidP="00B84504">
      <w:pPr>
        <w:tabs>
          <w:tab w:val="left" w:pos="720"/>
        </w:tabs>
        <w:ind w:firstLine="720"/>
        <w:jc w:val="both"/>
        <w:rPr>
          <w:lang w:eastAsia="en-US"/>
        </w:rPr>
      </w:pPr>
    </w:p>
    <w:p w:rsidR="00C3505B" w:rsidRPr="00B778A6" w:rsidRDefault="00C3505B" w:rsidP="00C3505B">
      <w:pPr>
        <w:tabs>
          <w:tab w:val="left" w:pos="720"/>
        </w:tabs>
        <w:ind w:firstLine="720"/>
        <w:jc w:val="both"/>
        <w:rPr>
          <w:lang w:eastAsia="en-US"/>
        </w:rPr>
      </w:pPr>
      <w:r w:rsidRPr="00B778A6">
        <w:rPr>
          <w:lang w:eastAsia="en-US"/>
        </w:rPr>
        <w:t>Projekto „</w:t>
      </w:r>
      <w:r w:rsidR="00411565" w:rsidRPr="00B778A6">
        <w:rPr>
          <w:lang w:eastAsia="en-US"/>
        </w:rPr>
        <w:t>Lopšelio-</w:t>
      </w:r>
      <w:r w:rsidR="004779D1" w:rsidRPr="00B778A6">
        <w:rPr>
          <w:lang w:eastAsia="en-US"/>
        </w:rPr>
        <w:t>darželio Gintarėlis modernizavimas</w:t>
      </w:r>
      <w:r w:rsidRPr="00B778A6">
        <w:rPr>
          <w:lang w:eastAsia="en-US"/>
        </w:rPr>
        <w:t xml:space="preserve">“ tęstinumą užtikrina jo atitikimas svarbiausiems šalies, </w:t>
      </w:r>
      <w:r w:rsidR="0033067A" w:rsidRPr="00B778A6">
        <w:rPr>
          <w:lang w:eastAsia="en-US"/>
        </w:rPr>
        <w:t>Prienų</w:t>
      </w:r>
      <w:r w:rsidRPr="00B778A6">
        <w:rPr>
          <w:lang w:eastAsia="en-US"/>
        </w:rPr>
        <w:t xml:space="preserve"> rajono ir Alytaus regiono strateginiams dokumentams. </w:t>
      </w:r>
      <w:r w:rsidR="0033067A" w:rsidRPr="00B778A6">
        <w:rPr>
          <w:lang w:eastAsia="en-US"/>
        </w:rPr>
        <w:t>Prienų</w:t>
      </w:r>
      <w:r w:rsidRPr="00B778A6">
        <w:rPr>
          <w:lang w:eastAsia="en-US"/>
        </w:rPr>
        <w:t xml:space="preserve"> rajono savivaldybės taryba yra suinteresuota projekto tęstinumo užtikrinimu. </w:t>
      </w:r>
    </w:p>
    <w:p w:rsidR="00C3505B" w:rsidRPr="00B778A6" w:rsidRDefault="00C3505B" w:rsidP="00C3505B">
      <w:pPr>
        <w:tabs>
          <w:tab w:val="left" w:pos="720"/>
        </w:tabs>
        <w:ind w:firstLine="720"/>
        <w:jc w:val="both"/>
        <w:rPr>
          <w:lang w:eastAsia="en-US"/>
        </w:rPr>
      </w:pPr>
      <w:r w:rsidRPr="00B778A6">
        <w:rPr>
          <w:lang w:eastAsia="en-US"/>
        </w:rPr>
        <w:t xml:space="preserve">Projekto tęstinumas apibūdinamas šiais aspektais: veiklos vykdymo ir organizaciniu, finansiniu bei eksploataciniu: </w:t>
      </w:r>
    </w:p>
    <w:p w:rsidR="00C3505B" w:rsidRPr="00B778A6" w:rsidRDefault="00C3505B" w:rsidP="00C3505B">
      <w:pPr>
        <w:numPr>
          <w:ilvl w:val="0"/>
          <w:numId w:val="9"/>
        </w:numPr>
        <w:tabs>
          <w:tab w:val="left" w:pos="720"/>
        </w:tabs>
        <w:jc w:val="both"/>
        <w:rPr>
          <w:lang w:eastAsia="en-US"/>
        </w:rPr>
      </w:pPr>
      <w:r w:rsidRPr="00B778A6">
        <w:rPr>
          <w:b/>
          <w:lang w:eastAsia="en-US"/>
        </w:rPr>
        <w:t>Veiklos vykdymo ir organizacinis</w:t>
      </w:r>
      <w:r w:rsidRPr="00B778A6">
        <w:rPr>
          <w:lang w:eastAsia="en-US"/>
        </w:rPr>
        <w:t xml:space="preserve"> tęstinumas bus užtikrintas, kadangi modernizuota infrastruktūra nuosavybės teise priklausys </w:t>
      </w:r>
      <w:r w:rsidR="0033067A" w:rsidRPr="00B778A6">
        <w:rPr>
          <w:lang w:eastAsia="en-US"/>
        </w:rPr>
        <w:t>Prienų</w:t>
      </w:r>
      <w:r w:rsidRPr="00B778A6">
        <w:rPr>
          <w:lang w:eastAsia="en-US"/>
        </w:rPr>
        <w:t xml:space="preserve"> rajono savivaldyb</w:t>
      </w:r>
      <w:r w:rsidR="00372AE8" w:rsidRPr="00B778A6">
        <w:rPr>
          <w:lang w:eastAsia="en-US"/>
        </w:rPr>
        <w:t xml:space="preserve">ei. </w:t>
      </w:r>
      <w:r w:rsidRPr="00B778A6">
        <w:rPr>
          <w:lang w:eastAsia="en-US"/>
        </w:rPr>
        <w:t>Po projekto įgyvendinimo modernizuotos infrastruktūros savininko keisti nenumatoma. Savivaldybės administracija yra suinteresuota nuosavybės teise valdomos infrastruktūros tinkamu funkcionavimu ilguoju laikotarpiu.</w:t>
      </w:r>
    </w:p>
    <w:p w:rsidR="00C3505B" w:rsidRPr="00B778A6" w:rsidRDefault="00C3505B" w:rsidP="00C3505B">
      <w:pPr>
        <w:numPr>
          <w:ilvl w:val="0"/>
          <w:numId w:val="9"/>
        </w:numPr>
        <w:tabs>
          <w:tab w:val="left" w:pos="720"/>
        </w:tabs>
        <w:jc w:val="both"/>
        <w:rPr>
          <w:lang w:eastAsia="en-US"/>
        </w:rPr>
      </w:pPr>
      <w:r w:rsidRPr="00B778A6">
        <w:rPr>
          <w:b/>
          <w:lang w:eastAsia="en-US"/>
        </w:rPr>
        <w:t>Finansinis</w:t>
      </w:r>
      <w:r w:rsidRPr="00B778A6">
        <w:rPr>
          <w:lang w:eastAsia="en-US"/>
        </w:rPr>
        <w:t xml:space="preserve"> projekto tęstinumas. Pasibaigus projekto finansavimui, sukurtų produktų finansinis tęstinumas bus užtikrintas iš </w:t>
      </w:r>
      <w:r w:rsidR="0033067A" w:rsidRPr="00B778A6">
        <w:rPr>
          <w:lang w:eastAsia="en-US"/>
        </w:rPr>
        <w:t>Prienų</w:t>
      </w:r>
      <w:r w:rsidRPr="00B778A6">
        <w:rPr>
          <w:lang w:eastAsia="en-US"/>
        </w:rPr>
        <w:t xml:space="preserve"> rajono savivaldybės biudžeto lėšų. </w:t>
      </w:r>
    </w:p>
    <w:p w:rsidR="00C3505B" w:rsidRPr="00B778A6" w:rsidRDefault="00C3505B" w:rsidP="00C3505B">
      <w:pPr>
        <w:numPr>
          <w:ilvl w:val="0"/>
          <w:numId w:val="9"/>
        </w:numPr>
        <w:tabs>
          <w:tab w:val="left" w:pos="720"/>
        </w:tabs>
        <w:jc w:val="both"/>
        <w:rPr>
          <w:lang w:eastAsia="en-US"/>
        </w:rPr>
      </w:pPr>
      <w:r w:rsidRPr="00B778A6">
        <w:rPr>
          <w:b/>
          <w:lang w:eastAsia="en-US"/>
        </w:rPr>
        <w:t>Eksploatacinis</w:t>
      </w:r>
      <w:r w:rsidRPr="00B778A6">
        <w:rPr>
          <w:lang w:eastAsia="en-US"/>
        </w:rPr>
        <w:t xml:space="preserve"> projekto tęstinumas. Darbų metu numatoma naudoti modernias bei ilgaamžes technologijas, todėl planuojama, </w:t>
      </w:r>
      <w:r w:rsidR="00FB71F9" w:rsidRPr="00B778A6">
        <w:rPr>
          <w:lang w:eastAsia="en-US"/>
        </w:rPr>
        <w:t>kad</w:t>
      </w:r>
      <w:r w:rsidRPr="00B778A6">
        <w:rPr>
          <w:lang w:eastAsia="en-US"/>
        </w:rPr>
        <w:t xml:space="preserve"> pastato (įgyvendintų energiją taupančių priemonių) nereikės remontuoti bent </w:t>
      </w:r>
      <w:r w:rsidR="008F6770" w:rsidRPr="00B778A6">
        <w:rPr>
          <w:lang w:eastAsia="en-US"/>
        </w:rPr>
        <w:t>25 metus</w:t>
      </w:r>
      <w:r w:rsidRPr="00B778A6">
        <w:rPr>
          <w:lang w:eastAsia="en-US"/>
        </w:rPr>
        <w:t xml:space="preserve">. Numatoma įpareigoti rangovą įvykdytiems darbams nustatyti garantinį laikotarpį pagal LR teisės aktų normų reikalavimus (garantiniu laikotarpiu visus trūkumus šalins rangovas); po garantinio laikotarpio einamieji remontai, esant būtinybei, atliekami </w:t>
      </w:r>
      <w:r w:rsidR="0033067A" w:rsidRPr="00B778A6">
        <w:rPr>
          <w:lang w:eastAsia="en-US"/>
        </w:rPr>
        <w:t>Prienų</w:t>
      </w:r>
      <w:r w:rsidRPr="00B778A6">
        <w:rPr>
          <w:lang w:eastAsia="en-US"/>
        </w:rPr>
        <w:t xml:space="preserve"> rajono savivaldybės lėšomis. Dėl šių priežasčių modernizuotos infrastruktūros tęstinumas eksploataciniu požiūriu pasibaigus projektui bus užtikrintas ilguoju laikotarpiu.</w:t>
      </w:r>
    </w:p>
    <w:p w:rsidR="00C3505B" w:rsidRPr="00B778A6" w:rsidRDefault="00C3505B" w:rsidP="00C3505B">
      <w:pPr>
        <w:tabs>
          <w:tab w:val="left" w:pos="720"/>
        </w:tabs>
        <w:jc w:val="both"/>
        <w:rPr>
          <w:lang w:eastAsia="en-US"/>
        </w:rPr>
      </w:pPr>
    </w:p>
    <w:p w:rsidR="00FD1BF7" w:rsidRPr="00B778A6" w:rsidRDefault="005F37F7" w:rsidP="00B54573">
      <w:pPr>
        <w:pStyle w:val="Heading1"/>
        <w:rPr>
          <w:rFonts w:ascii="Times New Roman" w:hAnsi="Times New Roman"/>
        </w:rPr>
      </w:pPr>
      <w:r w:rsidRPr="00B778A6">
        <w:rPr>
          <w:rFonts w:ascii="Times New Roman" w:hAnsi="Times New Roman"/>
          <w:lang w:val="lt-LT"/>
        </w:rPr>
        <w:br w:type="page"/>
      </w:r>
      <w:bookmarkStart w:id="65" w:name="_Toc34924520"/>
      <w:r w:rsidR="00FD1BF7" w:rsidRPr="00B778A6">
        <w:rPr>
          <w:rFonts w:ascii="Times New Roman" w:hAnsi="Times New Roman"/>
          <w:lang w:val="lt-LT"/>
        </w:rPr>
        <w:lastRenderedPageBreak/>
        <w:t>IŠVADOS IR PASIŪLYMAI</w:t>
      </w:r>
      <w:bookmarkEnd w:id="65"/>
    </w:p>
    <w:p w:rsidR="00C3505B" w:rsidRPr="00B778A6" w:rsidRDefault="00C3505B" w:rsidP="00C3505B"/>
    <w:p w:rsidR="00C3505B" w:rsidRPr="00B778A6" w:rsidRDefault="00C3505B" w:rsidP="003420ED">
      <w:pPr>
        <w:numPr>
          <w:ilvl w:val="0"/>
          <w:numId w:val="8"/>
        </w:numPr>
        <w:contextualSpacing/>
        <w:jc w:val="both"/>
      </w:pPr>
      <w:r w:rsidRPr="00B778A6">
        <w:t>Projektas „</w:t>
      </w:r>
      <w:r w:rsidR="00411565" w:rsidRPr="00B778A6">
        <w:t>Lopšelio-</w:t>
      </w:r>
      <w:r w:rsidR="004779D1" w:rsidRPr="00B778A6">
        <w:t>darželio Gintarėlis modernizavimas</w:t>
      </w:r>
      <w:r w:rsidR="00A36DDC" w:rsidRPr="00B778A6">
        <w:t>“</w:t>
      </w:r>
      <w:r w:rsidR="00867822" w:rsidRPr="00B778A6">
        <w:t xml:space="preserve"> </w:t>
      </w:r>
      <w:r w:rsidRPr="00B778A6">
        <w:t xml:space="preserve">yra labai aktualus </w:t>
      </w:r>
      <w:r w:rsidR="00534993">
        <w:t xml:space="preserve">6io </w:t>
      </w:r>
      <w:r w:rsidR="00411565" w:rsidRPr="00B778A6">
        <w:t>opšelio-</w:t>
      </w:r>
      <w:r w:rsidR="003420ED" w:rsidRPr="00B778A6">
        <w:t xml:space="preserve">darželio Gintarėlis </w:t>
      </w:r>
      <w:r w:rsidR="00534993">
        <w:t xml:space="preserve">vaikams, </w:t>
      </w:r>
      <w:r w:rsidR="00A36DDC" w:rsidRPr="00B778A6">
        <w:t>darbuotojams ir visiems rajono gyventojams</w:t>
      </w:r>
      <w:r w:rsidRPr="00B778A6">
        <w:t xml:space="preserve">, nes bus pagerintos pastato energetinės savybės (taip </w:t>
      </w:r>
      <w:r w:rsidR="008F6770" w:rsidRPr="00B778A6">
        <w:t>sumažinant pastato išlaikymo sąnaudas</w:t>
      </w:r>
      <w:r w:rsidRPr="00B778A6">
        <w:t xml:space="preserve"> ir p</w:t>
      </w:r>
      <w:r w:rsidR="00DA1A2F" w:rsidRPr="00B778A6">
        <w:t>agerinant patalpų mikroklimatą), didinama energetinė nepriklausomybė</w:t>
      </w:r>
      <w:r w:rsidR="00534993">
        <w:t>.</w:t>
      </w:r>
    </w:p>
    <w:p w:rsidR="00C3505B" w:rsidRPr="00B778A6" w:rsidRDefault="00C3505B" w:rsidP="00C3505B">
      <w:pPr>
        <w:numPr>
          <w:ilvl w:val="0"/>
          <w:numId w:val="8"/>
        </w:numPr>
        <w:contextualSpacing/>
        <w:jc w:val="both"/>
      </w:pPr>
      <w:r w:rsidRPr="00B778A6">
        <w:t xml:space="preserve">Projektas visapusiškai įvertintas vadovaujantis Investicijų projektų, kuriems siekiama gauti finansavimą iš Europos Sąjungos struktūrinės paramos ir valstybės </w:t>
      </w:r>
      <w:r w:rsidR="008F6770" w:rsidRPr="00B778A6">
        <w:t xml:space="preserve">biudžeto lėšų, rengimo metodika, </w:t>
      </w:r>
      <w:r w:rsidRPr="00B778A6">
        <w:t>Metodikos ir modelio, skirto įvertinti investicijų, finansuojamų Europos Sąjungos struktūrinių fondų ir Lietuvos nacionalinio biudžeto lėšomis, socialinį-ekonominį poveikį, sukūrimas galuti</w:t>
      </w:r>
      <w:r w:rsidR="008F6770" w:rsidRPr="00B778A6">
        <w:t>ne ataskaita</w:t>
      </w:r>
      <w:r w:rsidRPr="00B778A6">
        <w:t xml:space="preserve">. </w:t>
      </w:r>
    </w:p>
    <w:p w:rsidR="00C3505B" w:rsidRPr="00B778A6" w:rsidRDefault="00C3505B" w:rsidP="00C3505B">
      <w:pPr>
        <w:numPr>
          <w:ilvl w:val="0"/>
          <w:numId w:val="8"/>
        </w:numPr>
        <w:tabs>
          <w:tab w:val="left" w:pos="720"/>
        </w:tabs>
        <w:jc w:val="both"/>
      </w:pPr>
      <w:r w:rsidRPr="00B778A6">
        <w:rPr>
          <w:lang w:eastAsia="en-US"/>
        </w:rPr>
        <w:t xml:space="preserve">Projektą siūloma </w:t>
      </w:r>
      <w:r w:rsidR="00C303E0" w:rsidRPr="00B778A6">
        <w:rPr>
          <w:lang w:eastAsia="en-US"/>
        </w:rPr>
        <w:t>įgyvendinti</w:t>
      </w:r>
      <w:r w:rsidR="00A36DDC" w:rsidRPr="00B778A6">
        <w:rPr>
          <w:lang w:eastAsia="en-US"/>
        </w:rPr>
        <w:t>,</w:t>
      </w:r>
      <w:r w:rsidR="00C303E0" w:rsidRPr="00B778A6">
        <w:rPr>
          <w:lang w:eastAsia="en-US"/>
        </w:rPr>
        <w:t xml:space="preserve"> </w:t>
      </w:r>
      <w:r w:rsidR="00FB71F9" w:rsidRPr="00B778A6">
        <w:rPr>
          <w:lang w:eastAsia="en-US"/>
        </w:rPr>
        <w:t>finansuo</w:t>
      </w:r>
      <w:r w:rsidR="00A36DDC" w:rsidRPr="00B778A6">
        <w:rPr>
          <w:lang w:eastAsia="en-US"/>
        </w:rPr>
        <w:t>ti</w:t>
      </w:r>
      <w:r w:rsidR="00FB71F9" w:rsidRPr="00B778A6">
        <w:rPr>
          <w:lang w:eastAsia="en-US"/>
        </w:rPr>
        <w:t xml:space="preserve"> </w:t>
      </w:r>
      <w:r w:rsidR="00DA1A2F" w:rsidRPr="00B778A6">
        <w:rPr>
          <w:lang w:eastAsia="en-US"/>
        </w:rPr>
        <w:t>paskolos</w:t>
      </w:r>
      <w:r w:rsidR="00FB71F9" w:rsidRPr="00B778A6">
        <w:rPr>
          <w:lang w:eastAsia="en-US"/>
        </w:rPr>
        <w:t xml:space="preserve"> lėšomis</w:t>
      </w:r>
      <w:r w:rsidRPr="00B778A6">
        <w:rPr>
          <w:lang w:eastAsia="en-US"/>
        </w:rPr>
        <w:t>.</w:t>
      </w:r>
    </w:p>
    <w:p w:rsidR="00C3505B" w:rsidRPr="00B778A6" w:rsidRDefault="00C3505B" w:rsidP="00C3505B"/>
    <w:p w:rsidR="00B54573" w:rsidRPr="00B778A6" w:rsidRDefault="00B54573" w:rsidP="00B54573">
      <w:pPr>
        <w:pStyle w:val="Heading1"/>
        <w:rPr>
          <w:rFonts w:ascii="Times New Roman" w:hAnsi="Times New Roman"/>
        </w:rPr>
      </w:pPr>
      <w:r w:rsidRPr="00B778A6">
        <w:rPr>
          <w:rFonts w:ascii="Times New Roman" w:hAnsi="Times New Roman"/>
          <w:lang w:val="lt-LT"/>
        </w:rPr>
        <w:br w:type="page"/>
      </w:r>
      <w:bookmarkStart w:id="66" w:name="_Toc34924521"/>
      <w:r w:rsidRPr="00B778A6">
        <w:rPr>
          <w:rFonts w:ascii="Times New Roman" w:hAnsi="Times New Roman"/>
          <w:lang w:val="lt-LT"/>
        </w:rPr>
        <w:lastRenderedPageBreak/>
        <w:t>PRIEDAI</w:t>
      </w:r>
      <w:bookmarkEnd w:id="66"/>
    </w:p>
    <w:p w:rsidR="00820FB0" w:rsidRPr="00B778A6" w:rsidRDefault="00820FB0" w:rsidP="00820FB0"/>
    <w:p w:rsidR="00D57BFF" w:rsidRPr="00B778A6" w:rsidRDefault="00C83AA1" w:rsidP="00C83AA1">
      <w:pPr>
        <w:numPr>
          <w:ilvl w:val="0"/>
          <w:numId w:val="35"/>
        </w:numPr>
      </w:pPr>
      <w:r w:rsidRPr="00B778A6">
        <w:t>Projekto finansinių ir ekonominių-socialinių rodiklių, alternatyvų, jautrumo analizės, rizikų skaičiuoklė.</w:t>
      </w:r>
    </w:p>
    <w:p w:rsidR="002360CD" w:rsidRPr="00B778A6" w:rsidRDefault="002360CD" w:rsidP="002360CD">
      <w:pPr>
        <w:ind w:left="360"/>
      </w:pPr>
    </w:p>
    <w:sectPr w:rsidR="002360CD" w:rsidRPr="00B778A6" w:rsidSect="00622496">
      <w:pgSz w:w="11906" w:h="16838"/>
      <w:pgMar w:top="1701"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337C" w:rsidRDefault="008E337C" w:rsidP="0006666A">
      <w:r>
        <w:separator/>
      </w:r>
    </w:p>
  </w:endnote>
  <w:endnote w:type="continuationSeparator" w:id="1">
    <w:p w:rsidR="008E337C" w:rsidRDefault="008E337C" w:rsidP="000666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2F4" w:rsidRPr="005E124B" w:rsidRDefault="0001670F" w:rsidP="00961777">
    <w:pPr>
      <w:tabs>
        <w:tab w:val="center" w:pos="4819"/>
        <w:tab w:val="right" w:pos="9639"/>
      </w:tabs>
      <w:spacing w:before="200" w:line="360" w:lineRule="auto"/>
      <w:ind w:left="-567" w:right="-143"/>
      <w:jc w:val="both"/>
      <w:rPr>
        <w:szCs w:val="22"/>
        <w:lang w:eastAsia="en-US"/>
      </w:rPr>
    </w:pPr>
    <w:r w:rsidRPr="0001670F">
      <w:rPr>
        <w:rFonts w:ascii="Calibri" w:hAnsi="Calibri"/>
        <w:noProof/>
        <w:sz w:val="14"/>
        <w:szCs w:val="14"/>
      </w:rPr>
      <w:pict>
        <v:shapetype id="_x0000_t32" coordsize="21600,21600" o:spt="32" o:oned="t" path="m,l21600,21600e" filled="f">
          <v:path arrowok="t" fillok="f" o:connecttype="none"/>
          <o:lock v:ext="edit" shapetype="t"/>
        </v:shapetype>
        <v:shape id="_x0000_s2050" type="#_x0000_t32" style="position:absolute;left:0;text-align:left;margin-left:-27.85pt;margin-top:7.65pt;width:510.55pt;height:0;z-index:2" o:connectortype="straight" strokeweight=".25pt">
          <v:shadow type="perspective" color="#4e6128" opacity=".5" offset="1pt" offset2="-1pt"/>
        </v:shape>
      </w:pict>
    </w:r>
    <w:r w:rsidR="000322F4" w:rsidRPr="00E941D7">
      <w:t xml:space="preserve"> </w:t>
    </w:r>
    <w:r w:rsidR="00411565">
      <w:rPr>
        <w:rFonts w:ascii="Calibri" w:hAnsi="Calibri"/>
        <w:noProof/>
        <w:sz w:val="18"/>
        <w:szCs w:val="18"/>
      </w:rPr>
      <w:t>Lopšelio-</w:t>
    </w:r>
    <w:r w:rsidR="000322F4">
      <w:rPr>
        <w:rFonts w:ascii="Calibri" w:hAnsi="Calibri"/>
        <w:noProof/>
        <w:sz w:val="18"/>
        <w:szCs w:val="18"/>
      </w:rPr>
      <w:t>darželio G</w:t>
    </w:r>
    <w:r w:rsidR="000322F4" w:rsidRPr="00211B2C">
      <w:rPr>
        <w:rFonts w:ascii="Calibri" w:hAnsi="Calibri"/>
        <w:noProof/>
        <w:sz w:val="18"/>
        <w:szCs w:val="18"/>
      </w:rPr>
      <w:t>intarėlis modernizavimas</w:t>
    </w:r>
    <w:r w:rsidR="000322F4">
      <w:rPr>
        <w:rFonts w:ascii="Calibri" w:hAnsi="Calibri"/>
        <w:noProof/>
        <w:sz w:val="14"/>
        <w:szCs w:val="14"/>
      </w:rPr>
      <w:tab/>
    </w:r>
    <w:r w:rsidR="000322F4">
      <w:rPr>
        <w:rFonts w:ascii="Calibri" w:hAnsi="Calibri"/>
        <w:noProof/>
        <w:sz w:val="14"/>
        <w:szCs w:val="14"/>
      </w:rPr>
      <w:tab/>
    </w:r>
    <w:r w:rsidRPr="005E124B">
      <w:rPr>
        <w:szCs w:val="22"/>
        <w:lang w:eastAsia="en-US"/>
      </w:rPr>
      <w:fldChar w:fldCharType="begin"/>
    </w:r>
    <w:r w:rsidR="000322F4" w:rsidRPr="005E124B">
      <w:rPr>
        <w:szCs w:val="22"/>
        <w:lang w:eastAsia="en-US"/>
      </w:rPr>
      <w:instrText xml:space="preserve"> PAGE   \* MERGEFORMAT </w:instrText>
    </w:r>
    <w:r w:rsidRPr="005E124B">
      <w:rPr>
        <w:szCs w:val="22"/>
        <w:lang w:eastAsia="en-US"/>
      </w:rPr>
      <w:fldChar w:fldCharType="separate"/>
    </w:r>
    <w:r w:rsidR="00AB4A39">
      <w:rPr>
        <w:noProof/>
        <w:szCs w:val="22"/>
        <w:lang w:eastAsia="en-US"/>
      </w:rPr>
      <w:t>3</w:t>
    </w:r>
    <w:r w:rsidRPr="005E124B">
      <w:rPr>
        <w:szCs w:val="22"/>
        <w:lang w:eastAsia="en-U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337C" w:rsidRDefault="008E337C" w:rsidP="0006666A">
      <w:r>
        <w:separator/>
      </w:r>
    </w:p>
  </w:footnote>
  <w:footnote w:type="continuationSeparator" w:id="1">
    <w:p w:rsidR="008E337C" w:rsidRDefault="008E337C" w:rsidP="0006666A">
      <w:r>
        <w:continuationSeparator/>
      </w:r>
    </w:p>
  </w:footnote>
  <w:footnote w:id="2">
    <w:p w:rsidR="000322F4" w:rsidRPr="007B01C6" w:rsidRDefault="000322F4" w:rsidP="000A1DCC">
      <w:pPr>
        <w:pStyle w:val="FootnoteText"/>
      </w:pPr>
      <w:r>
        <w:rPr>
          <w:rStyle w:val="FootnoteReference"/>
        </w:rPr>
        <w:footnoteRef/>
      </w:r>
      <w:r>
        <w:t xml:space="preserve"> </w:t>
      </w:r>
      <w:r>
        <w:rPr>
          <w:lang w:val="lt-LT"/>
        </w:rPr>
        <w:t>Paskutiniai prieinami duomenys</w:t>
      </w:r>
    </w:p>
  </w:footnote>
  <w:footnote w:id="3">
    <w:p w:rsidR="000322F4" w:rsidRPr="005773FD" w:rsidRDefault="000322F4" w:rsidP="00F867A9">
      <w:pPr>
        <w:pStyle w:val="FootnoteText"/>
      </w:pPr>
      <w:r>
        <w:rPr>
          <w:rStyle w:val="FootnoteReference"/>
        </w:rPr>
        <w:footnoteRef/>
      </w:r>
      <w:r>
        <w:t xml:space="preserve"> </w:t>
      </w:r>
      <w:r>
        <w:rPr>
          <w:lang w:val="lt-LT"/>
        </w:rPr>
        <w:t>Įrangos įsigijimas visais atvejais numatomas vienodas, analizuojamos tik pagrindinio investavimo objekto (darbų) alternatyvos</w:t>
      </w:r>
    </w:p>
  </w:footnote>
  <w:footnote w:id="4">
    <w:p w:rsidR="000322F4" w:rsidRDefault="000322F4" w:rsidP="00302AE2">
      <w:pPr>
        <w:pStyle w:val="FootnoteText"/>
        <w:jc w:val="both"/>
      </w:pPr>
      <w:r>
        <w:rPr>
          <w:rStyle w:val="FootnoteReference"/>
        </w:rPr>
        <w:footnoteRef/>
      </w:r>
      <w:r>
        <w:t xml:space="preserve"> </w:t>
      </w:r>
      <w:r w:rsidRPr="00C32355">
        <w:t xml:space="preserve">Skaičiuoklė – MS Excel skaičiuoklė, skirta investicijų projekto SNA atlikti. Skaičiuoklės naudojimo principai ir jų ryšys su tekstine metodikos dalimi aprašyti tekstinėje metodikos </w:t>
      </w:r>
      <w:r>
        <w:t>(</w:t>
      </w:r>
      <w:r w:rsidRPr="00C32355">
        <w:t>Investicijų projektų, kuriems siekiama gauti finansavimą iš Europos Sąjungos struktūrinės paramos ir valstybės biudžeto lėšų, rengimo metodika</w:t>
      </w:r>
      <w:r>
        <w:t xml:space="preserve">) </w:t>
      </w:r>
      <w:r w:rsidRPr="00C32355">
        <w:t xml:space="preserve">dalyje. </w:t>
      </w:r>
    </w:p>
  </w:footnote>
  <w:footnote w:id="5">
    <w:p w:rsidR="000322F4" w:rsidRPr="00DA1A2F" w:rsidRDefault="000322F4" w:rsidP="001A28E4">
      <w:pPr>
        <w:pStyle w:val="FootnoteText"/>
      </w:pPr>
      <w:r>
        <w:rPr>
          <w:rStyle w:val="FootnoteReference"/>
        </w:rPr>
        <w:footnoteRef/>
      </w:r>
      <w:r>
        <w:t xml:space="preserve"> Baigt</w:t>
      </w:r>
      <w:r w:rsidRPr="00303280">
        <w:t>a iki projekto pradžios</w:t>
      </w:r>
      <w:r>
        <w:rPr>
          <w:lang w:val="lt-LT"/>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2F4" w:rsidRPr="005E124B" w:rsidRDefault="0001670F" w:rsidP="005E124B">
    <w:pPr>
      <w:tabs>
        <w:tab w:val="center" w:pos="4819"/>
        <w:tab w:val="right" w:pos="9638"/>
      </w:tabs>
      <w:spacing w:before="120" w:line="360" w:lineRule="auto"/>
      <w:ind w:right="57" w:hanging="567"/>
      <w:jc w:val="both"/>
      <w:rPr>
        <w:rFonts w:ascii="Calibri" w:hAnsi="Calibri"/>
        <w:noProof/>
        <w:sz w:val="18"/>
        <w:szCs w:val="18"/>
        <w:lang w:eastAsia="en-U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0.05pt;height:28.15pt">
          <v:imagedata r:id="rId1" o:title=""/>
        </v:shape>
      </w:pict>
    </w:r>
    <w:r w:rsidR="000322F4">
      <w:rPr>
        <w:rFonts w:ascii="Calibri" w:hAnsi="Calibri"/>
        <w:noProof/>
        <w:sz w:val="18"/>
        <w:szCs w:val="18"/>
        <w:lang w:eastAsia="en-US"/>
      </w:rPr>
      <w:tab/>
    </w:r>
    <w:r w:rsidR="000322F4">
      <w:rPr>
        <w:rFonts w:ascii="Calibri" w:hAnsi="Calibri"/>
        <w:noProof/>
        <w:sz w:val="18"/>
        <w:szCs w:val="18"/>
        <w:lang w:eastAsia="en-US"/>
      </w:rPr>
      <w:tab/>
      <w:t>INVESTICIJŲ</w:t>
    </w:r>
    <w:r w:rsidR="000322F4" w:rsidRPr="005E124B">
      <w:rPr>
        <w:rFonts w:ascii="Calibri" w:hAnsi="Calibri"/>
        <w:noProof/>
        <w:sz w:val="18"/>
        <w:szCs w:val="18"/>
        <w:lang w:eastAsia="en-US"/>
      </w:rPr>
      <w:t xml:space="preserve"> PROJEKTAS</w:t>
    </w:r>
  </w:p>
  <w:p w:rsidR="000322F4" w:rsidRPr="005E124B" w:rsidRDefault="0001670F" w:rsidP="005E124B">
    <w:pPr>
      <w:tabs>
        <w:tab w:val="center" w:pos="4819"/>
        <w:tab w:val="right" w:pos="9638"/>
      </w:tabs>
      <w:spacing w:before="120" w:line="360" w:lineRule="auto"/>
      <w:ind w:right="57" w:firstLine="720"/>
      <w:jc w:val="center"/>
      <w:rPr>
        <w:sz w:val="20"/>
        <w:szCs w:val="20"/>
        <w:lang w:eastAsia="en-US"/>
      </w:rPr>
    </w:pPr>
    <w:r w:rsidRPr="0001670F">
      <w:rPr>
        <w:noProof/>
        <w:sz w:val="20"/>
        <w:szCs w:val="20"/>
      </w:rPr>
      <w:pict>
        <v:shapetype id="_x0000_t32" coordsize="21600,21600" o:spt="32" o:oned="t" path="m,l21600,21600e" filled="f">
          <v:path arrowok="t" fillok="f" o:connecttype="none"/>
          <o:lock v:ext="edit" shapetype="t"/>
        </v:shapetype>
        <v:shape id="_x0000_s2049" type="#_x0000_t32" style="position:absolute;left:0;text-align:left;margin-left:-27.85pt;margin-top:5.4pt;width:510.55pt;height:0;z-index:1" o:connectortype="straight" strokeweight=".25pt">
          <v:shadow type="perspective" color="#4e6128" opacity=".5" offset="1pt" offset2="-1pt"/>
        </v:shape>
      </w:pict>
    </w:r>
    <w:r w:rsidR="000322F4" w:rsidRPr="005E124B">
      <w:rPr>
        <w:noProof/>
        <w:sz w:val="20"/>
        <w:szCs w:val="20"/>
        <w:lang w:val="en-US" w:eastAsia="en-U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0475"/>
    <w:multiLevelType w:val="hybridMultilevel"/>
    <w:tmpl w:val="5DACF8A4"/>
    <w:lvl w:ilvl="0" w:tplc="80C6C2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00F02481"/>
    <w:multiLevelType w:val="hybridMultilevel"/>
    <w:tmpl w:val="BECC33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1C91884"/>
    <w:multiLevelType w:val="hybridMultilevel"/>
    <w:tmpl w:val="9EFA89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386550D"/>
    <w:multiLevelType w:val="hybridMultilevel"/>
    <w:tmpl w:val="9184FA1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072676CB"/>
    <w:multiLevelType w:val="hybridMultilevel"/>
    <w:tmpl w:val="2A36B9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09AB2559"/>
    <w:multiLevelType w:val="hybridMultilevel"/>
    <w:tmpl w:val="14322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0C235C73"/>
    <w:multiLevelType w:val="hybridMultilevel"/>
    <w:tmpl w:val="EB1891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0D297EB9"/>
    <w:multiLevelType w:val="hybridMultilevel"/>
    <w:tmpl w:val="5EA0A9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0DE54CD1"/>
    <w:multiLevelType w:val="hybridMultilevel"/>
    <w:tmpl w:val="4358E8A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0E9D3D9B"/>
    <w:multiLevelType w:val="hybridMultilevel"/>
    <w:tmpl w:val="3F9E1E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10DA37AA"/>
    <w:multiLevelType w:val="hybridMultilevel"/>
    <w:tmpl w:val="845639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16B54BE1"/>
    <w:multiLevelType w:val="hybridMultilevel"/>
    <w:tmpl w:val="38209B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1A060C3B"/>
    <w:multiLevelType w:val="hybridMultilevel"/>
    <w:tmpl w:val="AEF680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20326002"/>
    <w:multiLevelType w:val="hybridMultilevel"/>
    <w:tmpl w:val="F93E4B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2075731C"/>
    <w:multiLevelType w:val="hybridMultilevel"/>
    <w:tmpl w:val="A73A04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227354AF"/>
    <w:multiLevelType w:val="hybridMultilevel"/>
    <w:tmpl w:val="F008FB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25FC714A"/>
    <w:multiLevelType w:val="hybridMultilevel"/>
    <w:tmpl w:val="2C7AC2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2A4025A8"/>
    <w:multiLevelType w:val="hybridMultilevel"/>
    <w:tmpl w:val="AF6687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2C1D036E"/>
    <w:multiLevelType w:val="hybridMultilevel"/>
    <w:tmpl w:val="B0AA03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2DF67DC1"/>
    <w:multiLevelType w:val="hybridMultilevel"/>
    <w:tmpl w:val="C60A2A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2F7D01EF"/>
    <w:multiLevelType w:val="hybridMultilevel"/>
    <w:tmpl w:val="9C889A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32286B52"/>
    <w:multiLevelType w:val="hybridMultilevel"/>
    <w:tmpl w:val="F6E8BC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371976DD"/>
    <w:multiLevelType w:val="hybridMultilevel"/>
    <w:tmpl w:val="62DAD8C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nsid w:val="39913B49"/>
    <w:multiLevelType w:val="hybridMultilevel"/>
    <w:tmpl w:val="43E2C1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4017064A"/>
    <w:multiLevelType w:val="hybridMultilevel"/>
    <w:tmpl w:val="E1D2D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44A07F40"/>
    <w:multiLevelType w:val="multilevel"/>
    <w:tmpl w:val="3C2A7E16"/>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nsid w:val="45230DEF"/>
    <w:multiLevelType w:val="hybridMultilevel"/>
    <w:tmpl w:val="DB6E925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47845763"/>
    <w:multiLevelType w:val="hybridMultilevel"/>
    <w:tmpl w:val="151A0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492E3C79"/>
    <w:multiLevelType w:val="hybridMultilevel"/>
    <w:tmpl w:val="81C4BB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499C2016"/>
    <w:multiLevelType w:val="hybridMultilevel"/>
    <w:tmpl w:val="271CBC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4CA4055F"/>
    <w:multiLevelType w:val="hybridMultilevel"/>
    <w:tmpl w:val="8820D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3D690C"/>
    <w:multiLevelType w:val="hybridMultilevel"/>
    <w:tmpl w:val="8DD0E7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nsid w:val="54505A86"/>
    <w:multiLevelType w:val="hybridMultilevel"/>
    <w:tmpl w:val="B19415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nsid w:val="54760BBE"/>
    <w:multiLevelType w:val="hybridMultilevel"/>
    <w:tmpl w:val="416892D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4">
    <w:nsid w:val="54D37329"/>
    <w:multiLevelType w:val="hybridMultilevel"/>
    <w:tmpl w:val="57D029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nsid w:val="54DF26D4"/>
    <w:multiLevelType w:val="hybridMultilevel"/>
    <w:tmpl w:val="B6DEE2F2"/>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6">
    <w:nsid w:val="55197AC3"/>
    <w:multiLevelType w:val="hybridMultilevel"/>
    <w:tmpl w:val="A7D07A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nsid w:val="572A38EA"/>
    <w:multiLevelType w:val="hybridMultilevel"/>
    <w:tmpl w:val="4CAA9A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nsid w:val="58725C07"/>
    <w:multiLevelType w:val="hybridMultilevel"/>
    <w:tmpl w:val="79FAD6CC"/>
    <w:lvl w:ilvl="0" w:tplc="C7D4CA7A">
      <w:start w:val="1"/>
      <w:numFmt w:val="bullet"/>
      <w:lvlText w:val=""/>
      <w:lvlJc w:val="left"/>
      <w:pPr>
        <w:ind w:left="72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nsid w:val="594F6C94"/>
    <w:multiLevelType w:val="hybridMultilevel"/>
    <w:tmpl w:val="88E8C8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nsid w:val="5A4A2503"/>
    <w:multiLevelType w:val="hybridMultilevel"/>
    <w:tmpl w:val="CA02462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nsid w:val="60E27DE5"/>
    <w:multiLevelType w:val="hybridMultilevel"/>
    <w:tmpl w:val="8A344D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nsid w:val="61292D18"/>
    <w:multiLevelType w:val="hybridMultilevel"/>
    <w:tmpl w:val="1826C9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nsid w:val="6E72597C"/>
    <w:multiLevelType w:val="hybridMultilevel"/>
    <w:tmpl w:val="867A7D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nsid w:val="6FFE2EE3"/>
    <w:multiLevelType w:val="hybridMultilevel"/>
    <w:tmpl w:val="6FAC95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nsid w:val="768234B5"/>
    <w:multiLevelType w:val="hybridMultilevel"/>
    <w:tmpl w:val="893647CC"/>
    <w:lvl w:ilvl="0" w:tplc="D78E184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nsid w:val="78AF1B03"/>
    <w:multiLevelType w:val="hybridMultilevel"/>
    <w:tmpl w:val="062066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nsid w:val="7C192604"/>
    <w:multiLevelType w:val="hybridMultilevel"/>
    <w:tmpl w:val="5F7A293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8">
    <w:nsid w:val="7E427902"/>
    <w:multiLevelType w:val="hybridMultilevel"/>
    <w:tmpl w:val="AFDE8A70"/>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16"/>
  </w:num>
  <w:num w:numId="2">
    <w:abstractNumId w:val="38"/>
  </w:num>
  <w:num w:numId="3">
    <w:abstractNumId w:val="47"/>
  </w:num>
  <w:num w:numId="4">
    <w:abstractNumId w:val="26"/>
  </w:num>
  <w:num w:numId="5">
    <w:abstractNumId w:val="27"/>
  </w:num>
  <w:num w:numId="6">
    <w:abstractNumId w:val="21"/>
  </w:num>
  <w:num w:numId="7">
    <w:abstractNumId w:val="17"/>
  </w:num>
  <w:num w:numId="8">
    <w:abstractNumId w:val="32"/>
  </w:num>
  <w:num w:numId="9">
    <w:abstractNumId w:val="8"/>
  </w:num>
  <w:num w:numId="10">
    <w:abstractNumId w:val="3"/>
  </w:num>
  <w:num w:numId="11">
    <w:abstractNumId w:val="44"/>
  </w:num>
  <w:num w:numId="12">
    <w:abstractNumId w:val="18"/>
  </w:num>
  <w:num w:numId="13">
    <w:abstractNumId w:val="7"/>
  </w:num>
  <w:num w:numId="14">
    <w:abstractNumId w:val="2"/>
  </w:num>
  <w:num w:numId="15">
    <w:abstractNumId w:val="28"/>
  </w:num>
  <w:num w:numId="16">
    <w:abstractNumId w:val="35"/>
  </w:num>
  <w:num w:numId="17">
    <w:abstractNumId w:val="0"/>
  </w:num>
  <w:num w:numId="18">
    <w:abstractNumId w:val="45"/>
  </w:num>
  <w:num w:numId="19">
    <w:abstractNumId w:val="12"/>
  </w:num>
  <w:num w:numId="20">
    <w:abstractNumId w:val="15"/>
  </w:num>
  <w:num w:numId="21">
    <w:abstractNumId w:val="40"/>
  </w:num>
  <w:num w:numId="22">
    <w:abstractNumId w:val="9"/>
  </w:num>
  <w:num w:numId="23">
    <w:abstractNumId w:val="24"/>
  </w:num>
  <w:num w:numId="24">
    <w:abstractNumId w:val="37"/>
  </w:num>
  <w:num w:numId="25">
    <w:abstractNumId w:val="4"/>
  </w:num>
  <w:num w:numId="26">
    <w:abstractNumId w:val="22"/>
  </w:num>
  <w:num w:numId="27">
    <w:abstractNumId w:val="23"/>
  </w:num>
  <w:num w:numId="28">
    <w:abstractNumId w:val="29"/>
  </w:num>
  <w:num w:numId="29">
    <w:abstractNumId w:val="34"/>
  </w:num>
  <w:num w:numId="30">
    <w:abstractNumId w:val="31"/>
  </w:num>
  <w:num w:numId="31">
    <w:abstractNumId w:val="25"/>
  </w:num>
  <w:num w:numId="32">
    <w:abstractNumId w:val="30"/>
  </w:num>
  <w:num w:numId="33">
    <w:abstractNumId w:val="46"/>
  </w:num>
  <w:num w:numId="34">
    <w:abstractNumId w:val="33"/>
  </w:num>
  <w:num w:numId="35">
    <w:abstractNumId w:val="14"/>
  </w:num>
  <w:num w:numId="36">
    <w:abstractNumId w:val="13"/>
  </w:num>
  <w:num w:numId="37">
    <w:abstractNumId w:val="10"/>
  </w:num>
  <w:num w:numId="38">
    <w:abstractNumId w:val="42"/>
  </w:num>
  <w:num w:numId="39">
    <w:abstractNumId w:val="19"/>
  </w:num>
  <w:num w:numId="40">
    <w:abstractNumId w:val="43"/>
  </w:num>
  <w:num w:numId="41">
    <w:abstractNumId w:val="11"/>
  </w:num>
  <w:num w:numId="42">
    <w:abstractNumId w:val="39"/>
  </w:num>
  <w:num w:numId="43">
    <w:abstractNumId w:val="1"/>
  </w:num>
  <w:num w:numId="44">
    <w:abstractNumId w:val="48"/>
  </w:num>
  <w:num w:numId="45">
    <w:abstractNumId w:val="36"/>
  </w:num>
  <w:num w:numId="46">
    <w:abstractNumId w:val="20"/>
  </w:num>
  <w:num w:numId="47">
    <w:abstractNumId w:val="6"/>
  </w:num>
  <w:num w:numId="48">
    <w:abstractNumId w:val="41"/>
  </w:num>
  <w:num w:numId="49">
    <w:abstractNumId w:val="5"/>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GrammaticalErrors/>
  <w:doNotTrackMoves/>
  <w:defaultTabStop w:val="1296"/>
  <w:hyphenationZone w:val="396"/>
  <w:drawingGridHorizontalSpacing w:val="120"/>
  <w:displayHorizontalDrawingGridEvery w:val="2"/>
  <w:characterSpacingControl w:val="doNotCompress"/>
  <w:hdrShapeDefaults>
    <o:shapedefaults v:ext="edit" spidmax="5122">
      <o:colormru v:ext="edit" colors="#03c,#36f,blue,#6f6"/>
    </o:shapedefaults>
    <o:shapelayout v:ext="edit">
      <o:idmap v:ext="edit" data="2"/>
      <o:rules v:ext="edit">
        <o:r id="V:Rule3" type="connector" idref="#_x0000_s2049"/>
        <o:r id="V:Rule4" type="connector" idref="#_x0000_s2050"/>
      </o:rules>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D1BF7"/>
    <w:rsid w:val="00000440"/>
    <w:rsid w:val="00000653"/>
    <w:rsid w:val="00000BA2"/>
    <w:rsid w:val="00000EED"/>
    <w:rsid w:val="000010F1"/>
    <w:rsid w:val="0000199D"/>
    <w:rsid w:val="00002101"/>
    <w:rsid w:val="00003569"/>
    <w:rsid w:val="00003B27"/>
    <w:rsid w:val="0000487B"/>
    <w:rsid w:val="00004DEE"/>
    <w:rsid w:val="00004F9C"/>
    <w:rsid w:val="000058ED"/>
    <w:rsid w:val="00006273"/>
    <w:rsid w:val="00006ED4"/>
    <w:rsid w:val="000079B3"/>
    <w:rsid w:val="0001071E"/>
    <w:rsid w:val="00010AC5"/>
    <w:rsid w:val="00011995"/>
    <w:rsid w:val="0001204A"/>
    <w:rsid w:val="00012386"/>
    <w:rsid w:val="000126FC"/>
    <w:rsid w:val="000134C2"/>
    <w:rsid w:val="00013AB2"/>
    <w:rsid w:val="000141D2"/>
    <w:rsid w:val="00015C47"/>
    <w:rsid w:val="00015D47"/>
    <w:rsid w:val="0001665C"/>
    <w:rsid w:val="0001670F"/>
    <w:rsid w:val="000176B1"/>
    <w:rsid w:val="000179DF"/>
    <w:rsid w:val="00017D7C"/>
    <w:rsid w:val="000208E4"/>
    <w:rsid w:val="00020C5D"/>
    <w:rsid w:val="00020CFD"/>
    <w:rsid w:val="00021642"/>
    <w:rsid w:val="00024FE6"/>
    <w:rsid w:val="000254D0"/>
    <w:rsid w:val="00026BCA"/>
    <w:rsid w:val="00026BE0"/>
    <w:rsid w:val="00027900"/>
    <w:rsid w:val="00027E4F"/>
    <w:rsid w:val="00030CCA"/>
    <w:rsid w:val="000322F4"/>
    <w:rsid w:val="00032A74"/>
    <w:rsid w:val="00032D13"/>
    <w:rsid w:val="0003334F"/>
    <w:rsid w:val="000333B7"/>
    <w:rsid w:val="00033A25"/>
    <w:rsid w:val="00034178"/>
    <w:rsid w:val="00035589"/>
    <w:rsid w:val="00036621"/>
    <w:rsid w:val="00037097"/>
    <w:rsid w:val="000373C8"/>
    <w:rsid w:val="00037D63"/>
    <w:rsid w:val="0004104C"/>
    <w:rsid w:val="000418D5"/>
    <w:rsid w:val="00041D3A"/>
    <w:rsid w:val="00041FEF"/>
    <w:rsid w:val="00042759"/>
    <w:rsid w:val="000428CD"/>
    <w:rsid w:val="00042AE9"/>
    <w:rsid w:val="00042CA6"/>
    <w:rsid w:val="00043960"/>
    <w:rsid w:val="00043C0F"/>
    <w:rsid w:val="0004427E"/>
    <w:rsid w:val="000449F2"/>
    <w:rsid w:val="00044B84"/>
    <w:rsid w:val="00044C59"/>
    <w:rsid w:val="00046EA9"/>
    <w:rsid w:val="00047256"/>
    <w:rsid w:val="00047383"/>
    <w:rsid w:val="000503C8"/>
    <w:rsid w:val="000505A2"/>
    <w:rsid w:val="00050891"/>
    <w:rsid w:val="00050A39"/>
    <w:rsid w:val="00050AF2"/>
    <w:rsid w:val="00051523"/>
    <w:rsid w:val="00052910"/>
    <w:rsid w:val="00052975"/>
    <w:rsid w:val="0005410F"/>
    <w:rsid w:val="00054BAA"/>
    <w:rsid w:val="0005543D"/>
    <w:rsid w:val="00055D84"/>
    <w:rsid w:val="00055EDA"/>
    <w:rsid w:val="000568D7"/>
    <w:rsid w:val="00056CBE"/>
    <w:rsid w:val="000601B8"/>
    <w:rsid w:val="0006086B"/>
    <w:rsid w:val="000609F4"/>
    <w:rsid w:val="00060B81"/>
    <w:rsid w:val="00060F3E"/>
    <w:rsid w:val="00061A14"/>
    <w:rsid w:val="00061C1A"/>
    <w:rsid w:val="0006361A"/>
    <w:rsid w:val="00064F64"/>
    <w:rsid w:val="00064FF1"/>
    <w:rsid w:val="000650F8"/>
    <w:rsid w:val="000651E0"/>
    <w:rsid w:val="00065440"/>
    <w:rsid w:val="00065EA2"/>
    <w:rsid w:val="00066598"/>
    <w:rsid w:val="0006666A"/>
    <w:rsid w:val="000666FA"/>
    <w:rsid w:val="00066EAD"/>
    <w:rsid w:val="00070430"/>
    <w:rsid w:val="00071427"/>
    <w:rsid w:val="00071F3A"/>
    <w:rsid w:val="00071F69"/>
    <w:rsid w:val="000723F0"/>
    <w:rsid w:val="00072EE6"/>
    <w:rsid w:val="00074D78"/>
    <w:rsid w:val="000752AF"/>
    <w:rsid w:val="000757FF"/>
    <w:rsid w:val="00075EEC"/>
    <w:rsid w:val="00076159"/>
    <w:rsid w:val="00076E5A"/>
    <w:rsid w:val="00076FFE"/>
    <w:rsid w:val="00077B68"/>
    <w:rsid w:val="00081D63"/>
    <w:rsid w:val="00082783"/>
    <w:rsid w:val="000830F4"/>
    <w:rsid w:val="0008351F"/>
    <w:rsid w:val="000836F6"/>
    <w:rsid w:val="00083833"/>
    <w:rsid w:val="00083B2B"/>
    <w:rsid w:val="00083D8D"/>
    <w:rsid w:val="0008418E"/>
    <w:rsid w:val="000848D1"/>
    <w:rsid w:val="00084B8A"/>
    <w:rsid w:val="00084BDD"/>
    <w:rsid w:val="00085262"/>
    <w:rsid w:val="0008529C"/>
    <w:rsid w:val="0008609B"/>
    <w:rsid w:val="00086173"/>
    <w:rsid w:val="000865F6"/>
    <w:rsid w:val="00086C59"/>
    <w:rsid w:val="00086F8F"/>
    <w:rsid w:val="00090582"/>
    <w:rsid w:val="00090DB6"/>
    <w:rsid w:val="00091670"/>
    <w:rsid w:val="00092050"/>
    <w:rsid w:val="00092A7E"/>
    <w:rsid w:val="000939A1"/>
    <w:rsid w:val="00093F30"/>
    <w:rsid w:val="000945A2"/>
    <w:rsid w:val="00094A8E"/>
    <w:rsid w:val="00095D81"/>
    <w:rsid w:val="00096A44"/>
    <w:rsid w:val="000972EA"/>
    <w:rsid w:val="0009771B"/>
    <w:rsid w:val="000A0756"/>
    <w:rsid w:val="000A1B13"/>
    <w:rsid w:val="000A1DCC"/>
    <w:rsid w:val="000A3784"/>
    <w:rsid w:val="000A3C3B"/>
    <w:rsid w:val="000A4970"/>
    <w:rsid w:val="000A5571"/>
    <w:rsid w:val="000A562B"/>
    <w:rsid w:val="000A7B14"/>
    <w:rsid w:val="000A7C97"/>
    <w:rsid w:val="000A7E39"/>
    <w:rsid w:val="000B2878"/>
    <w:rsid w:val="000B36A5"/>
    <w:rsid w:val="000B4408"/>
    <w:rsid w:val="000B460D"/>
    <w:rsid w:val="000B55E9"/>
    <w:rsid w:val="000B5DD4"/>
    <w:rsid w:val="000B6BC1"/>
    <w:rsid w:val="000B6D67"/>
    <w:rsid w:val="000B77CC"/>
    <w:rsid w:val="000B7A11"/>
    <w:rsid w:val="000C0011"/>
    <w:rsid w:val="000C19A0"/>
    <w:rsid w:val="000C1E30"/>
    <w:rsid w:val="000C2432"/>
    <w:rsid w:val="000C25B8"/>
    <w:rsid w:val="000C2DFE"/>
    <w:rsid w:val="000C3A1D"/>
    <w:rsid w:val="000C3D99"/>
    <w:rsid w:val="000C4048"/>
    <w:rsid w:val="000C4520"/>
    <w:rsid w:val="000C54F1"/>
    <w:rsid w:val="000C5C83"/>
    <w:rsid w:val="000C6392"/>
    <w:rsid w:val="000C6881"/>
    <w:rsid w:val="000C714F"/>
    <w:rsid w:val="000C739F"/>
    <w:rsid w:val="000C73A4"/>
    <w:rsid w:val="000C7C09"/>
    <w:rsid w:val="000D0C06"/>
    <w:rsid w:val="000D0DD7"/>
    <w:rsid w:val="000D18F1"/>
    <w:rsid w:val="000D19D1"/>
    <w:rsid w:val="000D2132"/>
    <w:rsid w:val="000D37DD"/>
    <w:rsid w:val="000D3A0F"/>
    <w:rsid w:val="000D3AD0"/>
    <w:rsid w:val="000D4340"/>
    <w:rsid w:val="000D4596"/>
    <w:rsid w:val="000D46D3"/>
    <w:rsid w:val="000D48ED"/>
    <w:rsid w:val="000D4B85"/>
    <w:rsid w:val="000D4D57"/>
    <w:rsid w:val="000D4E86"/>
    <w:rsid w:val="000D4EB8"/>
    <w:rsid w:val="000D64B4"/>
    <w:rsid w:val="000D683E"/>
    <w:rsid w:val="000D686C"/>
    <w:rsid w:val="000D6B60"/>
    <w:rsid w:val="000E0441"/>
    <w:rsid w:val="000E0C08"/>
    <w:rsid w:val="000E125A"/>
    <w:rsid w:val="000E1DA5"/>
    <w:rsid w:val="000E23B3"/>
    <w:rsid w:val="000E38FB"/>
    <w:rsid w:val="000E4515"/>
    <w:rsid w:val="000E48CB"/>
    <w:rsid w:val="000E4E9D"/>
    <w:rsid w:val="000E505F"/>
    <w:rsid w:val="000E5570"/>
    <w:rsid w:val="000E576A"/>
    <w:rsid w:val="000E6147"/>
    <w:rsid w:val="000E6532"/>
    <w:rsid w:val="000E66BD"/>
    <w:rsid w:val="000E6D49"/>
    <w:rsid w:val="000E6DB3"/>
    <w:rsid w:val="000E71F9"/>
    <w:rsid w:val="000E76CF"/>
    <w:rsid w:val="000F0B22"/>
    <w:rsid w:val="000F163B"/>
    <w:rsid w:val="000F1D93"/>
    <w:rsid w:val="000F1E1B"/>
    <w:rsid w:val="000F1F12"/>
    <w:rsid w:val="000F1F3B"/>
    <w:rsid w:val="000F2F9F"/>
    <w:rsid w:val="000F36A9"/>
    <w:rsid w:val="000F3AF7"/>
    <w:rsid w:val="000F3CCA"/>
    <w:rsid w:val="000F4608"/>
    <w:rsid w:val="000F5728"/>
    <w:rsid w:val="000F635B"/>
    <w:rsid w:val="000F67C4"/>
    <w:rsid w:val="000F7353"/>
    <w:rsid w:val="000F7EF7"/>
    <w:rsid w:val="00100088"/>
    <w:rsid w:val="001007B1"/>
    <w:rsid w:val="00100FFB"/>
    <w:rsid w:val="001010FC"/>
    <w:rsid w:val="001011A1"/>
    <w:rsid w:val="0010163A"/>
    <w:rsid w:val="0010168D"/>
    <w:rsid w:val="00101A6F"/>
    <w:rsid w:val="00101B6F"/>
    <w:rsid w:val="00101DF0"/>
    <w:rsid w:val="001025AF"/>
    <w:rsid w:val="00102B14"/>
    <w:rsid w:val="001033A0"/>
    <w:rsid w:val="0010349C"/>
    <w:rsid w:val="00103DF5"/>
    <w:rsid w:val="00104CAC"/>
    <w:rsid w:val="00105003"/>
    <w:rsid w:val="00105030"/>
    <w:rsid w:val="00105792"/>
    <w:rsid w:val="001057E3"/>
    <w:rsid w:val="00105B17"/>
    <w:rsid w:val="00105E30"/>
    <w:rsid w:val="001060D4"/>
    <w:rsid w:val="001065C0"/>
    <w:rsid w:val="00106FE3"/>
    <w:rsid w:val="00107870"/>
    <w:rsid w:val="001079E7"/>
    <w:rsid w:val="001105F4"/>
    <w:rsid w:val="001105F5"/>
    <w:rsid w:val="00110DA0"/>
    <w:rsid w:val="001112DF"/>
    <w:rsid w:val="0011192A"/>
    <w:rsid w:val="00111DB2"/>
    <w:rsid w:val="0011232A"/>
    <w:rsid w:val="00112C0B"/>
    <w:rsid w:val="001143B4"/>
    <w:rsid w:val="00114BC1"/>
    <w:rsid w:val="00114C24"/>
    <w:rsid w:val="001158E6"/>
    <w:rsid w:val="00115CF8"/>
    <w:rsid w:val="0011635B"/>
    <w:rsid w:val="00116517"/>
    <w:rsid w:val="001167DE"/>
    <w:rsid w:val="00117B53"/>
    <w:rsid w:val="00117E03"/>
    <w:rsid w:val="001203CE"/>
    <w:rsid w:val="0012148A"/>
    <w:rsid w:val="001217EB"/>
    <w:rsid w:val="00121BDF"/>
    <w:rsid w:val="00121E1E"/>
    <w:rsid w:val="00122A2D"/>
    <w:rsid w:val="001230A1"/>
    <w:rsid w:val="00123193"/>
    <w:rsid w:val="001239C4"/>
    <w:rsid w:val="00124446"/>
    <w:rsid w:val="00125285"/>
    <w:rsid w:val="00126039"/>
    <w:rsid w:val="0012651D"/>
    <w:rsid w:val="00126ADC"/>
    <w:rsid w:val="00126F13"/>
    <w:rsid w:val="00127329"/>
    <w:rsid w:val="00127E1E"/>
    <w:rsid w:val="00131218"/>
    <w:rsid w:val="00131BBE"/>
    <w:rsid w:val="001328DA"/>
    <w:rsid w:val="001329EC"/>
    <w:rsid w:val="00132A46"/>
    <w:rsid w:val="00132D98"/>
    <w:rsid w:val="001333CE"/>
    <w:rsid w:val="001335AC"/>
    <w:rsid w:val="00133D52"/>
    <w:rsid w:val="0013435A"/>
    <w:rsid w:val="00134CE6"/>
    <w:rsid w:val="00136756"/>
    <w:rsid w:val="001371BA"/>
    <w:rsid w:val="0013721F"/>
    <w:rsid w:val="00137645"/>
    <w:rsid w:val="00137894"/>
    <w:rsid w:val="00140FDA"/>
    <w:rsid w:val="001410F3"/>
    <w:rsid w:val="0014111B"/>
    <w:rsid w:val="001418DB"/>
    <w:rsid w:val="00141A99"/>
    <w:rsid w:val="00141E21"/>
    <w:rsid w:val="00141F82"/>
    <w:rsid w:val="00142B77"/>
    <w:rsid w:val="001433C3"/>
    <w:rsid w:val="00143B47"/>
    <w:rsid w:val="00143CCB"/>
    <w:rsid w:val="00144291"/>
    <w:rsid w:val="00144C8E"/>
    <w:rsid w:val="00144FF3"/>
    <w:rsid w:val="001454CD"/>
    <w:rsid w:val="0014588C"/>
    <w:rsid w:val="00145A25"/>
    <w:rsid w:val="0014642C"/>
    <w:rsid w:val="0014646E"/>
    <w:rsid w:val="00146576"/>
    <w:rsid w:val="001465A0"/>
    <w:rsid w:val="001465C0"/>
    <w:rsid w:val="001472B9"/>
    <w:rsid w:val="001472FE"/>
    <w:rsid w:val="0014735D"/>
    <w:rsid w:val="001475AE"/>
    <w:rsid w:val="00147683"/>
    <w:rsid w:val="00147752"/>
    <w:rsid w:val="001506E4"/>
    <w:rsid w:val="00150B29"/>
    <w:rsid w:val="00150BDF"/>
    <w:rsid w:val="001522E4"/>
    <w:rsid w:val="00152AA5"/>
    <w:rsid w:val="00152D74"/>
    <w:rsid w:val="00152FBD"/>
    <w:rsid w:val="0015330E"/>
    <w:rsid w:val="0015368A"/>
    <w:rsid w:val="0015369C"/>
    <w:rsid w:val="001536BF"/>
    <w:rsid w:val="0015372A"/>
    <w:rsid w:val="00155C1C"/>
    <w:rsid w:val="00155F7F"/>
    <w:rsid w:val="00156462"/>
    <w:rsid w:val="00157018"/>
    <w:rsid w:val="00157197"/>
    <w:rsid w:val="001601CE"/>
    <w:rsid w:val="001604A7"/>
    <w:rsid w:val="00160934"/>
    <w:rsid w:val="0016104E"/>
    <w:rsid w:val="001619A8"/>
    <w:rsid w:val="00161C50"/>
    <w:rsid w:val="00161E2C"/>
    <w:rsid w:val="00161E9B"/>
    <w:rsid w:val="00162E96"/>
    <w:rsid w:val="001643E3"/>
    <w:rsid w:val="00165148"/>
    <w:rsid w:val="00166462"/>
    <w:rsid w:val="001667D5"/>
    <w:rsid w:val="00166EC5"/>
    <w:rsid w:val="001671DD"/>
    <w:rsid w:val="0016789A"/>
    <w:rsid w:val="00167A6F"/>
    <w:rsid w:val="001701A8"/>
    <w:rsid w:val="001701CA"/>
    <w:rsid w:val="00170B33"/>
    <w:rsid w:val="00170C24"/>
    <w:rsid w:val="00170F68"/>
    <w:rsid w:val="0017137F"/>
    <w:rsid w:val="00171574"/>
    <w:rsid w:val="001721A0"/>
    <w:rsid w:val="001724E4"/>
    <w:rsid w:val="001725BA"/>
    <w:rsid w:val="00174286"/>
    <w:rsid w:val="00175742"/>
    <w:rsid w:val="00175C6C"/>
    <w:rsid w:val="0017628F"/>
    <w:rsid w:val="00176DC2"/>
    <w:rsid w:val="00176E87"/>
    <w:rsid w:val="0017774B"/>
    <w:rsid w:val="00177759"/>
    <w:rsid w:val="00180B3A"/>
    <w:rsid w:val="00180F4B"/>
    <w:rsid w:val="00181065"/>
    <w:rsid w:val="00181977"/>
    <w:rsid w:val="00181EC1"/>
    <w:rsid w:val="001820AF"/>
    <w:rsid w:val="001827F0"/>
    <w:rsid w:val="00182EF6"/>
    <w:rsid w:val="001831FD"/>
    <w:rsid w:val="00183935"/>
    <w:rsid w:val="00183DE9"/>
    <w:rsid w:val="001841CE"/>
    <w:rsid w:val="001853F6"/>
    <w:rsid w:val="00186A49"/>
    <w:rsid w:val="00186D60"/>
    <w:rsid w:val="00186E74"/>
    <w:rsid w:val="001871F5"/>
    <w:rsid w:val="001907B3"/>
    <w:rsid w:val="0019107D"/>
    <w:rsid w:val="0019152F"/>
    <w:rsid w:val="00191C90"/>
    <w:rsid w:val="001925F8"/>
    <w:rsid w:val="001930D4"/>
    <w:rsid w:val="00193327"/>
    <w:rsid w:val="0019379B"/>
    <w:rsid w:val="001937CC"/>
    <w:rsid w:val="001938D5"/>
    <w:rsid w:val="00193E5C"/>
    <w:rsid w:val="001956EC"/>
    <w:rsid w:val="0019616D"/>
    <w:rsid w:val="0019738A"/>
    <w:rsid w:val="001A050D"/>
    <w:rsid w:val="001A0862"/>
    <w:rsid w:val="001A09B1"/>
    <w:rsid w:val="001A0C98"/>
    <w:rsid w:val="001A0E81"/>
    <w:rsid w:val="001A12B4"/>
    <w:rsid w:val="001A1D9D"/>
    <w:rsid w:val="001A214D"/>
    <w:rsid w:val="001A28E4"/>
    <w:rsid w:val="001A2C3D"/>
    <w:rsid w:val="001A3B8E"/>
    <w:rsid w:val="001A3C07"/>
    <w:rsid w:val="001A45F0"/>
    <w:rsid w:val="001A46F0"/>
    <w:rsid w:val="001A5177"/>
    <w:rsid w:val="001A5A55"/>
    <w:rsid w:val="001A5C65"/>
    <w:rsid w:val="001A7E70"/>
    <w:rsid w:val="001B0232"/>
    <w:rsid w:val="001B049F"/>
    <w:rsid w:val="001B065F"/>
    <w:rsid w:val="001B1BD7"/>
    <w:rsid w:val="001B1E7E"/>
    <w:rsid w:val="001B2037"/>
    <w:rsid w:val="001B2AF0"/>
    <w:rsid w:val="001B3E0E"/>
    <w:rsid w:val="001B47A4"/>
    <w:rsid w:val="001B492C"/>
    <w:rsid w:val="001B4D16"/>
    <w:rsid w:val="001B5463"/>
    <w:rsid w:val="001B5879"/>
    <w:rsid w:val="001B59B3"/>
    <w:rsid w:val="001B6054"/>
    <w:rsid w:val="001B61EF"/>
    <w:rsid w:val="001B630C"/>
    <w:rsid w:val="001B638A"/>
    <w:rsid w:val="001B6C5E"/>
    <w:rsid w:val="001B6CF5"/>
    <w:rsid w:val="001B72F7"/>
    <w:rsid w:val="001C0620"/>
    <w:rsid w:val="001C0870"/>
    <w:rsid w:val="001C0BDB"/>
    <w:rsid w:val="001C1419"/>
    <w:rsid w:val="001C15DC"/>
    <w:rsid w:val="001C1723"/>
    <w:rsid w:val="001C1D75"/>
    <w:rsid w:val="001C1E08"/>
    <w:rsid w:val="001C4F7B"/>
    <w:rsid w:val="001C554F"/>
    <w:rsid w:val="001C5575"/>
    <w:rsid w:val="001C5FA3"/>
    <w:rsid w:val="001C79A8"/>
    <w:rsid w:val="001C7C00"/>
    <w:rsid w:val="001C7E5C"/>
    <w:rsid w:val="001D12DE"/>
    <w:rsid w:val="001D14AC"/>
    <w:rsid w:val="001D1B1B"/>
    <w:rsid w:val="001D29FA"/>
    <w:rsid w:val="001D37A0"/>
    <w:rsid w:val="001D4B37"/>
    <w:rsid w:val="001D5814"/>
    <w:rsid w:val="001D5B49"/>
    <w:rsid w:val="001D6369"/>
    <w:rsid w:val="001E08A8"/>
    <w:rsid w:val="001E1421"/>
    <w:rsid w:val="001E21E1"/>
    <w:rsid w:val="001E39F2"/>
    <w:rsid w:val="001E3CE6"/>
    <w:rsid w:val="001E3EC8"/>
    <w:rsid w:val="001E47AF"/>
    <w:rsid w:val="001E480B"/>
    <w:rsid w:val="001E4A22"/>
    <w:rsid w:val="001E4C9C"/>
    <w:rsid w:val="001E5068"/>
    <w:rsid w:val="001E5367"/>
    <w:rsid w:val="001E676B"/>
    <w:rsid w:val="001E705F"/>
    <w:rsid w:val="001E75C7"/>
    <w:rsid w:val="001E7CF5"/>
    <w:rsid w:val="001F0139"/>
    <w:rsid w:val="001F021D"/>
    <w:rsid w:val="001F061A"/>
    <w:rsid w:val="001F09F5"/>
    <w:rsid w:val="001F0EB3"/>
    <w:rsid w:val="001F0F7F"/>
    <w:rsid w:val="001F15EF"/>
    <w:rsid w:val="001F1B1F"/>
    <w:rsid w:val="001F1E4D"/>
    <w:rsid w:val="001F21D3"/>
    <w:rsid w:val="001F23B6"/>
    <w:rsid w:val="001F28C2"/>
    <w:rsid w:val="001F2CE9"/>
    <w:rsid w:val="001F3D7C"/>
    <w:rsid w:val="001F3F44"/>
    <w:rsid w:val="001F48DF"/>
    <w:rsid w:val="001F511A"/>
    <w:rsid w:val="001F552F"/>
    <w:rsid w:val="001F558F"/>
    <w:rsid w:val="001F5941"/>
    <w:rsid w:val="001F6208"/>
    <w:rsid w:val="001F6C1B"/>
    <w:rsid w:val="001F7DAE"/>
    <w:rsid w:val="001F7E1B"/>
    <w:rsid w:val="002001A7"/>
    <w:rsid w:val="002006CD"/>
    <w:rsid w:val="002010B8"/>
    <w:rsid w:val="0020117E"/>
    <w:rsid w:val="0020169A"/>
    <w:rsid w:val="00201818"/>
    <w:rsid w:val="00201A53"/>
    <w:rsid w:val="00202176"/>
    <w:rsid w:val="00202AFA"/>
    <w:rsid w:val="00203442"/>
    <w:rsid w:val="0020355D"/>
    <w:rsid w:val="00203944"/>
    <w:rsid w:val="00203F75"/>
    <w:rsid w:val="00204758"/>
    <w:rsid w:val="00205B75"/>
    <w:rsid w:val="00205EA4"/>
    <w:rsid w:val="002065F8"/>
    <w:rsid w:val="002073C9"/>
    <w:rsid w:val="0020771F"/>
    <w:rsid w:val="00207C08"/>
    <w:rsid w:val="00210AFE"/>
    <w:rsid w:val="00210C47"/>
    <w:rsid w:val="002112B9"/>
    <w:rsid w:val="00211B2C"/>
    <w:rsid w:val="002122DD"/>
    <w:rsid w:val="00212636"/>
    <w:rsid w:val="00212A69"/>
    <w:rsid w:val="00212A79"/>
    <w:rsid w:val="002131FD"/>
    <w:rsid w:val="002136DA"/>
    <w:rsid w:val="00213E0B"/>
    <w:rsid w:val="00213E33"/>
    <w:rsid w:val="00215223"/>
    <w:rsid w:val="00215CA6"/>
    <w:rsid w:val="00216856"/>
    <w:rsid w:val="00217A46"/>
    <w:rsid w:val="00221679"/>
    <w:rsid w:val="00221905"/>
    <w:rsid w:val="002220FA"/>
    <w:rsid w:val="002222AA"/>
    <w:rsid w:val="00222341"/>
    <w:rsid w:val="002224E1"/>
    <w:rsid w:val="0022261A"/>
    <w:rsid w:val="002227D9"/>
    <w:rsid w:val="00222F06"/>
    <w:rsid w:val="00223352"/>
    <w:rsid w:val="002237D9"/>
    <w:rsid w:val="00223D78"/>
    <w:rsid w:val="002246FD"/>
    <w:rsid w:val="00224E29"/>
    <w:rsid w:val="00224E86"/>
    <w:rsid w:val="002253A2"/>
    <w:rsid w:val="00225934"/>
    <w:rsid w:val="0022739E"/>
    <w:rsid w:val="00227BEE"/>
    <w:rsid w:val="00230940"/>
    <w:rsid w:val="00230A0A"/>
    <w:rsid w:val="00230A46"/>
    <w:rsid w:val="00230D85"/>
    <w:rsid w:val="002310BC"/>
    <w:rsid w:val="00231687"/>
    <w:rsid w:val="00231AF0"/>
    <w:rsid w:val="00232513"/>
    <w:rsid w:val="00232C4C"/>
    <w:rsid w:val="00232FFD"/>
    <w:rsid w:val="0023300C"/>
    <w:rsid w:val="00233772"/>
    <w:rsid w:val="002337D5"/>
    <w:rsid w:val="002338C0"/>
    <w:rsid w:val="002344FA"/>
    <w:rsid w:val="002347E7"/>
    <w:rsid w:val="00235EE8"/>
    <w:rsid w:val="002360CD"/>
    <w:rsid w:val="00236485"/>
    <w:rsid w:val="0023667D"/>
    <w:rsid w:val="002376F7"/>
    <w:rsid w:val="00237A03"/>
    <w:rsid w:val="002400FE"/>
    <w:rsid w:val="002402B8"/>
    <w:rsid w:val="00241531"/>
    <w:rsid w:val="00241AD2"/>
    <w:rsid w:val="00241E18"/>
    <w:rsid w:val="00242DD4"/>
    <w:rsid w:val="00244099"/>
    <w:rsid w:val="00244762"/>
    <w:rsid w:val="00244C51"/>
    <w:rsid w:val="00245012"/>
    <w:rsid w:val="0024519E"/>
    <w:rsid w:val="00245EE5"/>
    <w:rsid w:val="00246176"/>
    <w:rsid w:val="00247029"/>
    <w:rsid w:val="0024722D"/>
    <w:rsid w:val="002475F0"/>
    <w:rsid w:val="0024786B"/>
    <w:rsid w:val="00250025"/>
    <w:rsid w:val="0025021B"/>
    <w:rsid w:val="00250332"/>
    <w:rsid w:val="0025064C"/>
    <w:rsid w:val="00250C74"/>
    <w:rsid w:val="00250EBD"/>
    <w:rsid w:val="00250FBC"/>
    <w:rsid w:val="002511A2"/>
    <w:rsid w:val="00251794"/>
    <w:rsid w:val="00252018"/>
    <w:rsid w:val="002529F1"/>
    <w:rsid w:val="00252B8C"/>
    <w:rsid w:val="00252D44"/>
    <w:rsid w:val="00252E36"/>
    <w:rsid w:val="002534EC"/>
    <w:rsid w:val="0025353F"/>
    <w:rsid w:val="00253658"/>
    <w:rsid w:val="00253937"/>
    <w:rsid w:val="002541FE"/>
    <w:rsid w:val="002542AF"/>
    <w:rsid w:val="00254310"/>
    <w:rsid w:val="00254E1D"/>
    <w:rsid w:val="002559E4"/>
    <w:rsid w:val="00255AC2"/>
    <w:rsid w:val="00256E95"/>
    <w:rsid w:val="002576BD"/>
    <w:rsid w:val="0025784F"/>
    <w:rsid w:val="00260079"/>
    <w:rsid w:val="00260178"/>
    <w:rsid w:val="00260F93"/>
    <w:rsid w:val="00261C26"/>
    <w:rsid w:val="002631D9"/>
    <w:rsid w:val="00264261"/>
    <w:rsid w:val="00264670"/>
    <w:rsid w:val="002646D3"/>
    <w:rsid w:val="00264D1F"/>
    <w:rsid w:val="00264E4D"/>
    <w:rsid w:val="00265234"/>
    <w:rsid w:val="0026588E"/>
    <w:rsid w:val="002668CA"/>
    <w:rsid w:val="002675B4"/>
    <w:rsid w:val="00270208"/>
    <w:rsid w:val="002705E4"/>
    <w:rsid w:val="00270C1C"/>
    <w:rsid w:val="00271287"/>
    <w:rsid w:val="0027146B"/>
    <w:rsid w:val="00271D01"/>
    <w:rsid w:val="00273253"/>
    <w:rsid w:val="00274DA8"/>
    <w:rsid w:val="002760E3"/>
    <w:rsid w:val="00276CF3"/>
    <w:rsid w:val="00277707"/>
    <w:rsid w:val="00280811"/>
    <w:rsid w:val="0028092E"/>
    <w:rsid w:val="0028115E"/>
    <w:rsid w:val="0028118E"/>
    <w:rsid w:val="0028132F"/>
    <w:rsid w:val="00281EC3"/>
    <w:rsid w:val="00282034"/>
    <w:rsid w:val="00283F9F"/>
    <w:rsid w:val="002846B0"/>
    <w:rsid w:val="00284BF4"/>
    <w:rsid w:val="002855A9"/>
    <w:rsid w:val="00285E3E"/>
    <w:rsid w:val="00286D3B"/>
    <w:rsid w:val="0028797C"/>
    <w:rsid w:val="00290059"/>
    <w:rsid w:val="00290AA8"/>
    <w:rsid w:val="00292D6C"/>
    <w:rsid w:val="0029311A"/>
    <w:rsid w:val="002934AA"/>
    <w:rsid w:val="0029406F"/>
    <w:rsid w:val="00294135"/>
    <w:rsid w:val="00294BBF"/>
    <w:rsid w:val="0029631D"/>
    <w:rsid w:val="00296338"/>
    <w:rsid w:val="002963E8"/>
    <w:rsid w:val="00297027"/>
    <w:rsid w:val="002970FB"/>
    <w:rsid w:val="002978CD"/>
    <w:rsid w:val="00297AED"/>
    <w:rsid w:val="00297F2F"/>
    <w:rsid w:val="002A0363"/>
    <w:rsid w:val="002A0783"/>
    <w:rsid w:val="002A1543"/>
    <w:rsid w:val="002A1BB0"/>
    <w:rsid w:val="002A24EB"/>
    <w:rsid w:val="002A394A"/>
    <w:rsid w:val="002A39BB"/>
    <w:rsid w:val="002A4846"/>
    <w:rsid w:val="002A5F5C"/>
    <w:rsid w:val="002A620D"/>
    <w:rsid w:val="002A62FF"/>
    <w:rsid w:val="002A6DB7"/>
    <w:rsid w:val="002A79CA"/>
    <w:rsid w:val="002B008E"/>
    <w:rsid w:val="002B060E"/>
    <w:rsid w:val="002B0B1B"/>
    <w:rsid w:val="002B1D49"/>
    <w:rsid w:val="002B3464"/>
    <w:rsid w:val="002B387C"/>
    <w:rsid w:val="002B3A56"/>
    <w:rsid w:val="002B4058"/>
    <w:rsid w:val="002B48D5"/>
    <w:rsid w:val="002B504F"/>
    <w:rsid w:val="002B5550"/>
    <w:rsid w:val="002B55AE"/>
    <w:rsid w:val="002B6862"/>
    <w:rsid w:val="002B690A"/>
    <w:rsid w:val="002B7339"/>
    <w:rsid w:val="002B7935"/>
    <w:rsid w:val="002C0205"/>
    <w:rsid w:val="002C1FD9"/>
    <w:rsid w:val="002C2396"/>
    <w:rsid w:val="002C276F"/>
    <w:rsid w:val="002C2DBB"/>
    <w:rsid w:val="002C31A6"/>
    <w:rsid w:val="002C359D"/>
    <w:rsid w:val="002C38C5"/>
    <w:rsid w:val="002C3F44"/>
    <w:rsid w:val="002C4597"/>
    <w:rsid w:val="002C47D3"/>
    <w:rsid w:val="002C486E"/>
    <w:rsid w:val="002C6331"/>
    <w:rsid w:val="002C6846"/>
    <w:rsid w:val="002C68C6"/>
    <w:rsid w:val="002C6923"/>
    <w:rsid w:val="002C6FFB"/>
    <w:rsid w:val="002C7569"/>
    <w:rsid w:val="002D0432"/>
    <w:rsid w:val="002D171A"/>
    <w:rsid w:val="002D3A42"/>
    <w:rsid w:val="002D4B66"/>
    <w:rsid w:val="002D52CB"/>
    <w:rsid w:val="002D5775"/>
    <w:rsid w:val="002D6CB6"/>
    <w:rsid w:val="002D7CAD"/>
    <w:rsid w:val="002E078A"/>
    <w:rsid w:val="002E0890"/>
    <w:rsid w:val="002E0DFB"/>
    <w:rsid w:val="002E16D6"/>
    <w:rsid w:val="002E1D9E"/>
    <w:rsid w:val="002E4CEE"/>
    <w:rsid w:val="002E4F6B"/>
    <w:rsid w:val="002E5123"/>
    <w:rsid w:val="002E60A1"/>
    <w:rsid w:val="002E6749"/>
    <w:rsid w:val="002F04BE"/>
    <w:rsid w:val="002F092F"/>
    <w:rsid w:val="002F118E"/>
    <w:rsid w:val="002F314C"/>
    <w:rsid w:val="002F34DF"/>
    <w:rsid w:val="002F46A9"/>
    <w:rsid w:val="002F5028"/>
    <w:rsid w:val="002F5426"/>
    <w:rsid w:val="002F5846"/>
    <w:rsid w:val="002F61D9"/>
    <w:rsid w:val="002F669C"/>
    <w:rsid w:val="002F72F5"/>
    <w:rsid w:val="002F7596"/>
    <w:rsid w:val="003002C1"/>
    <w:rsid w:val="003004C9"/>
    <w:rsid w:val="00300DD9"/>
    <w:rsid w:val="003012AB"/>
    <w:rsid w:val="003012F8"/>
    <w:rsid w:val="0030167C"/>
    <w:rsid w:val="00301839"/>
    <w:rsid w:val="00301F19"/>
    <w:rsid w:val="00302095"/>
    <w:rsid w:val="003028AC"/>
    <w:rsid w:val="00302AE2"/>
    <w:rsid w:val="00303280"/>
    <w:rsid w:val="003033D5"/>
    <w:rsid w:val="00304384"/>
    <w:rsid w:val="00304B0F"/>
    <w:rsid w:val="00304E68"/>
    <w:rsid w:val="003056C0"/>
    <w:rsid w:val="00305F26"/>
    <w:rsid w:val="00306AED"/>
    <w:rsid w:val="00306BC1"/>
    <w:rsid w:val="00306CB5"/>
    <w:rsid w:val="00311222"/>
    <w:rsid w:val="003112B1"/>
    <w:rsid w:val="00311A61"/>
    <w:rsid w:val="00311C57"/>
    <w:rsid w:val="00312013"/>
    <w:rsid w:val="0031218F"/>
    <w:rsid w:val="003125BF"/>
    <w:rsid w:val="0031282B"/>
    <w:rsid w:val="00312C23"/>
    <w:rsid w:val="0031324F"/>
    <w:rsid w:val="0031345D"/>
    <w:rsid w:val="00313786"/>
    <w:rsid w:val="003144AA"/>
    <w:rsid w:val="00314BB2"/>
    <w:rsid w:val="00314DE5"/>
    <w:rsid w:val="00315BA4"/>
    <w:rsid w:val="0031659A"/>
    <w:rsid w:val="00317399"/>
    <w:rsid w:val="003173F0"/>
    <w:rsid w:val="003173F9"/>
    <w:rsid w:val="00317610"/>
    <w:rsid w:val="00317B90"/>
    <w:rsid w:val="00317BE7"/>
    <w:rsid w:val="003210E2"/>
    <w:rsid w:val="00321653"/>
    <w:rsid w:val="00321AF6"/>
    <w:rsid w:val="00322583"/>
    <w:rsid w:val="00322787"/>
    <w:rsid w:val="00322C7E"/>
    <w:rsid w:val="00323487"/>
    <w:rsid w:val="0032445D"/>
    <w:rsid w:val="003245D0"/>
    <w:rsid w:val="003245DD"/>
    <w:rsid w:val="00325448"/>
    <w:rsid w:val="003259BA"/>
    <w:rsid w:val="00326633"/>
    <w:rsid w:val="0032690B"/>
    <w:rsid w:val="00327421"/>
    <w:rsid w:val="0032780E"/>
    <w:rsid w:val="00327D62"/>
    <w:rsid w:val="00330662"/>
    <w:rsid w:val="0033067A"/>
    <w:rsid w:val="00330B88"/>
    <w:rsid w:val="0033104D"/>
    <w:rsid w:val="00331C4B"/>
    <w:rsid w:val="003339EE"/>
    <w:rsid w:val="00333B36"/>
    <w:rsid w:val="00334437"/>
    <w:rsid w:val="00334466"/>
    <w:rsid w:val="003364A6"/>
    <w:rsid w:val="00337F0E"/>
    <w:rsid w:val="00337F84"/>
    <w:rsid w:val="00340E29"/>
    <w:rsid w:val="003411E0"/>
    <w:rsid w:val="00341C46"/>
    <w:rsid w:val="003420ED"/>
    <w:rsid w:val="003421A8"/>
    <w:rsid w:val="003429B5"/>
    <w:rsid w:val="00342FD2"/>
    <w:rsid w:val="0034334B"/>
    <w:rsid w:val="00343A82"/>
    <w:rsid w:val="00343DEF"/>
    <w:rsid w:val="00343FBC"/>
    <w:rsid w:val="00344030"/>
    <w:rsid w:val="003440F1"/>
    <w:rsid w:val="00344C16"/>
    <w:rsid w:val="00345609"/>
    <w:rsid w:val="003458CB"/>
    <w:rsid w:val="00346073"/>
    <w:rsid w:val="00346464"/>
    <w:rsid w:val="003465F5"/>
    <w:rsid w:val="00346833"/>
    <w:rsid w:val="00346B17"/>
    <w:rsid w:val="003477E9"/>
    <w:rsid w:val="00350378"/>
    <w:rsid w:val="00350E67"/>
    <w:rsid w:val="003514E7"/>
    <w:rsid w:val="003524C7"/>
    <w:rsid w:val="00352822"/>
    <w:rsid w:val="00352A51"/>
    <w:rsid w:val="0035326D"/>
    <w:rsid w:val="003552C8"/>
    <w:rsid w:val="00355E06"/>
    <w:rsid w:val="00356988"/>
    <w:rsid w:val="00356C49"/>
    <w:rsid w:val="00356CAF"/>
    <w:rsid w:val="00357374"/>
    <w:rsid w:val="00357B74"/>
    <w:rsid w:val="00360575"/>
    <w:rsid w:val="00361204"/>
    <w:rsid w:val="00361BE8"/>
    <w:rsid w:val="00362CEF"/>
    <w:rsid w:val="00362EE8"/>
    <w:rsid w:val="003631C1"/>
    <w:rsid w:val="003632B3"/>
    <w:rsid w:val="0036365A"/>
    <w:rsid w:val="00363DE2"/>
    <w:rsid w:val="0036428C"/>
    <w:rsid w:val="00364C53"/>
    <w:rsid w:val="00365FE2"/>
    <w:rsid w:val="003677D4"/>
    <w:rsid w:val="00367C8C"/>
    <w:rsid w:val="00370CBD"/>
    <w:rsid w:val="003710A8"/>
    <w:rsid w:val="003713FE"/>
    <w:rsid w:val="00371B88"/>
    <w:rsid w:val="00372033"/>
    <w:rsid w:val="0037256F"/>
    <w:rsid w:val="00372AE8"/>
    <w:rsid w:val="00373B29"/>
    <w:rsid w:val="00374E9B"/>
    <w:rsid w:val="00375401"/>
    <w:rsid w:val="00375B2E"/>
    <w:rsid w:val="00375FA6"/>
    <w:rsid w:val="00375FC6"/>
    <w:rsid w:val="00376064"/>
    <w:rsid w:val="003761BE"/>
    <w:rsid w:val="00376359"/>
    <w:rsid w:val="00376ACE"/>
    <w:rsid w:val="00377B71"/>
    <w:rsid w:val="00380629"/>
    <w:rsid w:val="00380E58"/>
    <w:rsid w:val="00380FDD"/>
    <w:rsid w:val="003819CD"/>
    <w:rsid w:val="003819D0"/>
    <w:rsid w:val="00382286"/>
    <w:rsid w:val="00384990"/>
    <w:rsid w:val="00385B2E"/>
    <w:rsid w:val="00385C2F"/>
    <w:rsid w:val="00385D91"/>
    <w:rsid w:val="0038614B"/>
    <w:rsid w:val="00386CE8"/>
    <w:rsid w:val="00386ED9"/>
    <w:rsid w:val="00387712"/>
    <w:rsid w:val="00387B05"/>
    <w:rsid w:val="00387F23"/>
    <w:rsid w:val="00390431"/>
    <w:rsid w:val="0039078D"/>
    <w:rsid w:val="00390C89"/>
    <w:rsid w:val="0039113B"/>
    <w:rsid w:val="00391B29"/>
    <w:rsid w:val="003922E8"/>
    <w:rsid w:val="003928FD"/>
    <w:rsid w:val="0039296C"/>
    <w:rsid w:val="00392F12"/>
    <w:rsid w:val="00392F1A"/>
    <w:rsid w:val="00393911"/>
    <w:rsid w:val="00393CCC"/>
    <w:rsid w:val="003940E9"/>
    <w:rsid w:val="003946FE"/>
    <w:rsid w:val="003954DA"/>
    <w:rsid w:val="00396519"/>
    <w:rsid w:val="00396DB1"/>
    <w:rsid w:val="003972A3"/>
    <w:rsid w:val="00397379"/>
    <w:rsid w:val="00397C99"/>
    <w:rsid w:val="00397EEA"/>
    <w:rsid w:val="003A09CF"/>
    <w:rsid w:val="003A0AF8"/>
    <w:rsid w:val="003A1190"/>
    <w:rsid w:val="003A124F"/>
    <w:rsid w:val="003A195A"/>
    <w:rsid w:val="003A199F"/>
    <w:rsid w:val="003A19B4"/>
    <w:rsid w:val="003A1D8D"/>
    <w:rsid w:val="003A22DD"/>
    <w:rsid w:val="003A2A96"/>
    <w:rsid w:val="003A2B12"/>
    <w:rsid w:val="003A46E9"/>
    <w:rsid w:val="003A4C97"/>
    <w:rsid w:val="003A4EA7"/>
    <w:rsid w:val="003A4EAF"/>
    <w:rsid w:val="003A4FB0"/>
    <w:rsid w:val="003A52EB"/>
    <w:rsid w:val="003A5ABC"/>
    <w:rsid w:val="003A65D7"/>
    <w:rsid w:val="003A691E"/>
    <w:rsid w:val="003A72EC"/>
    <w:rsid w:val="003B1618"/>
    <w:rsid w:val="003B1F62"/>
    <w:rsid w:val="003B2BFB"/>
    <w:rsid w:val="003B3451"/>
    <w:rsid w:val="003B4FD3"/>
    <w:rsid w:val="003B5602"/>
    <w:rsid w:val="003B5871"/>
    <w:rsid w:val="003B6C01"/>
    <w:rsid w:val="003B74E6"/>
    <w:rsid w:val="003B7CC6"/>
    <w:rsid w:val="003C0260"/>
    <w:rsid w:val="003C11E2"/>
    <w:rsid w:val="003C22A1"/>
    <w:rsid w:val="003C2503"/>
    <w:rsid w:val="003C28D1"/>
    <w:rsid w:val="003C30E4"/>
    <w:rsid w:val="003C3E9D"/>
    <w:rsid w:val="003C42F8"/>
    <w:rsid w:val="003C4346"/>
    <w:rsid w:val="003C4601"/>
    <w:rsid w:val="003C542D"/>
    <w:rsid w:val="003C5B29"/>
    <w:rsid w:val="003C5EA9"/>
    <w:rsid w:val="003C5F5F"/>
    <w:rsid w:val="003C645D"/>
    <w:rsid w:val="003C682E"/>
    <w:rsid w:val="003C71DA"/>
    <w:rsid w:val="003D0195"/>
    <w:rsid w:val="003D0878"/>
    <w:rsid w:val="003D0E8B"/>
    <w:rsid w:val="003D161C"/>
    <w:rsid w:val="003D1BE4"/>
    <w:rsid w:val="003D24A4"/>
    <w:rsid w:val="003D2663"/>
    <w:rsid w:val="003D39FB"/>
    <w:rsid w:val="003D4374"/>
    <w:rsid w:val="003D4F79"/>
    <w:rsid w:val="003D5E3F"/>
    <w:rsid w:val="003D770C"/>
    <w:rsid w:val="003D7773"/>
    <w:rsid w:val="003D7A94"/>
    <w:rsid w:val="003D7CDF"/>
    <w:rsid w:val="003E00FD"/>
    <w:rsid w:val="003E01B4"/>
    <w:rsid w:val="003E0CF0"/>
    <w:rsid w:val="003E1429"/>
    <w:rsid w:val="003E1FE7"/>
    <w:rsid w:val="003E3359"/>
    <w:rsid w:val="003E546B"/>
    <w:rsid w:val="003E550E"/>
    <w:rsid w:val="003E5609"/>
    <w:rsid w:val="003E5E83"/>
    <w:rsid w:val="003E6758"/>
    <w:rsid w:val="003E68B3"/>
    <w:rsid w:val="003E701D"/>
    <w:rsid w:val="003E7206"/>
    <w:rsid w:val="003F02F1"/>
    <w:rsid w:val="003F09D4"/>
    <w:rsid w:val="003F0D96"/>
    <w:rsid w:val="003F0E62"/>
    <w:rsid w:val="003F10DF"/>
    <w:rsid w:val="003F1A44"/>
    <w:rsid w:val="003F294D"/>
    <w:rsid w:val="003F2E56"/>
    <w:rsid w:val="003F3ECB"/>
    <w:rsid w:val="003F3F0C"/>
    <w:rsid w:val="003F492F"/>
    <w:rsid w:val="003F49B1"/>
    <w:rsid w:val="003F593D"/>
    <w:rsid w:val="003F59DB"/>
    <w:rsid w:val="003F60D4"/>
    <w:rsid w:val="003F61B9"/>
    <w:rsid w:val="003F65E6"/>
    <w:rsid w:val="003F6FF9"/>
    <w:rsid w:val="003F7895"/>
    <w:rsid w:val="004000F5"/>
    <w:rsid w:val="004006EB"/>
    <w:rsid w:val="00400DD1"/>
    <w:rsid w:val="0040190C"/>
    <w:rsid w:val="00402902"/>
    <w:rsid w:val="00403B33"/>
    <w:rsid w:val="00403BFD"/>
    <w:rsid w:val="00406031"/>
    <w:rsid w:val="00407419"/>
    <w:rsid w:val="00407983"/>
    <w:rsid w:val="00410662"/>
    <w:rsid w:val="004108CF"/>
    <w:rsid w:val="004108DB"/>
    <w:rsid w:val="0041149B"/>
    <w:rsid w:val="00411565"/>
    <w:rsid w:val="0041202A"/>
    <w:rsid w:val="00413A41"/>
    <w:rsid w:val="00413E9B"/>
    <w:rsid w:val="0041428A"/>
    <w:rsid w:val="0041440D"/>
    <w:rsid w:val="00415779"/>
    <w:rsid w:val="00416065"/>
    <w:rsid w:val="004169BB"/>
    <w:rsid w:val="00416B8A"/>
    <w:rsid w:val="00416D93"/>
    <w:rsid w:val="004221CD"/>
    <w:rsid w:val="00422B05"/>
    <w:rsid w:val="00423427"/>
    <w:rsid w:val="00423CA0"/>
    <w:rsid w:val="0042465E"/>
    <w:rsid w:val="00424A49"/>
    <w:rsid w:val="00424BC3"/>
    <w:rsid w:val="00424CF6"/>
    <w:rsid w:val="00424FC7"/>
    <w:rsid w:val="004261D9"/>
    <w:rsid w:val="004266F3"/>
    <w:rsid w:val="004278F3"/>
    <w:rsid w:val="00427F25"/>
    <w:rsid w:val="004305D9"/>
    <w:rsid w:val="0043088A"/>
    <w:rsid w:val="00431BE3"/>
    <w:rsid w:val="0043227C"/>
    <w:rsid w:val="004324D3"/>
    <w:rsid w:val="0043269B"/>
    <w:rsid w:val="00433867"/>
    <w:rsid w:val="00434ADC"/>
    <w:rsid w:val="00434B7C"/>
    <w:rsid w:val="00436C9C"/>
    <w:rsid w:val="004373AF"/>
    <w:rsid w:val="00437681"/>
    <w:rsid w:val="00437EB8"/>
    <w:rsid w:val="0044093F"/>
    <w:rsid w:val="00440EA1"/>
    <w:rsid w:val="004410C5"/>
    <w:rsid w:val="004413CE"/>
    <w:rsid w:val="004415B3"/>
    <w:rsid w:val="0044180C"/>
    <w:rsid w:val="00441909"/>
    <w:rsid w:val="00441C2F"/>
    <w:rsid w:val="0044269B"/>
    <w:rsid w:val="00443221"/>
    <w:rsid w:val="004435BD"/>
    <w:rsid w:val="004439D9"/>
    <w:rsid w:val="00443D31"/>
    <w:rsid w:val="004445CF"/>
    <w:rsid w:val="00445003"/>
    <w:rsid w:val="00447137"/>
    <w:rsid w:val="00447F29"/>
    <w:rsid w:val="00450062"/>
    <w:rsid w:val="00450C54"/>
    <w:rsid w:val="0045116A"/>
    <w:rsid w:val="00452CBE"/>
    <w:rsid w:val="00452F8A"/>
    <w:rsid w:val="00454B87"/>
    <w:rsid w:val="004553B7"/>
    <w:rsid w:val="00455C36"/>
    <w:rsid w:val="004567A7"/>
    <w:rsid w:val="0045724B"/>
    <w:rsid w:val="00457340"/>
    <w:rsid w:val="00460AA1"/>
    <w:rsid w:val="0046225E"/>
    <w:rsid w:val="004626A5"/>
    <w:rsid w:val="0046303A"/>
    <w:rsid w:val="00463529"/>
    <w:rsid w:val="00463DEE"/>
    <w:rsid w:val="00465433"/>
    <w:rsid w:val="00465A75"/>
    <w:rsid w:val="00465BA6"/>
    <w:rsid w:val="00465C2C"/>
    <w:rsid w:val="004705C7"/>
    <w:rsid w:val="00470C79"/>
    <w:rsid w:val="004717BD"/>
    <w:rsid w:val="00471FCD"/>
    <w:rsid w:val="00472101"/>
    <w:rsid w:val="00472977"/>
    <w:rsid w:val="00472BAD"/>
    <w:rsid w:val="00472FA3"/>
    <w:rsid w:val="00472FCC"/>
    <w:rsid w:val="004731CF"/>
    <w:rsid w:val="0047389A"/>
    <w:rsid w:val="004739FA"/>
    <w:rsid w:val="004749A7"/>
    <w:rsid w:val="00474AC8"/>
    <w:rsid w:val="00474E6A"/>
    <w:rsid w:val="00475FC7"/>
    <w:rsid w:val="0047624F"/>
    <w:rsid w:val="004762F6"/>
    <w:rsid w:val="004764CD"/>
    <w:rsid w:val="00476DEB"/>
    <w:rsid w:val="00476F45"/>
    <w:rsid w:val="004779D1"/>
    <w:rsid w:val="00477CC8"/>
    <w:rsid w:val="00477CC9"/>
    <w:rsid w:val="004801C0"/>
    <w:rsid w:val="0048054D"/>
    <w:rsid w:val="00480748"/>
    <w:rsid w:val="00480862"/>
    <w:rsid w:val="0048156F"/>
    <w:rsid w:val="00481870"/>
    <w:rsid w:val="00481B03"/>
    <w:rsid w:val="00482080"/>
    <w:rsid w:val="00482A0E"/>
    <w:rsid w:val="00482E63"/>
    <w:rsid w:val="00482EFC"/>
    <w:rsid w:val="00483813"/>
    <w:rsid w:val="00483A2B"/>
    <w:rsid w:val="00483F90"/>
    <w:rsid w:val="0048421B"/>
    <w:rsid w:val="00484AEF"/>
    <w:rsid w:val="00484EC3"/>
    <w:rsid w:val="004850B0"/>
    <w:rsid w:val="00485264"/>
    <w:rsid w:val="0048532A"/>
    <w:rsid w:val="00485362"/>
    <w:rsid w:val="00485538"/>
    <w:rsid w:val="00485DE4"/>
    <w:rsid w:val="00486BB5"/>
    <w:rsid w:val="00487CC9"/>
    <w:rsid w:val="0049027C"/>
    <w:rsid w:val="004907F1"/>
    <w:rsid w:val="004910E7"/>
    <w:rsid w:val="004912E7"/>
    <w:rsid w:val="0049150E"/>
    <w:rsid w:val="00491AC6"/>
    <w:rsid w:val="00491CD9"/>
    <w:rsid w:val="00492DFE"/>
    <w:rsid w:val="00494C33"/>
    <w:rsid w:val="00494C6D"/>
    <w:rsid w:val="00495197"/>
    <w:rsid w:val="00495C4A"/>
    <w:rsid w:val="004968BF"/>
    <w:rsid w:val="004969C4"/>
    <w:rsid w:val="00497EAF"/>
    <w:rsid w:val="004A13CD"/>
    <w:rsid w:val="004A1D7D"/>
    <w:rsid w:val="004A2204"/>
    <w:rsid w:val="004A2573"/>
    <w:rsid w:val="004A2F5E"/>
    <w:rsid w:val="004A4232"/>
    <w:rsid w:val="004A44E7"/>
    <w:rsid w:val="004A49F8"/>
    <w:rsid w:val="004A4E8B"/>
    <w:rsid w:val="004A5039"/>
    <w:rsid w:val="004A544E"/>
    <w:rsid w:val="004A58E5"/>
    <w:rsid w:val="004A71B1"/>
    <w:rsid w:val="004A72B3"/>
    <w:rsid w:val="004A759A"/>
    <w:rsid w:val="004A77C7"/>
    <w:rsid w:val="004A7B4B"/>
    <w:rsid w:val="004B0843"/>
    <w:rsid w:val="004B08EC"/>
    <w:rsid w:val="004B1521"/>
    <w:rsid w:val="004B16AA"/>
    <w:rsid w:val="004B1A9A"/>
    <w:rsid w:val="004B1F94"/>
    <w:rsid w:val="004B2676"/>
    <w:rsid w:val="004B2708"/>
    <w:rsid w:val="004B2D76"/>
    <w:rsid w:val="004B2DCB"/>
    <w:rsid w:val="004B2F1E"/>
    <w:rsid w:val="004B411F"/>
    <w:rsid w:val="004B5056"/>
    <w:rsid w:val="004B6AE6"/>
    <w:rsid w:val="004B7E8C"/>
    <w:rsid w:val="004C0877"/>
    <w:rsid w:val="004C0DD1"/>
    <w:rsid w:val="004C0F1D"/>
    <w:rsid w:val="004C186F"/>
    <w:rsid w:val="004C263C"/>
    <w:rsid w:val="004C2688"/>
    <w:rsid w:val="004C293E"/>
    <w:rsid w:val="004C2D17"/>
    <w:rsid w:val="004C2EB6"/>
    <w:rsid w:val="004C34A9"/>
    <w:rsid w:val="004C3520"/>
    <w:rsid w:val="004C36E8"/>
    <w:rsid w:val="004C3752"/>
    <w:rsid w:val="004C5170"/>
    <w:rsid w:val="004C5A39"/>
    <w:rsid w:val="004C6237"/>
    <w:rsid w:val="004C6AB0"/>
    <w:rsid w:val="004C7F76"/>
    <w:rsid w:val="004D15DB"/>
    <w:rsid w:val="004D262B"/>
    <w:rsid w:val="004D36DF"/>
    <w:rsid w:val="004D376B"/>
    <w:rsid w:val="004D3F6E"/>
    <w:rsid w:val="004D4ACD"/>
    <w:rsid w:val="004D50A9"/>
    <w:rsid w:val="004D6B15"/>
    <w:rsid w:val="004D7551"/>
    <w:rsid w:val="004D797D"/>
    <w:rsid w:val="004D7EC0"/>
    <w:rsid w:val="004E0451"/>
    <w:rsid w:val="004E0692"/>
    <w:rsid w:val="004E0CAF"/>
    <w:rsid w:val="004E0F0D"/>
    <w:rsid w:val="004E1A07"/>
    <w:rsid w:val="004E203E"/>
    <w:rsid w:val="004E2170"/>
    <w:rsid w:val="004E2EBE"/>
    <w:rsid w:val="004E37DC"/>
    <w:rsid w:val="004E50A9"/>
    <w:rsid w:val="004E560E"/>
    <w:rsid w:val="004E58B1"/>
    <w:rsid w:val="004E5BA8"/>
    <w:rsid w:val="004E6210"/>
    <w:rsid w:val="004E66EB"/>
    <w:rsid w:val="004E69E7"/>
    <w:rsid w:val="004E6DF6"/>
    <w:rsid w:val="004E76FF"/>
    <w:rsid w:val="004E798E"/>
    <w:rsid w:val="004E7B7D"/>
    <w:rsid w:val="004F02C1"/>
    <w:rsid w:val="004F03C9"/>
    <w:rsid w:val="004F0E35"/>
    <w:rsid w:val="004F12E2"/>
    <w:rsid w:val="004F1713"/>
    <w:rsid w:val="004F1732"/>
    <w:rsid w:val="004F1C27"/>
    <w:rsid w:val="004F244D"/>
    <w:rsid w:val="004F3CED"/>
    <w:rsid w:val="004F4F3D"/>
    <w:rsid w:val="004F5B0B"/>
    <w:rsid w:val="004F5D4F"/>
    <w:rsid w:val="004F6556"/>
    <w:rsid w:val="004F6BC7"/>
    <w:rsid w:val="004F7463"/>
    <w:rsid w:val="004F784C"/>
    <w:rsid w:val="0050001A"/>
    <w:rsid w:val="005008C0"/>
    <w:rsid w:val="0050209E"/>
    <w:rsid w:val="00503EC3"/>
    <w:rsid w:val="00503EC9"/>
    <w:rsid w:val="0050515C"/>
    <w:rsid w:val="00505713"/>
    <w:rsid w:val="00505E44"/>
    <w:rsid w:val="00506998"/>
    <w:rsid w:val="005076C8"/>
    <w:rsid w:val="00507F2E"/>
    <w:rsid w:val="0051046C"/>
    <w:rsid w:val="005104C1"/>
    <w:rsid w:val="0051064B"/>
    <w:rsid w:val="0051105A"/>
    <w:rsid w:val="005112F7"/>
    <w:rsid w:val="005113A2"/>
    <w:rsid w:val="00511795"/>
    <w:rsid w:val="005136A9"/>
    <w:rsid w:val="0051438F"/>
    <w:rsid w:val="00514FCD"/>
    <w:rsid w:val="005158A6"/>
    <w:rsid w:val="00515B2D"/>
    <w:rsid w:val="00516558"/>
    <w:rsid w:val="005168EF"/>
    <w:rsid w:val="00516F10"/>
    <w:rsid w:val="00517746"/>
    <w:rsid w:val="00517B2D"/>
    <w:rsid w:val="00520442"/>
    <w:rsid w:val="005221C7"/>
    <w:rsid w:val="00524139"/>
    <w:rsid w:val="005241B2"/>
    <w:rsid w:val="00524C4F"/>
    <w:rsid w:val="00524C89"/>
    <w:rsid w:val="00524FBA"/>
    <w:rsid w:val="005252BC"/>
    <w:rsid w:val="0052533C"/>
    <w:rsid w:val="00525B2B"/>
    <w:rsid w:val="00525C30"/>
    <w:rsid w:val="005262B3"/>
    <w:rsid w:val="005266BD"/>
    <w:rsid w:val="00526808"/>
    <w:rsid w:val="00526BC7"/>
    <w:rsid w:val="00526DF0"/>
    <w:rsid w:val="00527C2B"/>
    <w:rsid w:val="00530022"/>
    <w:rsid w:val="00530B40"/>
    <w:rsid w:val="00530E76"/>
    <w:rsid w:val="00531A62"/>
    <w:rsid w:val="00532051"/>
    <w:rsid w:val="00532369"/>
    <w:rsid w:val="00532A04"/>
    <w:rsid w:val="00532D8C"/>
    <w:rsid w:val="005331A3"/>
    <w:rsid w:val="0053342C"/>
    <w:rsid w:val="00534129"/>
    <w:rsid w:val="0053413F"/>
    <w:rsid w:val="00534993"/>
    <w:rsid w:val="00534C2D"/>
    <w:rsid w:val="00535972"/>
    <w:rsid w:val="005359CB"/>
    <w:rsid w:val="00535BED"/>
    <w:rsid w:val="0053695F"/>
    <w:rsid w:val="0053733F"/>
    <w:rsid w:val="0053751A"/>
    <w:rsid w:val="00537546"/>
    <w:rsid w:val="005406E1"/>
    <w:rsid w:val="005411DE"/>
    <w:rsid w:val="00541277"/>
    <w:rsid w:val="005413CA"/>
    <w:rsid w:val="005422CE"/>
    <w:rsid w:val="0054310A"/>
    <w:rsid w:val="00543288"/>
    <w:rsid w:val="005438EC"/>
    <w:rsid w:val="0054452A"/>
    <w:rsid w:val="0054472A"/>
    <w:rsid w:val="00545627"/>
    <w:rsid w:val="00545765"/>
    <w:rsid w:val="00546ECF"/>
    <w:rsid w:val="00550070"/>
    <w:rsid w:val="00550473"/>
    <w:rsid w:val="00550887"/>
    <w:rsid w:val="00551AEF"/>
    <w:rsid w:val="005539C7"/>
    <w:rsid w:val="00553FB9"/>
    <w:rsid w:val="0055482D"/>
    <w:rsid w:val="00554B74"/>
    <w:rsid w:val="00554C6A"/>
    <w:rsid w:val="005550B8"/>
    <w:rsid w:val="00556AE2"/>
    <w:rsid w:val="00556B63"/>
    <w:rsid w:val="005573FF"/>
    <w:rsid w:val="0056012B"/>
    <w:rsid w:val="00560286"/>
    <w:rsid w:val="0056105C"/>
    <w:rsid w:val="005613E6"/>
    <w:rsid w:val="005614EC"/>
    <w:rsid w:val="00563803"/>
    <w:rsid w:val="00563983"/>
    <w:rsid w:val="00563AF2"/>
    <w:rsid w:val="00564084"/>
    <w:rsid w:val="005641C1"/>
    <w:rsid w:val="0056535F"/>
    <w:rsid w:val="00565881"/>
    <w:rsid w:val="00565A8C"/>
    <w:rsid w:val="00565ABE"/>
    <w:rsid w:val="0056710B"/>
    <w:rsid w:val="00567E5F"/>
    <w:rsid w:val="00567FBF"/>
    <w:rsid w:val="0057039C"/>
    <w:rsid w:val="0057059B"/>
    <w:rsid w:val="005717C6"/>
    <w:rsid w:val="00571DA9"/>
    <w:rsid w:val="00571FFD"/>
    <w:rsid w:val="005735E0"/>
    <w:rsid w:val="00573DB9"/>
    <w:rsid w:val="00574660"/>
    <w:rsid w:val="00574A67"/>
    <w:rsid w:val="00574E13"/>
    <w:rsid w:val="00575008"/>
    <w:rsid w:val="00575050"/>
    <w:rsid w:val="00575C4B"/>
    <w:rsid w:val="00575D00"/>
    <w:rsid w:val="00577FBB"/>
    <w:rsid w:val="0058055F"/>
    <w:rsid w:val="0058058F"/>
    <w:rsid w:val="0058096E"/>
    <w:rsid w:val="005809A1"/>
    <w:rsid w:val="00580B1E"/>
    <w:rsid w:val="00582CC7"/>
    <w:rsid w:val="00583201"/>
    <w:rsid w:val="00583747"/>
    <w:rsid w:val="00583820"/>
    <w:rsid w:val="005838CB"/>
    <w:rsid w:val="00584753"/>
    <w:rsid w:val="00585631"/>
    <w:rsid w:val="00586056"/>
    <w:rsid w:val="005860FC"/>
    <w:rsid w:val="00586F9C"/>
    <w:rsid w:val="005870C7"/>
    <w:rsid w:val="00587A09"/>
    <w:rsid w:val="00590992"/>
    <w:rsid w:val="00590A39"/>
    <w:rsid w:val="005917E9"/>
    <w:rsid w:val="00591BCB"/>
    <w:rsid w:val="00591E26"/>
    <w:rsid w:val="0059210B"/>
    <w:rsid w:val="00592CC0"/>
    <w:rsid w:val="00592E9C"/>
    <w:rsid w:val="005934E3"/>
    <w:rsid w:val="005935D2"/>
    <w:rsid w:val="00593A94"/>
    <w:rsid w:val="00593AD3"/>
    <w:rsid w:val="00593FE3"/>
    <w:rsid w:val="0059404D"/>
    <w:rsid w:val="00594E50"/>
    <w:rsid w:val="00594FCB"/>
    <w:rsid w:val="0059520D"/>
    <w:rsid w:val="005954C0"/>
    <w:rsid w:val="00595EB5"/>
    <w:rsid w:val="00595F78"/>
    <w:rsid w:val="00596391"/>
    <w:rsid w:val="0059751D"/>
    <w:rsid w:val="005975D7"/>
    <w:rsid w:val="00597818"/>
    <w:rsid w:val="00597C4B"/>
    <w:rsid w:val="00597C6E"/>
    <w:rsid w:val="00597F1C"/>
    <w:rsid w:val="00597FBB"/>
    <w:rsid w:val="005A06D3"/>
    <w:rsid w:val="005A1367"/>
    <w:rsid w:val="005A16A8"/>
    <w:rsid w:val="005A274A"/>
    <w:rsid w:val="005A33E9"/>
    <w:rsid w:val="005A4A8E"/>
    <w:rsid w:val="005A666E"/>
    <w:rsid w:val="005B0007"/>
    <w:rsid w:val="005B003B"/>
    <w:rsid w:val="005B02EA"/>
    <w:rsid w:val="005B15B7"/>
    <w:rsid w:val="005B1D60"/>
    <w:rsid w:val="005B1F33"/>
    <w:rsid w:val="005B23B5"/>
    <w:rsid w:val="005B26B5"/>
    <w:rsid w:val="005B38F0"/>
    <w:rsid w:val="005B3E69"/>
    <w:rsid w:val="005B48FF"/>
    <w:rsid w:val="005B4F13"/>
    <w:rsid w:val="005B59DC"/>
    <w:rsid w:val="005B5E5C"/>
    <w:rsid w:val="005B6220"/>
    <w:rsid w:val="005B6D9D"/>
    <w:rsid w:val="005B7192"/>
    <w:rsid w:val="005B72EA"/>
    <w:rsid w:val="005B7EBE"/>
    <w:rsid w:val="005C0502"/>
    <w:rsid w:val="005C0CD2"/>
    <w:rsid w:val="005C0DCF"/>
    <w:rsid w:val="005C127C"/>
    <w:rsid w:val="005C15B9"/>
    <w:rsid w:val="005C15F1"/>
    <w:rsid w:val="005C1A1A"/>
    <w:rsid w:val="005C1E4F"/>
    <w:rsid w:val="005C25DC"/>
    <w:rsid w:val="005C2AF8"/>
    <w:rsid w:val="005C308D"/>
    <w:rsid w:val="005C402E"/>
    <w:rsid w:val="005C6981"/>
    <w:rsid w:val="005C6F06"/>
    <w:rsid w:val="005C78E1"/>
    <w:rsid w:val="005C7929"/>
    <w:rsid w:val="005D281E"/>
    <w:rsid w:val="005D2AFA"/>
    <w:rsid w:val="005D3464"/>
    <w:rsid w:val="005D3C25"/>
    <w:rsid w:val="005D3E42"/>
    <w:rsid w:val="005D55B7"/>
    <w:rsid w:val="005D55B9"/>
    <w:rsid w:val="005D5A01"/>
    <w:rsid w:val="005D6D09"/>
    <w:rsid w:val="005D6EC9"/>
    <w:rsid w:val="005D708F"/>
    <w:rsid w:val="005D761A"/>
    <w:rsid w:val="005E023E"/>
    <w:rsid w:val="005E0501"/>
    <w:rsid w:val="005E0570"/>
    <w:rsid w:val="005E1199"/>
    <w:rsid w:val="005E124B"/>
    <w:rsid w:val="005E1C6B"/>
    <w:rsid w:val="005E2281"/>
    <w:rsid w:val="005E2410"/>
    <w:rsid w:val="005E2FE0"/>
    <w:rsid w:val="005E43A3"/>
    <w:rsid w:val="005E50DA"/>
    <w:rsid w:val="005E5EE7"/>
    <w:rsid w:val="005E61A1"/>
    <w:rsid w:val="005E75F9"/>
    <w:rsid w:val="005E7B28"/>
    <w:rsid w:val="005E7E8E"/>
    <w:rsid w:val="005E7EDF"/>
    <w:rsid w:val="005F1890"/>
    <w:rsid w:val="005F1B2C"/>
    <w:rsid w:val="005F2CBD"/>
    <w:rsid w:val="005F2E25"/>
    <w:rsid w:val="005F34AD"/>
    <w:rsid w:val="005F354B"/>
    <w:rsid w:val="005F37F7"/>
    <w:rsid w:val="005F4876"/>
    <w:rsid w:val="005F4CA3"/>
    <w:rsid w:val="005F4EC1"/>
    <w:rsid w:val="005F4F6E"/>
    <w:rsid w:val="005F4FBF"/>
    <w:rsid w:val="005F5057"/>
    <w:rsid w:val="005F6973"/>
    <w:rsid w:val="005F6A43"/>
    <w:rsid w:val="005F757E"/>
    <w:rsid w:val="0060060F"/>
    <w:rsid w:val="00600FDF"/>
    <w:rsid w:val="0060100D"/>
    <w:rsid w:val="00601D9A"/>
    <w:rsid w:val="00602CB2"/>
    <w:rsid w:val="006030C5"/>
    <w:rsid w:val="0060353A"/>
    <w:rsid w:val="00603652"/>
    <w:rsid w:val="0060467B"/>
    <w:rsid w:val="0060481F"/>
    <w:rsid w:val="00604B6C"/>
    <w:rsid w:val="00605763"/>
    <w:rsid w:val="00605842"/>
    <w:rsid w:val="00605E77"/>
    <w:rsid w:val="006072F6"/>
    <w:rsid w:val="0060757D"/>
    <w:rsid w:val="00607618"/>
    <w:rsid w:val="00607F6B"/>
    <w:rsid w:val="00610557"/>
    <w:rsid w:val="00611263"/>
    <w:rsid w:val="00612D98"/>
    <w:rsid w:val="00612DB2"/>
    <w:rsid w:val="006136FD"/>
    <w:rsid w:val="00613B65"/>
    <w:rsid w:val="00613C97"/>
    <w:rsid w:val="00614207"/>
    <w:rsid w:val="006146E1"/>
    <w:rsid w:val="00614F6B"/>
    <w:rsid w:val="006153A2"/>
    <w:rsid w:val="0061592B"/>
    <w:rsid w:val="006168D2"/>
    <w:rsid w:val="006200F4"/>
    <w:rsid w:val="0062159C"/>
    <w:rsid w:val="006217DE"/>
    <w:rsid w:val="00621C13"/>
    <w:rsid w:val="00622496"/>
    <w:rsid w:val="006227EB"/>
    <w:rsid w:val="00623C43"/>
    <w:rsid w:val="00624928"/>
    <w:rsid w:val="006264F1"/>
    <w:rsid w:val="00626C39"/>
    <w:rsid w:val="0063124E"/>
    <w:rsid w:val="00631C2F"/>
    <w:rsid w:val="00631D93"/>
    <w:rsid w:val="00631FD7"/>
    <w:rsid w:val="00632B57"/>
    <w:rsid w:val="00632D42"/>
    <w:rsid w:val="0063314F"/>
    <w:rsid w:val="006335F2"/>
    <w:rsid w:val="00635551"/>
    <w:rsid w:val="006355ED"/>
    <w:rsid w:val="0063582C"/>
    <w:rsid w:val="00635845"/>
    <w:rsid w:val="00635E52"/>
    <w:rsid w:val="00636ACE"/>
    <w:rsid w:val="006379EA"/>
    <w:rsid w:val="00641F93"/>
    <w:rsid w:val="00642771"/>
    <w:rsid w:val="00642979"/>
    <w:rsid w:val="00642EAA"/>
    <w:rsid w:val="006431D1"/>
    <w:rsid w:val="006438B2"/>
    <w:rsid w:val="00643C83"/>
    <w:rsid w:val="00644311"/>
    <w:rsid w:val="00644DE8"/>
    <w:rsid w:val="0064507B"/>
    <w:rsid w:val="00645F6A"/>
    <w:rsid w:val="00645F86"/>
    <w:rsid w:val="006468ED"/>
    <w:rsid w:val="00646A8A"/>
    <w:rsid w:val="00647219"/>
    <w:rsid w:val="00650152"/>
    <w:rsid w:val="006507E8"/>
    <w:rsid w:val="006508BF"/>
    <w:rsid w:val="006513C3"/>
    <w:rsid w:val="00651814"/>
    <w:rsid w:val="0065190C"/>
    <w:rsid w:val="00651D93"/>
    <w:rsid w:val="00651F2B"/>
    <w:rsid w:val="006521F0"/>
    <w:rsid w:val="006527E4"/>
    <w:rsid w:val="00652A8E"/>
    <w:rsid w:val="00652B22"/>
    <w:rsid w:val="00652C4C"/>
    <w:rsid w:val="00652C4E"/>
    <w:rsid w:val="0065354C"/>
    <w:rsid w:val="0065359C"/>
    <w:rsid w:val="00653C58"/>
    <w:rsid w:val="0065419A"/>
    <w:rsid w:val="006543CD"/>
    <w:rsid w:val="00654531"/>
    <w:rsid w:val="006547AA"/>
    <w:rsid w:val="00654E9A"/>
    <w:rsid w:val="00655BFF"/>
    <w:rsid w:val="00657E23"/>
    <w:rsid w:val="006602CA"/>
    <w:rsid w:val="00660310"/>
    <w:rsid w:val="00660A21"/>
    <w:rsid w:val="006618A6"/>
    <w:rsid w:val="00661BA1"/>
    <w:rsid w:val="00662089"/>
    <w:rsid w:val="006629BD"/>
    <w:rsid w:val="006642B4"/>
    <w:rsid w:val="00664648"/>
    <w:rsid w:val="00664B6F"/>
    <w:rsid w:val="00664D88"/>
    <w:rsid w:val="0066553C"/>
    <w:rsid w:val="00665754"/>
    <w:rsid w:val="0066674B"/>
    <w:rsid w:val="00666CEC"/>
    <w:rsid w:val="00666F43"/>
    <w:rsid w:val="00667062"/>
    <w:rsid w:val="0066796B"/>
    <w:rsid w:val="00667DDE"/>
    <w:rsid w:val="0067083E"/>
    <w:rsid w:val="0067108D"/>
    <w:rsid w:val="00671479"/>
    <w:rsid w:val="006724C8"/>
    <w:rsid w:val="00672F12"/>
    <w:rsid w:val="006732AA"/>
    <w:rsid w:val="00673890"/>
    <w:rsid w:val="006742F5"/>
    <w:rsid w:val="00674321"/>
    <w:rsid w:val="006761AA"/>
    <w:rsid w:val="00676E36"/>
    <w:rsid w:val="00677763"/>
    <w:rsid w:val="00677BBC"/>
    <w:rsid w:val="006802A1"/>
    <w:rsid w:val="0068038A"/>
    <w:rsid w:val="006811FD"/>
    <w:rsid w:val="00682426"/>
    <w:rsid w:val="00682C00"/>
    <w:rsid w:val="006832DB"/>
    <w:rsid w:val="006838B4"/>
    <w:rsid w:val="0068445E"/>
    <w:rsid w:val="006845DA"/>
    <w:rsid w:val="00684FB2"/>
    <w:rsid w:val="0068538D"/>
    <w:rsid w:val="00686000"/>
    <w:rsid w:val="006860FD"/>
    <w:rsid w:val="006867BC"/>
    <w:rsid w:val="0068688E"/>
    <w:rsid w:val="006871B0"/>
    <w:rsid w:val="006907B7"/>
    <w:rsid w:val="0069081A"/>
    <w:rsid w:val="00691C5A"/>
    <w:rsid w:val="006920DA"/>
    <w:rsid w:val="00692197"/>
    <w:rsid w:val="00692E6E"/>
    <w:rsid w:val="00693BAB"/>
    <w:rsid w:val="00694106"/>
    <w:rsid w:val="00695DE6"/>
    <w:rsid w:val="00697086"/>
    <w:rsid w:val="00697C47"/>
    <w:rsid w:val="006A0014"/>
    <w:rsid w:val="006A06A6"/>
    <w:rsid w:val="006A0C58"/>
    <w:rsid w:val="006A10B1"/>
    <w:rsid w:val="006A1BB7"/>
    <w:rsid w:val="006A1DFC"/>
    <w:rsid w:val="006A24A4"/>
    <w:rsid w:val="006A2C12"/>
    <w:rsid w:val="006A3901"/>
    <w:rsid w:val="006A394B"/>
    <w:rsid w:val="006A3D2E"/>
    <w:rsid w:val="006A3EA1"/>
    <w:rsid w:val="006A427A"/>
    <w:rsid w:val="006A48D8"/>
    <w:rsid w:val="006A4AFC"/>
    <w:rsid w:val="006A4D9C"/>
    <w:rsid w:val="006A5803"/>
    <w:rsid w:val="006A5A14"/>
    <w:rsid w:val="006A5D65"/>
    <w:rsid w:val="006A6538"/>
    <w:rsid w:val="006A66A4"/>
    <w:rsid w:val="006A6EDD"/>
    <w:rsid w:val="006A77D1"/>
    <w:rsid w:val="006A7C5D"/>
    <w:rsid w:val="006A7CBE"/>
    <w:rsid w:val="006B01FB"/>
    <w:rsid w:val="006B0A85"/>
    <w:rsid w:val="006B0DF9"/>
    <w:rsid w:val="006B1409"/>
    <w:rsid w:val="006B1A21"/>
    <w:rsid w:val="006B2075"/>
    <w:rsid w:val="006B210F"/>
    <w:rsid w:val="006B2A2F"/>
    <w:rsid w:val="006B2B36"/>
    <w:rsid w:val="006B367E"/>
    <w:rsid w:val="006B3E66"/>
    <w:rsid w:val="006B44AB"/>
    <w:rsid w:val="006B4706"/>
    <w:rsid w:val="006B4C82"/>
    <w:rsid w:val="006B4DD6"/>
    <w:rsid w:val="006B53A4"/>
    <w:rsid w:val="006B5957"/>
    <w:rsid w:val="006B5A3C"/>
    <w:rsid w:val="006B5A8D"/>
    <w:rsid w:val="006B5B12"/>
    <w:rsid w:val="006B5C91"/>
    <w:rsid w:val="006B5E8A"/>
    <w:rsid w:val="006B6D10"/>
    <w:rsid w:val="006B6DDE"/>
    <w:rsid w:val="006B6DF6"/>
    <w:rsid w:val="006B7259"/>
    <w:rsid w:val="006B73D8"/>
    <w:rsid w:val="006B74F3"/>
    <w:rsid w:val="006B7513"/>
    <w:rsid w:val="006B7756"/>
    <w:rsid w:val="006B7807"/>
    <w:rsid w:val="006C048D"/>
    <w:rsid w:val="006C0DDC"/>
    <w:rsid w:val="006C162D"/>
    <w:rsid w:val="006C1647"/>
    <w:rsid w:val="006C1971"/>
    <w:rsid w:val="006C1CE4"/>
    <w:rsid w:val="006C2B3E"/>
    <w:rsid w:val="006C2FB6"/>
    <w:rsid w:val="006C4608"/>
    <w:rsid w:val="006C59BA"/>
    <w:rsid w:val="006C5BC1"/>
    <w:rsid w:val="006C5BF9"/>
    <w:rsid w:val="006C5D6E"/>
    <w:rsid w:val="006C6AFC"/>
    <w:rsid w:val="006C6BF5"/>
    <w:rsid w:val="006C6EF3"/>
    <w:rsid w:val="006D025A"/>
    <w:rsid w:val="006D0313"/>
    <w:rsid w:val="006D0F4D"/>
    <w:rsid w:val="006D0F7A"/>
    <w:rsid w:val="006D1050"/>
    <w:rsid w:val="006D1B67"/>
    <w:rsid w:val="006D220D"/>
    <w:rsid w:val="006D2456"/>
    <w:rsid w:val="006D28B5"/>
    <w:rsid w:val="006D2D0F"/>
    <w:rsid w:val="006D3646"/>
    <w:rsid w:val="006D59FA"/>
    <w:rsid w:val="006D6107"/>
    <w:rsid w:val="006D6E33"/>
    <w:rsid w:val="006D6FC7"/>
    <w:rsid w:val="006D7632"/>
    <w:rsid w:val="006D766A"/>
    <w:rsid w:val="006D77F9"/>
    <w:rsid w:val="006D7A83"/>
    <w:rsid w:val="006D7D23"/>
    <w:rsid w:val="006E1060"/>
    <w:rsid w:val="006E1AA1"/>
    <w:rsid w:val="006E1AC4"/>
    <w:rsid w:val="006E21AF"/>
    <w:rsid w:val="006E2605"/>
    <w:rsid w:val="006E27B3"/>
    <w:rsid w:val="006E2FE0"/>
    <w:rsid w:val="006E43D0"/>
    <w:rsid w:val="006E480D"/>
    <w:rsid w:val="006E57D7"/>
    <w:rsid w:val="006E5A37"/>
    <w:rsid w:val="006E62B8"/>
    <w:rsid w:val="006E76A8"/>
    <w:rsid w:val="006F0B0B"/>
    <w:rsid w:val="006F0DB9"/>
    <w:rsid w:val="006F0E8D"/>
    <w:rsid w:val="006F15B1"/>
    <w:rsid w:val="006F18AD"/>
    <w:rsid w:val="006F24CC"/>
    <w:rsid w:val="006F286B"/>
    <w:rsid w:val="006F320C"/>
    <w:rsid w:val="006F3C53"/>
    <w:rsid w:val="006F3F3A"/>
    <w:rsid w:val="006F3FA7"/>
    <w:rsid w:val="006F41CD"/>
    <w:rsid w:val="006F423D"/>
    <w:rsid w:val="006F4396"/>
    <w:rsid w:val="006F49E2"/>
    <w:rsid w:val="006F53DC"/>
    <w:rsid w:val="006F58DE"/>
    <w:rsid w:val="006F5934"/>
    <w:rsid w:val="006F5DDC"/>
    <w:rsid w:val="006F620F"/>
    <w:rsid w:val="006F63B8"/>
    <w:rsid w:val="006F6C0D"/>
    <w:rsid w:val="006F6CA9"/>
    <w:rsid w:val="006F6DEE"/>
    <w:rsid w:val="006F70DB"/>
    <w:rsid w:val="006F7123"/>
    <w:rsid w:val="006F73B3"/>
    <w:rsid w:val="006F7A7E"/>
    <w:rsid w:val="007003EA"/>
    <w:rsid w:val="0070101F"/>
    <w:rsid w:val="0070193C"/>
    <w:rsid w:val="00701D02"/>
    <w:rsid w:val="007029B8"/>
    <w:rsid w:val="00703797"/>
    <w:rsid w:val="0070408E"/>
    <w:rsid w:val="00710BD3"/>
    <w:rsid w:val="00713232"/>
    <w:rsid w:val="00713DFC"/>
    <w:rsid w:val="00714B3A"/>
    <w:rsid w:val="00714D71"/>
    <w:rsid w:val="00715460"/>
    <w:rsid w:val="00715B3B"/>
    <w:rsid w:val="007211C2"/>
    <w:rsid w:val="007216E8"/>
    <w:rsid w:val="00721DDF"/>
    <w:rsid w:val="00721FCF"/>
    <w:rsid w:val="007223D7"/>
    <w:rsid w:val="00722E7F"/>
    <w:rsid w:val="00723C28"/>
    <w:rsid w:val="00724901"/>
    <w:rsid w:val="00724CEB"/>
    <w:rsid w:val="00724DE7"/>
    <w:rsid w:val="00725003"/>
    <w:rsid w:val="00725A6E"/>
    <w:rsid w:val="00725AB3"/>
    <w:rsid w:val="0072634A"/>
    <w:rsid w:val="007264E2"/>
    <w:rsid w:val="00727864"/>
    <w:rsid w:val="00730B00"/>
    <w:rsid w:val="007311BC"/>
    <w:rsid w:val="00731A1E"/>
    <w:rsid w:val="0073229E"/>
    <w:rsid w:val="007347A4"/>
    <w:rsid w:val="00734EBD"/>
    <w:rsid w:val="00734EC7"/>
    <w:rsid w:val="00735D4B"/>
    <w:rsid w:val="00736D44"/>
    <w:rsid w:val="00736D8E"/>
    <w:rsid w:val="0073738E"/>
    <w:rsid w:val="00737BB6"/>
    <w:rsid w:val="007400DE"/>
    <w:rsid w:val="007417CE"/>
    <w:rsid w:val="00742424"/>
    <w:rsid w:val="00742BB1"/>
    <w:rsid w:val="007433FE"/>
    <w:rsid w:val="00744541"/>
    <w:rsid w:val="00744681"/>
    <w:rsid w:val="007450D8"/>
    <w:rsid w:val="00745B11"/>
    <w:rsid w:val="0074626E"/>
    <w:rsid w:val="007468A2"/>
    <w:rsid w:val="007475F1"/>
    <w:rsid w:val="00751533"/>
    <w:rsid w:val="00751AAB"/>
    <w:rsid w:val="00751DAB"/>
    <w:rsid w:val="0075346D"/>
    <w:rsid w:val="00753653"/>
    <w:rsid w:val="00754332"/>
    <w:rsid w:val="007544D8"/>
    <w:rsid w:val="00754823"/>
    <w:rsid w:val="00754AE0"/>
    <w:rsid w:val="007552D8"/>
    <w:rsid w:val="00756018"/>
    <w:rsid w:val="00756D92"/>
    <w:rsid w:val="007571D8"/>
    <w:rsid w:val="00757CA9"/>
    <w:rsid w:val="007600C4"/>
    <w:rsid w:val="007612AD"/>
    <w:rsid w:val="0076183D"/>
    <w:rsid w:val="0076202C"/>
    <w:rsid w:val="00762560"/>
    <w:rsid w:val="00762BF7"/>
    <w:rsid w:val="00763EEF"/>
    <w:rsid w:val="00764A19"/>
    <w:rsid w:val="00764D96"/>
    <w:rsid w:val="007651DD"/>
    <w:rsid w:val="00765B5C"/>
    <w:rsid w:val="007663D9"/>
    <w:rsid w:val="0076735D"/>
    <w:rsid w:val="00767A79"/>
    <w:rsid w:val="00767BE4"/>
    <w:rsid w:val="0077025B"/>
    <w:rsid w:val="007715E7"/>
    <w:rsid w:val="00771D4A"/>
    <w:rsid w:val="00772321"/>
    <w:rsid w:val="007727D6"/>
    <w:rsid w:val="00773784"/>
    <w:rsid w:val="00774427"/>
    <w:rsid w:val="007751D5"/>
    <w:rsid w:val="00775FD6"/>
    <w:rsid w:val="007760C7"/>
    <w:rsid w:val="007764C4"/>
    <w:rsid w:val="007766C2"/>
    <w:rsid w:val="00776767"/>
    <w:rsid w:val="00776CEE"/>
    <w:rsid w:val="00776D16"/>
    <w:rsid w:val="00776D40"/>
    <w:rsid w:val="00776E46"/>
    <w:rsid w:val="00780531"/>
    <w:rsid w:val="00780B83"/>
    <w:rsid w:val="00781366"/>
    <w:rsid w:val="007833DC"/>
    <w:rsid w:val="00783DC4"/>
    <w:rsid w:val="0078410E"/>
    <w:rsid w:val="0078577A"/>
    <w:rsid w:val="00785E99"/>
    <w:rsid w:val="00786EFA"/>
    <w:rsid w:val="00787899"/>
    <w:rsid w:val="00787F78"/>
    <w:rsid w:val="00790052"/>
    <w:rsid w:val="00791200"/>
    <w:rsid w:val="007926A2"/>
    <w:rsid w:val="00792957"/>
    <w:rsid w:val="0079373F"/>
    <w:rsid w:val="00794B43"/>
    <w:rsid w:val="007957B8"/>
    <w:rsid w:val="00795AE2"/>
    <w:rsid w:val="00795BF2"/>
    <w:rsid w:val="007968FE"/>
    <w:rsid w:val="00796BB1"/>
    <w:rsid w:val="007970BD"/>
    <w:rsid w:val="0079722B"/>
    <w:rsid w:val="00797EB6"/>
    <w:rsid w:val="007A01B7"/>
    <w:rsid w:val="007A091A"/>
    <w:rsid w:val="007A0CA0"/>
    <w:rsid w:val="007A1A5C"/>
    <w:rsid w:val="007A1E29"/>
    <w:rsid w:val="007A2650"/>
    <w:rsid w:val="007A29D6"/>
    <w:rsid w:val="007A341B"/>
    <w:rsid w:val="007A41EE"/>
    <w:rsid w:val="007A47A5"/>
    <w:rsid w:val="007A4BFF"/>
    <w:rsid w:val="007A5021"/>
    <w:rsid w:val="007A5667"/>
    <w:rsid w:val="007A58ED"/>
    <w:rsid w:val="007A6ABD"/>
    <w:rsid w:val="007A6D45"/>
    <w:rsid w:val="007A6DCC"/>
    <w:rsid w:val="007A6EF2"/>
    <w:rsid w:val="007A7348"/>
    <w:rsid w:val="007A7446"/>
    <w:rsid w:val="007A77DD"/>
    <w:rsid w:val="007A7B6D"/>
    <w:rsid w:val="007B08AB"/>
    <w:rsid w:val="007B18B7"/>
    <w:rsid w:val="007B204D"/>
    <w:rsid w:val="007B23BE"/>
    <w:rsid w:val="007B2702"/>
    <w:rsid w:val="007B2DAB"/>
    <w:rsid w:val="007B2EF4"/>
    <w:rsid w:val="007B38C1"/>
    <w:rsid w:val="007B4B9B"/>
    <w:rsid w:val="007B66EB"/>
    <w:rsid w:val="007B6C37"/>
    <w:rsid w:val="007B7CE2"/>
    <w:rsid w:val="007B7F96"/>
    <w:rsid w:val="007C0133"/>
    <w:rsid w:val="007C08DC"/>
    <w:rsid w:val="007C0924"/>
    <w:rsid w:val="007C0CFC"/>
    <w:rsid w:val="007C118E"/>
    <w:rsid w:val="007C154C"/>
    <w:rsid w:val="007C1651"/>
    <w:rsid w:val="007C1D59"/>
    <w:rsid w:val="007C267B"/>
    <w:rsid w:val="007C3336"/>
    <w:rsid w:val="007C3D7B"/>
    <w:rsid w:val="007C3ECB"/>
    <w:rsid w:val="007C466C"/>
    <w:rsid w:val="007C502A"/>
    <w:rsid w:val="007C51C2"/>
    <w:rsid w:val="007C5454"/>
    <w:rsid w:val="007C5B99"/>
    <w:rsid w:val="007C6503"/>
    <w:rsid w:val="007C6AE7"/>
    <w:rsid w:val="007D019E"/>
    <w:rsid w:val="007D21E1"/>
    <w:rsid w:val="007D22FA"/>
    <w:rsid w:val="007D3EAC"/>
    <w:rsid w:val="007D44EF"/>
    <w:rsid w:val="007D4AD9"/>
    <w:rsid w:val="007D4E3E"/>
    <w:rsid w:val="007D507B"/>
    <w:rsid w:val="007D5C68"/>
    <w:rsid w:val="007D68AF"/>
    <w:rsid w:val="007D6A34"/>
    <w:rsid w:val="007D6DB6"/>
    <w:rsid w:val="007D7511"/>
    <w:rsid w:val="007E004B"/>
    <w:rsid w:val="007E083B"/>
    <w:rsid w:val="007E0D9A"/>
    <w:rsid w:val="007E0F56"/>
    <w:rsid w:val="007E21F9"/>
    <w:rsid w:val="007E246B"/>
    <w:rsid w:val="007E2808"/>
    <w:rsid w:val="007E2858"/>
    <w:rsid w:val="007E28CD"/>
    <w:rsid w:val="007E3101"/>
    <w:rsid w:val="007E3861"/>
    <w:rsid w:val="007E3C15"/>
    <w:rsid w:val="007E5C4F"/>
    <w:rsid w:val="007E6BDC"/>
    <w:rsid w:val="007E6FA7"/>
    <w:rsid w:val="007E71C9"/>
    <w:rsid w:val="007E721B"/>
    <w:rsid w:val="007E761C"/>
    <w:rsid w:val="007E78F9"/>
    <w:rsid w:val="007F04B2"/>
    <w:rsid w:val="007F07C1"/>
    <w:rsid w:val="007F1363"/>
    <w:rsid w:val="007F2234"/>
    <w:rsid w:val="007F258D"/>
    <w:rsid w:val="007F2C6B"/>
    <w:rsid w:val="007F3514"/>
    <w:rsid w:val="007F3AF5"/>
    <w:rsid w:val="007F3B0A"/>
    <w:rsid w:val="007F4B48"/>
    <w:rsid w:val="007F537F"/>
    <w:rsid w:val="007F61F7"/>
    <w:rsid w:val="007F64D9"/>
    <w:rsid w:val="007F71B2"/>
    <w:rsid w:val="007F7D9E"/>
    <w:rsid w:val="00800BD3"/>
    <w:rsid w:val="00800F23"/>
    <w:rsid w:val="00801A09"/>
    <w:rsid w:val="00801A4E"/>
    <w:rsid w:val="00801B8E"/>
    <w:rsid w:val="00801E36"/>
    <w:rsid w:val="00802159"/>
    <w:rsid w:val="00802506"/>
    <w:rsid w:val="00803514"/>
    <w:rsid w:val="008041C4"/>
    <w:rsid w:val="0080574D"/>
    <w:rsid w:val="00805915"/>
    <w:rsid w:val="00805AB4"/>
    <w:rsid w:val="00805F6A"/>
    <w:rsid w:val="00806F78"/>
    <w:rsid w:val="00807098"/>
    <w:rsid w:val="00807AE9"/>
    <w:rsid w:val="008100D7"/>
    <w:rsid w:val="00810A0C"/>
    <w:rsid w:val="00810B19"/>
    <w:rsid w:val="00810C42"/>
    <w:rsid w:val="00811163"/>
    <w:rsid w:val="00811544"/>
    <w:rsid w:val="00811A5B"/>
    <w:rsid w:val="00812FDF"/>
    <w:rsid w:val="008131C6"/>
    <w:rsid w:val="00813643"/>
    <w:rsid w:val="00813840"/>
    <w:rsid w:val="00813C06"/>
    <w:rsid w:val="008141FF"/>
    <w:rsid w:val="00814BD9"/>
    <w:rsid w:val="00814FB2"/>
    <w:rsid w:val="00815BD1"/>
    <w:rsid w:val="00815C8B"/>
    <w:rsid w:val="00815E0D"/>
    <w:rsid w:val="008162C5"/>
    <w:rsid w:val="00816720"/>
    <w:rsid w:val="0081696C"/>
    <w:rsid w:val="00817F11"/>
    <w:rsid w:val="00820BE1"/>
    <w:rsid w:val="00820BF2"/>
    <w:rsid w:val="00820FB0"/>
    <w:rsid w:val="00821213"/>
    <w:rsid w:val="00821311"/>
    <w:rsid w:val="00821D85"/>
    <w:rsid w:val="00821E37"/>
    <w:rsid w:val="008220AF"/>
    <w:rsid w:val="00822521"/>
    <w:rsid w:val="008236B1"/>
    <w:rsid w:val="00825144"/>
    <w:rsid w:val="00825625"/>
    <w:rsid w:val="00825EDC"/>
    <w:rsid w:val="00826734"/>
    <w:rsid w:val="00826B04"/>
    <w:rsid w:val="00826BF0"/>
    <w:rsid w:val="00826F25"/>
    <w:rsid w:val="008300ED"/>
    <w:rsid w:val="00830A7A"/>
    <w:rsid w:val="00831435"/>
    <w:rsid w:val="0083148C"/>
    <w:rsid w:val="008318E6"/>
    <w:rsid w:val="00831B6B"/>
    <w:rsid w:val="00831DAE"/>
    <w:rsid w:val="008322DA"/>
    <w:rsid w:val="00832325"/>
    <w:rsid w:val="0083327C"/>
    <w:rsid w:val="00834396"/>
    <w:rsid w:val="00835321"/>
    <w:rsid w:val="008355A5"/>
    <w:rsid w:val="0083570B"/>
    <w:rsid w:val="00835FEE"/>
    <w:rsid w:val="008360F5"/>
    <w:rsid w:val="00836143"/>
    <w:rsid w:val="00836166"/>
    <w:rsid w:val="008362DB"/>
    <w:rsid w:val="0083712B"/>
    <w:rsid w:val="00840734"/>
    <w:rsid w:val="00840E27"/>
    <w:rsid w:val="00840FB6"/>
    <w:rsid w:val="008424EF"/>
    <w:rsid w:val="00843203"/>
    <w:rsid w:val="008433B6"/>
    <w:rsid w:val="008462D7"/>
    <w:rsid w:val="0084766B"/>
    <w:rsid w:val="008477F8"/>
    <w:rsid w:val="00847BEB"/>
    <w:rsid w:val="00850160"/>
    <w:rsid w:val="008502EF"/>
    <w:rsid w:val="008508C2"/>
    <w:rsid w:val="00851EBF"/>
    <w:rsid w:val="0085220E"/>
    <w:rsid w:val="008523F0"/>
    <w:rsid w:val="0085294B"/>
    <w:rsid w:val="00852F8A"/>
    <w:rsid w:val="00854C08"/>
    <w:rsid w:val="00855E8C"/>
    <w:rsid w:val="00855EB6"/>
    <w:rsid w:val="00856249"/>
    <w:rsid w:val="0085632E"/>
    <w:rsid w:val="008569D9"/>
    <w:rsid w:val="0085728B"/>
    <w:rsid w:val="00860A97"/>
    <w:rsid w:val="00860CF2"/>
    <w:rsid w:val="00861E39"/>
    <w:rsid w:val="0086221A"/>
    <w:rsid w:val="0086222F"/>
    <w:rsid w:val="00862B45"/>
    <w:rsid w:val="008636A2"/>
    <w:rsid w:val="00863C5A"/>
    <w:rsid w:val="008647B0"/>
    <w:rsid w:val="00864A62"/>
    <w:rsid w:val="008653F2"/>
    <w:rsid w:val="008655A4"/>
    <w:rsid w:val="00865A99"/>
    <w:rsid w:val="00865CFD"/>
    <w:rsid w:val="00865EA0"/>
    <w:rsid w:val="00865EE9"/>
    <w:rsid w:val="00866CDE"/>
    <w:rsid w:val="00867178"/>
    <w:rsid w:val="0086762A"/>
    <w:rsid w:val="008677B3"/>
    <w:rsid w:val="008677D4"/>
    <w:rsid w:val="00867822"/>
    <w:rsid w:val="00867AD9"/>
    <w:rsid w:val="008703AD"/>
    <w:rsid w:val="008711F8"/>
    <w:rsid w:val="00871AD1"/>
    <w:rsid w:val="00871CC9"/>
    <w:rsid w:val="008723D2"/>
    <w:rsid w:val="00872D44"/>
    <w:rsid w:val="00873512"/>
    <w:rsid w:val="0087383C"/>
    <w:rsid w:val="00873A4E"/>
    <w:rsid w:val="00874375"/>
    <w:rsid w:val="00875260"/>
    <w:rsid w:val="00875E2F"/>
    <w:rsid w:val="00876330"/>
    <w:rsid w:val="00877A26"/>
    <w:rsid w:val="00877C8C"/>
    <w:rsid w:val="00880828"/>
    <w:rsid w:val="00880B36"/>
    <w:rsid w:val="008818FC"/>
    <w:rsid w:val="00881B13"/>
    <w:rsid w:val="00881F2A"/>
    <w:rsid w:val="008829DA"/>
    <w:rsid w:val="00882F6E"/>
    <w:rsid w:val="00883559"/>
    <w:rsid w:val="00883632"/>
    <w:rsid w:val="00883811"/>
    <w:rsid w:val="00885275"/>
    <w:rsid w:val="00885661"/>
    <w:rsid w:val="008857C5"/>
    <w:rsid w:val="00885A9C"/>
    <w:rsid w:val="00885E35"/>
    <w:rsid w:val="008863C9"/>
    <w:rsid w:val="00886846"/>
    <w:rsid w:val="00886B06"/>
    <w:rsid w:val="00887455"/>
    <w:rsid w:val="00887B20"/>
    <w:rsid w:val="008903C7"/>
    <w:rsid w:val="00891B98"/>
    <w:rsid w:val="00892380"/>
    <w:rsid w:val="008923BA"/>
    <w:rsid w:val="00892AA3"/>
    <w:rsid w:val="00894046"/>
    <w:rsid w:val="008943F5"/>
    <w:rsid w:val="00894438"/>
    <w:rsid w:val="00894843"/>
    <w:rsid w:val="00895156"/>
    <w:rsid w:val="00895321"/>
    <w:rsid w:val="00897921"/>
    <w:rsid w:val="00897B82"/>
    <w:rsid w:val="008A0577"/>
    <w:rsid w:val="008A1713"/>
    <w:rsid w:val="008A1750"/>
    <w:rsid w:val="008A1AE4"/>
    <w:rsid w:val="008A1CB2"/>
    <w:rsid w:val="008A24C3"/>
    <w:rsid w:val="008A2A6A"/>
    <w:rsid w:val="008A2CC5"/>
    <w:rsid w:val="008A3120"/>
    <w:rsid w:val="008A3AE6"/>
    <w:rsid w:val="008A4928"/>
    <w:rsid w:val="008A5FEF"/>
    <w:rsid w:val="008A6B2A"/>
    <w:rsid w:val="008A7AD0"/>
    <w:rsid w:val="008B0F62"/>
    <w:rsid w:val="008B117F"/>
    <w:rsid w:val="008B1213"/>
    <w:rsid w:val="008B1616"/>
    <w:rsid w:val="008B18E4"/>
    <w:rsid w:val="008B1933"/>
    <w:rsid w:val="008B23D2"/>
    <w:rsid w:val="008B2731"/>
    <w:rsid w:val="008B2FFD"/>
    <w:rsid w:val="008B3FE6"/>
    <w:rsid w:val="008B4983"/>
    <w:rsid w:val="008B508C"/>
    <w:rsid w:val="008B6969"/>
    <w:rsid w:val="008C1414"/>
    <w:rsid w:val="008C1A28"/>
    <w:rsid w:val="008C1A41"/>
    <w:rsid w:val="008C1F96"/>
    <w:rsid w:val="008C260D"/>
    <w:rsid w:val="008C2EC0"/>
    <w:rsid w:val="008C31CD"/>
    <w:rsid w:val="008C3F48"/>
    <w:rsid w:val="008C459C"/>
    <w:rsid w:val="008C4B28"/>
    <w:rsid w:val="008C4CA0"/>
    <w:rsid w:val="008C662A"/>
    <w:rsid w:val="008C6816"/>
    <w:rsid w:val="008C6984"/>
    <w:rsid w:val="008C7DC3"/>
    <w:rsid w:val="008D007A"/>
    <w:rsid w:val="008D07AA"/>
    <w:rsid w:val="008D151E"/>
    <w:rsid w:val="008D1DBD"/>
    <w:rsid w:val="008D1EE5"/>
    <w:rsid w:val="008D2008"/>
    <w:rsid w:val="008D203D"/>
    <w:rsid w:val="008D31A1"/>
    <w:rsid w:val="008D31B2"/>
    <w:rsid w:val="008D4754"/>
    <w:rsid w:val="008D4B03"/>
    <w:rsid w:val="008D5879"/>
    <w:rsid w:val="008D5E66"/>
    <w:rsid w:val="008D607D"/>
    <w:rsid w:val="008D7759"/>
    <w:rsid w:val="008D7858"/>
    <w:rsid w:val="008E026F"/>
    <w:rsid w:val="008E2BF1"/>
    <w:rsid w:val="008E2F73"/>
    <w:rsid w:val="008E337C"/>
    <w:rsid w:val="008E3E5B"/>
    <w:rsid w:val="008E4395"/>
    <w:rsid w:val="008E4AF9"/>
    <w:rsid w:val="008E4BF1"/>
    <w:rsid w:val="008E5352"/>
    <w:rsid w:val="008E580E"/>
    <w:rsid w:val="008E5DE8"/>
    <w:rsid w:val="008E6565"/>
    <w:rsid w:val="008E6A7E"/>
    <w:rsid w:val="008E6CEC"/>
    <w:rsid w:val="008E7619"/>
    <w:rsid w:val="008E76BA"/>
    <w:rsid w:val="008E79FB"/>
    <w:rsid w:val="008F08C6"/>
    <w:rsid w:val="008F0C89"/>
    <w:rsid w:val="008F1758"/>
    <w:rsid w:val="008F23C3"/>
    <w:rsid w:val="008F2C76"/>
    <w:rsid w:val="008F3340"/>
    <w:rsid w:val="008F4890"/>
    <w:rsid w:val="008F4898"/>
    <w:rsid w:val="008F4B17"/>
    <w:rsid w:val="008F615A"/>
    <w:rsid w:val="008F6770"/>
    <w:rsid w:val="008F6C4D"/>
    <w:rsid w:val="00900CA7"/>
    <w:rsid w:val="00900CA8"/>
    <w:rsid w:val="00900E82"/>
    <w:rsid w:val="00901B27"/>
    <w:rsid w:val="0090284D"/>
    <w:rsid w:val="00903765"/>
    <w:rsid w:val="00905C70"/>
    <w:rsid w:val="00905FE9"/>
    <w:rsid w:val="00906343"/>
    <w:rsid w:val="00906966"/>
    <w:rsid w:val="00907A36"/>
    <w:rsid w:val="00910444"/>
    <w:rsid w:val="0091092F"/>
    <w:rsid w:val="00910BD8"/>
    <w:rsid w:val="00912F20"/>
    <w:rsid w:val="00912FF6"/>
    <w:rsid w:val="00913155"/>
    <w:rsid w:val="00913B8B"/>
    <w:rsid w:val="00913F5A"/>
    <w:rsid w:val="00913FE5"/>
    <w:rsid w:val="009149BE"/>
    <w:rsid w:val="00914B7E"/>
    <w:rsid w:val="00914DEA"/>
    <w:rsid w:val="00914FDC"/>
    <w:rsid w:val="009153AA"/>
    <w:rsid w:val="009164F8"/>
    <w:rsid w:val="00916E72"/>
    <w:rsid w:val="00917F18"/>
    <w:rsid w:val="0092005C"/>
    <w:rsid w:val="00920324"/>
    <w:rsid w:val="0092058F"/>
    <w:rsid w:val="00920697"/>
    <w:rsid w:val="00920D0B"/>
    <w:rsid w:val="00920E01"/>
    <w:rsid w:val="0092130C"/>
    <w:rsid w:val="00921363"/>
    <w:rsid w:val="00921D9C"/>
    <w:rsid w:val="0092227E"/>
    <w:rsid w:val="009222C3"/>
    <w:rsid w:val="009227F6"/>
    <w:rsid w:val="009239DC"/>
    <w:rsid w:val="009242A7"/>
    <w:rsid w:val="00924969"/>
    <w:rsid w:val="00925980"/>
    <w:rsid w:val="00926D16"/>
    <w:rsid w:val="0092753D"/>
    <w:rsid w:val="0092761D"/>
    <w:rsid w:val="00927DBE"/>
    <w:rsid w:val="009301EF"/>
    <w:rsid w:val="00930216"/>
    <w:rsid w:val="00930275"/>
    <w:rsid w:val="00930D46"/>
    <w:rsid w:val="009322E0"/>
    <w:rsid w:val="00932BCD"/>
    <w:rsid w:val="00932D86"/>
    <w:rsid w:val="009333FA"/>
    <w:rsid w:val="0093384F"/>
    <w:rsid w:val="00933955"/>
    <w:rsid w:val="00933DCA"/>
    <w:rsid w:val="00934735"/>
    <w:rsid w:val="0093521E"/>
    <w:rsid w:val="00935244"/>
    <w:rsid w:val="009360BA"/>
    <w:rsid w:val="009367E3"/>
    <w:rsid w:val="00936864"/>
    <w:rsid w:val="009369E6"/>
    <w:rsid w:val="00936B08"/>
    <w:rsid w:val="00936BDA"/>
    <w:rsid w:val="009370CB"/>
    <w:rsid w:val="00937171"/>
    <w:rsid w:val="0093738B"/>
    <w:rsid w:val="00937E28"/>
    <w:rsid w:val="009405AE"/>
    <w:rsid w:val="009409DF"/>
    <w:rsid w:val="009411A2"/>
    <w:rsid w:val="0094124E"/>
    <w:rsid w:val="0094171D"/>
    <w:rsid w:val="009417B9"/>
    <w:rsid w:val="00941CC7"/>
    <w:rsid w:val="00941F13"/>
    <w:rsid w:val="00942DB5"/>
    <w:rsid w:val="009435DC"/>
    <w:rsid w:val="0094436E"/>
    <w:rsid w:val="00944A72"/>
    <w:rsid w:val="00944AF8"/>
    <w:rsid w:val="00945CC5"/>
    <w:rsid w:val="00947A4B"/>
    <w:rsid w:val="00950170"/>
    <w:rsid w:val="00950681"/>
    <w:rsid w:val="00950949"/>
    <w:rsid w:val="009516A1"/>
    <w:rsid w:val="00951763"/>
    <w:rsid w:val="009518FE"/>
    <w:rsid w:val="00951B1F"/>
    <w:rsid w:val="009526FC"/>
    <w:rsid w:val="00952A6A"/>
    <w:rsid w:val="00952D55"/>
    <w:rsid w:val="00952F32"/>
    <w:rsid w:val="0095337F"/>
    <w:rsid w:val="009537B7"/>
    <w:rsid w:val="009539E1"/>
    <w:rsid w:val="009549D9"/>
    <w:rsid w:val="00954EB2"/>
    <w:rsid w:val="00954F99"/>
    <w:rsid w:val="009559C8"/>
    <w:rsid w:val="00955B11"/>
    <w:rsid w:val="009562F0"/>
    <w:rsid w:val="009563CF"/>
    <w:rsid w:val="0095767E"/>
    <w:rsid w:val="009610AD"/>
    <w:rsid w:val="009613EE"/>
    <w:rsid w:val="00961777"/>
    <w:rsid w:val="00961D79"/>
    <w:rsid w:val="0096203D"/>
    <w:rsid w:val="00962219"/>
    <w:rsid w:val="0096347D"/>
    <w:rsid w:val="0096394E"/>
    <w:rsid w:val="00964310"/>
    <w:rsid w:val="009648D4"/>
    <w:rsid w:val="00964AB6"/>
    <w:rsid w:val="00964DFA"/>
    <w:rsid w:val="009653C0"/>
    <w:rsid w:val="00966213"/>
    <w:rsid w:val="00966387"/>
    <w:rsid w:val="009669DF"/>
    <w:rsid w:val="00966DFB"/>
    <w:rsid w:val="009670EC"/>
    <w:rsid w:val="009701E4"/>
    <w:rsid w:val="0097138C"/>
    <w:rsid w:val="009720FC"/>
    <w:rsid w:val="00972E6C"/>
    <w:rsid w:val="00973B3E"/>
    <w:rsid w:val="00973BA1"/>
    <w:rsid w:val="00974BEE"/>
    <w:rsid w:val="00975092"/>
    <w:rsid w:val="00975B9D"/>
    <w:rsid w:val="00975D9A"/>
    <w:rsid w:val="00976314"/>
    <w:rsid w:val="009767FF"/>
    <w:rsid w:val="00976A66"/>
    <w:rsid w:val="00976E73"/>
    <w:rsid w:val="009773C1"/>
    <w:rsid w:val="0097781D"/>
    <w:rsid w:val="00977AC9"/>
    <w:rsid w:val="00981428"/>
    <w:rsid w:val="00981800"/>
    <w:rsid w:val="00981A0F"/>
    <w:rsid w:val="00981ABE"/>
    <w:rsid w:val="00981BA4"/>
    <w:rsid w:val="009826E2"/>
    <w:rsid w:val="00982A57"/>
    <w:rsid w:val="00984D5A"/>
    <w:rsid w:val="00986620"/>
    <w:rsid w:val="0098716B"/>
    <w:rsid w:val="00987809"/>
    <w:rsid w:val="0099066F"/>
    <w:rsid w:val="0099073F"/>
    <w:rsid w:val="00991249"/>
    <w:rsid w:val="009913EA"/>
    <w:rsid w:val="00991BD1"/>
    <w:rsid w:val="009936FB"/>
    <w:rsid w:val="009937EE"/>
    <w:rsid w:val="009938C2"/>
    <w:rsid w:val="00993DC6"/>
    <w:rsid w:val="00994CC1"/>
    <w:rsid w:val="00994E7F"/>
    <w:rsid w:val="009951A8"/>
    <w:rsid w:val="009953D8"/>
    <w:rsid w:val="00996076"/>
    <w:rsid w:val="00996804"/>
    <w:rsid w:val="00996B3F"/>
    <w:rsid w:val="00996BC3"/>
    <w:rsid w:val="00996C9C"/>
    <w:rsid w:val="0099734A"/>
    <w:rsid w:val="00997BC1"/>
    <w:rsid w:val="009A00EB"/>
    <w:rsid w:val="009A0BF3"/>
    <w:rsid w:val="009A0F99"/>
    <w:rsid w:val="009A1E3D"/>
    <w:rsid w:val="009A28D9"/>
    <w:rsid w:val="009A347D"/>
    <w:rsid w:val="009A4BE6"/>
    <w:rsid w:val="009A50DE"/>
    <w:rsid w:val="009A53CE"/>
    <w:rsid w:val="009A5C4E"/>
    <w:rsid w:val="009A6830"/>
    <w:rsid w:val="009A6F37"/>
    <w:rsid w:val="009A7370"/>
    <w:rsid w:val="009A7E68"/>
    <w:rsid w:val="009B0C0F"/>
    <w:rsid w:val="009B16FB"/>
    <w:rsid w:val="009B210E"/>
    <w:rsid w:val="009B272A"/>
    <w:rsid w:val="009B3B67"/>
    <w:rsid w:val="009B4459"/>
    <w:rsid w:val="009B4ECD"/>
    <w:rsid w:val="009B5B1E"/>
    <w:rsid w:val="009B7361"/>
    <w:rsid w:val="009C0BAB"/>
    <w:rsid w:val="009C0CCA"/>
    <w:rsid w:val="009C10CD"/>
    <w:rsid w:val="009C1DD6"/>
    <w:rsid w:val="009C252B"/>
    <w:rsid w:val="009C2BF4"/>
    <w:rsid w:val="009C3C29"/>
    <w:rsid w:val="009C4362"/>
    <w:rsid w:val="009C4796"/>
    <w:rsid w:val="009C54BE"/>
    <w:rsid w:val="009C5A6D"/>
    <w:rsid w:val="009C5D42"/>
    <w:rsid w:val="009C6121"/>
    <w:rsid w:val="009C6987"/>
    <w:rsid w:val="009C6F61"/>
    <w:rsid w:val="009D0DCA"/>
    <w:rsid w:val="009D0F3D"/>
    <w:rsid w:val="009D1087"/>
    <w:rsid w:val="009D158A"/>
    <w:rsid w:val="009D2ACD"/>
    <w:rsid w:val="009D2E37"/>
    <w:rsid w:val="009D2E9E"/>
    <w:rsid w:val="009D33BA"/>
    <w:rsid w:val="009D379C"/>
    <w:rsid w:val="009D3893"/>
    <w:rsid w:val="009D3BC0"/>
    <w:rsid w:val="009D44CF"/>
    <w:rsid w:val="009D46AC"/>
    <w:rsid w:val="009D479D"/>
    <w:rsid w:val="009D55FA"/>
    <w:rsid w:val="009D5BC5"/>
    <w:rsid w:val="009D624A"/>
    <w:rsid w:val="009D6608"/>
    <w:rsid w:val="009E02C5"/>
    <w:rsid w:val="009E0CC1"/>
    <w:rsid w:val="009E0EC3"/>
    <w:rsid w:val="009E214D"/>
    <w:rsid w:val="009E328B"/>
    <w:rsid w:val="009E32F3"/>
    <w:rsid w:val="009E369B"/>
    <w:rsid w:val="009E3D30"/>
    <w:rsid w:val="009E4390"/>
    <w:rsid w:val="009E52C6"/>
    <w:rsid w:val="009E5660"/>
    <w:rsid w:val="009E597C"/>
    <w:rsid w:val="009E5A91"/>
    <w:rsid w:val="009E5ABD"/>
    <w:rsid w:val="009E5C14"/>
    <w:rsid w:val="009E66C1"/>
    <w:rsid w:val="009E792E"/>
    <w:rsid w:val="009F00F6"/>
    <w:rsid w:val="009F062F"/>
    <w:rsid w:val="009F13F7"/>
    <w:rsid w:val="009F166A"/>
    <w:rsid w:val="009F2287"/>
    <w:rsid w:val="009F263B"/>
    <w:rsid w:val="009F29CB"/>
    <w:rsid w:val="009F351B"/>
    <w:rsid w:val="009F3CC2"/>
    <w:rsid w:val="009F3D0C"/>
    <w:rsid w:val="009F3F85"/>
    <w:rsid w:val="009F4A30"/>
    <w:rsid w:val="009F4B2C"/>
    <w:rsid w:val="009F4D50"/>
    <w:rsid w:val="009F4DB6"/>
    <w:rsid w:val="009F4F32"/>
    <w:rsid w:val="009F4F40"/>
    <w:rsid w:val="009F4FA2"/>
    <w:rsid w:val="009F5173"/>
    <w:rsid w:val="009F5348"/>
    <w:rsid w:val="009F5492"/>
    <w:rsid w:val="009F5B52"/>
    <w:rsid w:val="009F6176"/>
    <w:rsid w:val="009F680D"/>
    <w:rsid w:val="009F6D2F"/>
    <w:rsid w:val="00A002DD"/>
    <w:rsid w:val="00A00AE2"/>
    <w:rsid w:val="00A00B15"/>
    <w:rsid w:val="00A01837"/>
    <w:rsid w:val="00A018FB"/>
    <w:rsid w:val="00A0224C"/>
    <w:rsid w:val="00A03385"/>
    <w:rsid w:val="00A03444"/>
    <w:rsid w:val="00A03564"/>
    <w:rsid w:val="00A03B46"/>
    <w:rsid w:val="00A064D2"/>
    <w:rsid w:val="00A06649"/>
    <w:rsid w:val="00A06856"/>
    <w:rsid w:val="00A06EBB"/>
    <w:rsid w:val="00A07213"/>
    <w:rsid w:val="00A07D92"/>
    <w:rsid w:val="00A103F3"/>
    <w:rsid w:val="00A1043C"/>
    <w:rsid w:val="00A114DB"/>
    <w:rsid w:val="00A11A5C"/>
    <w:rsid w:val="00A12012"/>
    <w:rsid w:val="00A124A1"/>
    <w:rsid w:val="00A13CA7"/>
    <w:rsid w:val="00A14D82"/>
    <w:rsid w:val="00A15E3B"/>
    <w:rsid w:val="00A162D9"/>
    <w:rsid w:val="00A165A6"/>
    <w:rsid w:val="00A17248"/>
    <w:rsid w:val="00A20AA2"/>
    <w:rsid w:val="00A21006"/>
    <w:rsid w:val="00A21AA9"/>
    <w:rsid w:val="00A22168"/>
    <w:rsid w:val="00A22431"/>
    <w:rsid w:val="00A22AC9"/>
    <w:rsid w:val="00A22DF0"/>
    <w:rsid w:val="00A23ECB"/>
    <w:rsid w:val="00A23F5E"/>
    <w:rsid w:val="00A24190"/>
    <w:rsid w:val="00A245F9"/>
    <w:rsid w:val="00A24974"/>
    <w:rsid w:val="00A25637"/>
    <w:rsid w:val="00A2621A"/>
    <w:rsid w:val="00A263D3"/>
    <w:rsid w:val="00A26918"/>
    <w:rsid w:val="00A2703F"/>
    <w:rsid w:val="00A278B5"/>
    <w:rsid w:val="00A27B01"/>
    <w:rsid w:val="00A27B4D"/>
    <w:rsid w:val="00A27F6A"/>
    <w:rsid w:val="00A315CB"/>
    <w:rsid w:val="00A317EC"/>
    <w:rsid w:val="00A33364"/>
    <w:rsid w:val="00A33D46"/>
    <w:rsid w:val="00A34418"/>
    <w:rsid w:val="00A34779"/>
    <w:rsid w:val="00A35201"/>
    <w:rsid w:val="00A3531C"/>
    <w:rsid w:val="00A3568E"/>
    <w:rsid w:val="00A363DB"/>
    <w:rsid w:val="00A36DDC"/>
    <w:rsid w:val="00A40422"/>
    <w:rsid w:val="00A408C8"/>
    <w:rsid w:val="00A41911"/>
    <w:rsid w:val="00A422D6"/>
    <w:rsid w:val="00A4235F"/>
    <w:rsid w:val="00A42796"/>
    <w:rsid w:val="00A428B3"/>
    <w:rsid w:val="00A42D70"/>
    <w:rsid w:val="00A42F40"/>
    <w:rsid w:val="00A42FC9"/>
    <w:rsid w:val="00A42FE8"/>
    <w:rsid w:val="00A44ED5"/>
    <w:rsid w:val="00A44F8B"/>
    <w:rsid w:val="00A45905"/>
    <w:rsid w:val="00A45FBD"/>
    <w:rsid w:val="00A46079"/>
    <w:rsid w:val="00A46511"/>
    <w:rsid w:val="00A4662B"/>
    <w:rsid w:val="00A46DF4"/>
    <w:rsid w:val="00A5005D"/>
    <w:rsid w:val="00A5126A"/>
    <w:rsid w:val="00A51336"/>
    <w:rsid w:val="00A5179E"/>
    <w:rsid w:val="00A51954"/>
    <w:rsid w:val="00A530B3"/>
    <w:rsid w:val="00A5330A"/>
    <w:rsid w:val="00A53D6F"/>
    <w:rsid w:val="00A542CE"/>
    <w:rsid w:val="00A5451A"/>
    <w:rsid w:val="00A5479F"/>
    <w:rsid w:val="00A548C2"/>
    <w:rsid w:val="00A558B2"/>
    <w:rsid w:val="00A55AB9"/>
    <w:rsid w:val="00A55C27"/>
    <w:rsid w:val="00A56370"/>
    <w:rsid w:val="00A56380"/>
    <w:rsid w:val="00A567FD"/>
    <w:rsid w:val="00A56A59"/>
    <w:rsid w:val="00A56AB1"/>
    <w:rsid w:val="00A5732B"/>
    <w:rsid w:val="00A57CE5"/>
    <w:rsid w:val="00A6107D"/>
    <w:rsid w:val="00A61514"/>
    <w:rsid w:val="00A61EC5"/>
    <w:rsid w:val="00A63FDF"/>
    <w:rsid w:val="00A6400E"/>
    <w:rsid w:val="00A640AF"/>
    <w:rsid w:val="00A6447F"/>
    <w:rsid w:val="00A64785"/>
    <w:rsid w:val="00A64C6E"/>
    <w:rsid w:val="00A64E6B"/>
    <w:rsid w:val="00A65F32"/>
    <w:rsid w:val="00A67157"/>
    <w:rsid w:val="00A67B6E"/>
    <w:rsid w:val="00A67BA9"/>
    <w:rsid w:val="00A7019A"/>
    <w:rsid w:val="00A705B5"/>
    <w:rsid w:val="00A706FA"/>
    <w:rsid w:val="00A70803"/>
    <w:rsid w:val="00A71859"/>
    <w:rsid w:val="00A71F47"/>
    <w:rsid w:val="00A72040"/>
    <w:rsid w:val="00A726D8"/>
    <w:rsid w:val="00A74080"/>
    <w:rsid w:val="00A742DB"/>
    <w:rsid w:val="00A7440B"/>
    <w:rsid w:val="00A7494D"/>
    <w:rsid w:val="00A7541A"/>
    <w:rsid w:val="00A7570C"/>
    <w:rsid w:val="00A75D76"/>
    <w:rsid w:val="00A76765"/>
    <w:rsid w:val="00A77BAB"/>
    <w:rsid w:val="00A811E2"/>
    <w:rsid w:val="00A81789"/>
    <w:rsid w:val="00A81837"/>
    <w:rsid w:val="00A82570"/>
    <w:rsid w:val="00A82D72"/>
    <w:rsid w:val="00A832DE"/>
    <w:rsid w:val="00A83AB0"/>
    <w:rsid w:val="00A83F2B"/>
    <w:rsid w:val="00A84BDF"/>
    <w:rsid w:val="00A85ED0"/>
    <w:rsid w:val="00A872AC"/>
    <w:rsid w:val="00A87815"/>
    <w:rsid w:val="00A8787E"/>
    <w:rsid w:val="00A87CB9"/>
    <w:rsid w:val="00A90108"/>
    <w:rsid w:val="00A90617"/>
    <w:rsid w:val="00A90CBA"/>
    <w:rsid w:val="00A91019"/>
    <w:rsid w:val="00A91463"/>
    <w:rsid w:val="00A9156C"/>
    <w:rsid w:val="00A92543"/>
    <w:rsid w:val="00A9340C"/>
    <w:rsid w:val="00A9366E"/>
    <w:rsid w:val="00A9424B"/>
    <w:rsid w:val="00A943C7"/>
    <w:rsid w:val="00A94825"/>
    <w:rsid w:val="00A950C2"/>
    <w:rsid w:val="00A96092"/>
    <w:rsid w:val="00A96234"/>
    <w:rsid w:val="00A96352"/>
    <w:rsid w:val="00A964D4"/>
    <w:rsid w:val="00A96BE8"/>
    <w:rsid w:val="00AA01A0"/>
    <w:rsid w:val="00AA0588"/>
    <w:rsid w:val="00AA121F"/>
    <w:rsid w:val="00AA1996"/>
    <w:rsid w:val="00AA2575"/>
    <w:rsid w:val="00AA2BB0"/>
    <w:rsid w:val="00AA37C2"/>
    <w:rsid w:val="00AA43DC"/>
    <w:rsid w:val="00AA44A5"/>
    <w:rsid w:val="00AA4E6D"/>
    <w:rsid w:val="00AA4E8F"/>
    <w:rsid w:val="00AA5D1F"/>
    <w:rsid w:val="00AA618D"/>
    <w:rsid w:val="00AA6A50"/>
    <w:rsid w:val="00AA73B4"/>
    <w:rsid w:val="00AA785C"/>
    <w:rsid w:val="00AB1350"/>
    <w:rsid w:val="00AB1630"/>
    <w:rsid w:val="00AB262F"/>
    <w:rsid w:val="00AB2EA5"/>
    <w:rsid w:val="00AB335F"/>
    <w:rsid w:val="00AB3612"/>
    <w:rsid w:val="00AB3685"/>
    <w:rsid w:val="00AB38B7"/>
    <w:rsid w:val="00AB3B4E"/>
    <w:rsid w:val="00AB4110"/>
    <w:rsid w:val="00AB45D8"/>
    <w:rsid w:val="00AB46DA"/>
    <w:rsid w:val="00AB4A39"/>
    <w:rsid w:val="00AB57EA"/>
    <w:rsid w:val="00AB7ED7"/>
    <w:rsid w:val="00AC05D1"/>
    <w:rsid w:val="00AC09C6"/>
    <w:rsid w:val="00AC0B96"/>
    <w:rsid w:val="00AC229A"/>
    <w:rsid w:val="00AC2AB3"/>
    <w:rsid w:val="00AC2B30"/>
    <w:rsid w:val="00AC2CB8"/>
    <w:rsid w:val="00AC36B5"/>
    <w:rsid w:val="00AC39A4"/>
    <w:rsid w:val="00AC5D06"/>
    <w:rsid w:val="00AC662E"/>
    <w:rsid w:val="00AC6CD1"/>
    <w:rsid w:val="00AC7BCD"/>
    <w:rsid w:val="00AC7D97"/>
    <w:rsid w:val="00AC7F9C"/>
    <w:rsid w:val="00AD0157"/>
    <w:rsid w:val="00AD082B"/>
    <w:rsid w:val="00AD0D6F"/>
    <w:rsid w:val="00AD124C"/>
    <w:rsid w:val="00AD2214"/>
    <w:rsid w:val="00AD2640"/>
    <w:rsid w:val="00AD39EE"/>
    <w:rsid w:val="00AD3BF1"/>
    <w:rsid w:val="00AD46BA"/>
    <w:rsid w:val="00AD47F2"/>
    <w:rsid w:val="00AD4B35"/>
    <w:rsid w:val="00AD4BC4"/>
    <w:rsid w:val="00AD586D"/>
    <w:rsid w:val="00AD5A9C"/>
    <w:rsid w:val="00AD624A"/>
    <w:rsid w:val="00AD6355"/>
    <w:rsid w:val="00AD6A10"/>
    <w:rsid w:val="00AD739B"/>
    <w:rsid w:val="00AD753E"/>
    <w:rsid w:val="00AD7A3F"/>
    <w:rsid w:val="00AE0ACF"/>
    <w:rsid w:val="00AE0D46"/>
    <w:rsid w:val="00AE12C4"/>
    <w:rsid w:val="00AE1865"/>
    <w:rsid w:val="00AE1F19"/>
    <w:rsid w:val="00AE30A7"/>
    <w:rsid w:val="00AE433F"/>
    <w:rsid w:val="00AE4827"/>
    <w:rsid w:val="00AE48FA"/>
    <w:rsid w:val="00AE4E91"/>
    <w:rsid w:val="00AE5169"/>
    <w:rsid w:val="00AE5AF2"/>
    <w:rsid w:val="00AE62C8"/>
    <w:rsid w:val="00AE6D57"/>
    <w:rsid w:val="00AE6E6C"/>
    <w:rsid w:val="00AE78B5"/>
    <w:rsid w:val="00AF095A"/>
    <w:rsid w:val="00AF1ABC"/>
    <w:rsid w:val="00AF4115"/>
    <w:rsid w:val="00AF4670"/>
    <w:rsid w:val="00AF4F83"/>
    <w:rsid w:val="00AF5095"/>
    <w:rsid w:val="00AF5A6A"/>
    <w:rsid w:val="00AF65FA"/>
    <w:rsid w:val="00AF6971"/>
    <w:rsid w:val="00AF6C92"/>
    <w:rsid w:val="00AF7243"/>
    <w:rsid w:val="00AF735C"/>
    <w:rsid w:val="00AF7990"/>
    <w:rsid w:val="00B00BED"/>
    <w:rsid w:val="00B01258"/>
    <w:rsid w:val="00B01742"/>
    <w:rsid w:val="00B02088"/>
    <w:rsid w:val="00B04E6F"/>
    <w:rsid w:val="00B04E77"/>
    <w:rsid w:val="00B04F2D"/>
    <w:rsid w:val="00B05A87"/>
    <w:rsid w:val="00B064B2"/>
    <w:rsid w:val="00B06780"/>
    <w:rsid w:val="00B06A85"/>
    <w:rsid w:val="00B06D03"/>
    <w:rsid w:val="00B07AD5"/>
    <w:rsid w:val="00B07E83"/>
    <w:rsid w:val="00B1110A"/>
    <w:rsid w:val="00B119A2"/>
    <w:rsid w:val="00B11E43"/>
    <w:rsid w:val="00B12715"/>
    <w:rsid w:val="00B12988"/>
    <w:rsid w:val="00B1299B"/>
    <w:rsid w:val="00B12FBD"/>
    <w:rsid w:val="00B1322B"/>
    <w:rsid w:val="00B137DE"/>
    <w:rsid w:val="00B13C76"/>
    <w:rsid w:val="00B13E60"/>
    <w:rsid w:val="00B1414E"/>
    <w:rsid w:val="00B14A25"/>
    <w:rsid w:val="00B159E3"/>
    <w:rsid w:val="00B15E94"/>
    <w:rsid w:val="00B17A2B"/>
    <w:rsid w:val="00B202C4"/>
    <w:rsid w:val="00B2030C"/>
    <w:rsid w:val="00B20472"/>
    <w:rsid w:val="00B204CA"/>
    <w:rsid w:val="00B20DA0"/>
    <w:rsid w:val="00B2259E"/>
    <w:rsid w:val="00B22801"/>
    <w:rsid w:val="00B22967"/>
    <w:rsid w:val="00B22B41"/>
    <w:rsid w:val="00B230CF"/>
    <w:rsid w:val="00B2354E"/>
    <w:rsid w:val="00B237C2"/>
    <w:rsid w:val="00B2453A"/>
    <w:rsid w:val="00B24B34"/>
    <w:rsid w:val="00B25649"/>
    <w:rsid w:val="00B25675"/>
    <w:rsid w:val="00B261EC"/>
    <w:rsid w:val="00B269B1"/>
    <w:rsid w:val="00B26C1A"/>
    <w:rsid w:val="00B26D9B"/>
    <w:rsid w:val="00B26FFB"/>
    <w:rsid w:val="00B2751E"/>
    <w:rsid w:val="00B30097"/>
    <w:rsid w:val="00B31099"/>
    <w:rsid w:val="00B31251"/>
    <w:rsid w:val="00B31F7D"/>
    <w:rsid w:val="00B321AA"/>
    <w:rsid w:val="00B32810"/>
    <w:rsid w:val="00B32902"/>
    <w:rsid w:val="00B32E37"/>
    <w:rsid w:val="00B33711"/>
    <w:rsid w:val="00B33D35"/>
    <w:rsid w:val="00B34649"/>
    <w:rsid w:val="00B34668"/>
    <w:rsid w:val="00B34817"/>
    <w:rsid w:val="00B34BDD"/>
    <w:rsid w:val="00B351AD"/>
    <w:rsid w:val="00B35B7B"/>
    <w:rsid w:val="00B35CE5"/>
    <w:rsid w:val="00B36491"/>
    <w:rsid w:val="00B3657A"/>
    <w:rsid w:val="00B365B9"/>
    <w:rsid w:val="00B3782E"/>
    <w:rsid w:val="00B40035"/>
    <w:rsid w:val="00B40FAC"/>
    <w:rsid w:val="00B414BB"/>
    <w:rsid w:val="00B41594"/>
    <w:rsid w:val="00B418BB"/>
    <w:rsid w:val="00B41D14"/>
    <w:rsid w:val="00B41F02"/>
    <w:rsid w:val="00B42991"/>
    <w:rsid w:val="00B43705"/>
    <w:rsid w:val="00B438CC"/>
    <w:rsid w:val="00B44818"/>
    <w:rsid w:val="00B44B30"/>
    <w:rsid w:val="00B44FCA"/>
    <w:rsid w:val="00B45A12"/>
    <w:rsid w:val="00B45C68"/>
    <w:rsid w:val="00B45E12"/>
    <w:rsid w:val="00B464CD"/>
    <w:rsid w:val="00B46778"/>
    <w:rsid w:val="00B47B83"/>
    <w:rsid w:val="00B47CA4"/>
    <w:rsid w:val="00B50140"/>
    <w:rsid w:val="00B5051E"/>
    <w:rsid w:val="00B50899"/>
    <w:rsid w:val="00B51243"/>
    <w:rsid w:val="00B5146A"/>
    <w:rsid w:val="00B51872"/>
    <w:rsid w:val="00B51AA3"/>
    <w:rsid w:val="00B52962"/>
    <w:rsid w:val="00B52AFE"/>
    <w:rsid w:val="00B53575"/>
    <w:rsid w:val="00B5363B"/>
    <w:rsid w:val="00B5386A"/>
    <w:rsid w:val="00B53B6E"/>
    <w:rsid w:val="00B54573"/>
    <w:rsid w:val="00B548B5"/>
    <w:rsid w:val="00B55657"/>
    <w:rsid w:val="00B557D2"/>
    <w:rsid w:val="00B5688A"/>
    <w:rsid w:val="00B56F82"/>
    <w:rsid w:val="00B57E07"/>
    <w:rsid w:val="00B57E96"/>
    <w:rsid w:val="00B604D8"/>
    <w:rsid w:val="00B60DD3"/>
    <w:rsid w:val="00B614C1"/>
    <w:rsid w:val="00B62EAA"/>
    <w:rsid w:val="00B63719"/>
    <w:rsid w:val="00B637AE"/>
    <w:rsid w:val="00B63837"/>
    <w:rsid w:val="00B638B0"/>
    <w:rsid w:val="00B64C65"/>
    <w:rsid w:val="00B64FE7"/>
    <w:rsid w:val="00B65E85"/>
    <w:rsid w:val="00B65E86"/>
    <w:rsid w:val="00B66669"/>
    <w:rsid w:val="00B667B2"/>
    <w:rsid w:val="00B673C2"/>
    <w:rsid w:val="00B67CBB"/>
    <w:rsid w:val="00B70117"/>
    <w:rsid w:val="00B7048A"/>
    <w:rsid w:val="00B70899"/>
    <w:rsid w:val="00B71449"/>
    <w:rsid w:val="00B714F0"/>
    <w:rsid w:val="00B71F4D"/>
    <w:rsid w:val="00B72489"/>
    <w:rsid w:val="00B73F7E"/>
    <w:rsid w:val="00B7413E"/>
    <w:rsid w:val="00B74B1D"/>
    <w:rsid w:val="00B768B7"/>
    <w:rsid w:val="00B76CFF"/>
    <w:rsid w:val="00B778A6"/>
    <w:rsid w:val="00B808D3"/>
    <w:rsid w:val="00B80E2B"/>
    <w:rsid w:val="00B810F2"/>
    <w:rsid w:val="00B82A66"/>
    <w:rsid w:val="00B82F68"/>
    <w:rsid w:val="00B83C97"/>
    <w:rsid w:val="00B84504"/>
    <w:rsid w:val="00B847CC"/>
    <w:rsid w:val="00B855F4"/>
    <w:rsid w:val="00B8593E"/>
    <w:rsid w:val="00B86A1E"/>
    <w:rsid w:val="00B875F9"/>
    <w:rsid w:val="00B87BBE"/>
    <w:rsid w:val="00B87BD4"/>
    <w:rsid w:val="00B9037C"/>
    <w:rsid w:val="00B904DD"/>
    <w:rsid w:val="00B90E44"/>
    <w:rsid w:val="00B925D6"/>
    <w:rsid w:val="00B92802"/>
    <w:rsid w:val="00B92B76"/>
    <w:rsid w:val="00B92CA4"/>
    <w:rsid w:val="00B93D40"/>
    <w:rsid w:val="00B94080"/>
    <w:rsid w:val="00B949AB"/>
    <w:rsid w:val="00B94DAD"/>
    <w:rsid w:val="00B94F88"/>
    <w:rsid w:val="00B9527F"/>
    <w:rsid w:val="00B959E0"/>
    <w:rsid w:val="00B95D2E"/>
    <w:rsid w:val="00B961A4"/>
    <w:rsid w:val="00B96929"/>
    <w:rsid w:val="00BA0405"/>
    <w:rsid w:val="00BA05AB"/>
    <w:rsid w:val="00BA0C49"/>
    <w:rsid w:val="00BA0CEA"/>
    <w:rsid w:val="00BA122A"/>
    <w:rsid w:val="00BA1377"/>
    <w:rsid w:val="00BA1583"/>
    <w:rsid w:val="00BA1735"/>
    <w:rsid w:val="00BA1BA5"/>
    <w:rsid w:val="00BA20A0"/>
    <w:rsid w:val="00BA22AC"/>
    <w:rsid w:val="00BA2789"/>
    <w:rsid w:val="00BA2801"/>
    <w:rsid w:val="00BA2A5E"/>
    <w:rsid w:val="00BA317B"/>
    <w:rsid w:val="00BA35FA"/>
    <w:rsid w:val="00BA38A6"/>
    <w:rsid w:val="00BA3F58"/>
    <w:rsid w:val="00BA5ED4"/>
    <w:rsid w:val="00BA60A6"/>
    <w:rsid w:val="00BA64F8"/>
    <w:rsid w:val="00BA65DE"/>
    <w:rsid w:val="00BA67FB"/>
    <w:rsid w:val="00BA6896"/>
    <w:rsid w:val="00BA6C36"/>
    <w:rsid w:val="00BA7966"/>
    <w:rsid w:val="00BA7B48"/>
    <w:rsid w:val="00BA7FFD"/>
    <w:rsid w:val="00BB0292"/>
    <w:rsid w:val="00BB0912"/>
    <w:rsid w:val="00BB11C8"/>
    <w:rsid w:val="00BB1A3A"/>
    <w:rsid w:val="00BB2032"/>
    <w:rsid w:val="00BB2A7D"/>
    <w:rsid w:val="00BB2AE1"/>
    <w:rsid w:val="00BB2FD9"/>
    <w:rsid w:val="00BB3A63"/>
    <w:rsid w:val="00BB502B"/>
    <w:rsid w:val="00BB53A0"/>
    <w:rsid w:val="00BB5570"/>
    <w:rsid w:val="00BB7F63"/>
    <w:rsid w:val="00BC12D8"/>
    <w:rsid w:val="00BC1448"/>
    <w:rsid w:val="00BC1725"/>
    <w:rsid w:val="00BC26C4"/>
    <w:rsid w:val="00BC2FC4"/>
    <w:rsid w:val="00BC344D"/>
    <w:rsid w:val="00BC3699"/>
    <w:rsid w:val="00BC475F"/>
    <w:rsid w:val="00BC48DD"/>
    <w:rsid w:val="00BC4A54"/>
    <w:rsid w:val="00BC4E9E"/>
    <w:rsid w:val="00BC5144"/>
    <w:rsid w:val="00BC541A"/>
    <w:rsid w:val="00BC587C"/>
    <w:rsid w:val="00BC58B8"/>
    <w:rsid w:val="00BC5F87"/>
    <w:rsid w:val="00BC7586"/>
    <w:rsid w:val="00BC76A1"/>
    <w:rsid w:val="00BD0C04"/>
    <w:rsid w:val="00BD0CA3"/>
    <w:rsid w:val="00BD1047"/>
    <w:rsid w:val="00BD29CE"/>
    <w:rsid w:val="00BD33B7"/>
    <w:rsid w:val="00BD4396"/>
    <w:rsid w:val="00BD501E"/>
    <w:rsid w:val="00BD537C"/>
    <w:rsid w:val="00BD53C0"/>
    <w:rsid w:val="00BD5952"/>
    <w:rsid w:val="00BD62EE"/>
    <w:rsid w:val="00BD6570"/>
    <w:rsid w:val="00BD6E3C"/>
    <w:rsid w:val="00BD7DD7"/>
    <w:rsid w:val="00BE0FB6"/>
    <w:rsid w:val="00BE2189"/>
    <w:rsid w:val="00BE23AF"/>
    <w:rsid w:val="00BE23DD"/>
    <w:rsid w:val="00BE25BC"/>
    <w:rsid w:val="00BE3096"/>
    <w:rsid w:val="00BE311D"/>
    <w:rsid w:val="00BE36D6"/>
    <w:rsid w:val="00BE437B"/>
    <w:rsid w:val="00BE43E2"/>
    <w:rsid w:val="00BE451C"/>
    <w:rsid w:val="00BE4C10"/>
    <w:rsid w:val="00BE5CC7"/>
    <w:rsid w:val="00BE621E"/>
    <w:rsid w:val="00BE6BCC"/>
    <w:rsid w:val="00BE6F08"/>
    <w:rsid w:val="00BE76E2"/>
    <w:rsid w:val="00BE7B3A"/>
    <w:rsid w:val="00BE7BA8"/>
    <w:rsid w:val="00BE7F57"/>
    <w:rsid w:val="00BF0138"/>
    <w:rsid w:val="00BF0514"/>
    <w:rsid w:val="00BF3239"/>
    <w:rsid w:val="00BF38A6"/>
    <w:rsid w:val="00BF4C0B"/>
    <w:rsid w:val="00BF5758"/>
    <w:rsid w:val="00BF615F"/>
    <w:rsid w:val="00BF645C"/>
    <w:rsid w:val="00BF65C8"/>
    <w:rsid w:val="00BF6AE8"/>
    <w:rsid w:val="00BF7C84"/>
    <w:rsid w:val="00C00384"/>
    <w:rsid w:val="00C005BD"/>
    <w:rsid w:val="00C0232B"/>
    <w:rsid w:val="00C027FD"/>
    <w:rsid w:val="00C03E10"/>
    <w:rsid w:val="00C04D6B"/>
    <w:rsid w:val="00C0658B"/>
    <w:rsid w:val="00C06848"/>
    <w:rsid w:val="00C0692A"/>
    <w:rsid w:val="00C06D5B"/>
    <w:rsid w:val="00C06D6D"/>
    <w:rsid w:val="00C070A7"/>
    <w:rsid w:val="00C07A2D"/>
    <w:rsid w:val="00C07C0E"/>
    <w:rsid w:val="00C10CD2"/>
    <w:rsid w:val="00C11707"/>
    <w:rsid w:val="00C11983"/>
    <w:rsid w:val="00C11ABE"/>
    <w:rsid w:val="00C11E49"/>
    <w:rsid w:val="00C12526"/>
    <w:rsid w:val="00C125FF"/>
    <w:rsid w:val="00C12768"/>
    <w:rsid w:val="00C12CB3"/>
    <w:rsid w:val="00C13DA2"/>
    <w:rsid w:val="00C14545"/>
    <w:rsid w:val="00C1470E"/>
    <w:rsid w:val="00C14938"/>
    <w:rsid w:val="00C14DAA"/>
    <w:rsid w:val="00C1561B"/>
    <w:rsid w:val="00C15C17"/>
    <w:rsid w:val="00C1670F"/>
    <w:rsid w:val="00C16D06"/>
    <w:rsid w:val="00C17824"/>
    <w:rsid w:val="00C20EAF"/>
    <w:rsid w:val="00C21D65"/>
    <w:rsid w:val="00C21DFB"/>
    <w:rsid w:val="00C22304"/>
    <w:rsid w:val="00C24531"/>
    <w:rsid w:val="00C24836"/>
    <w:rsid w:val="00C24B18"/>
    <w:rsid w:val="00C24BF1"/>
    <w:rsid w:val="00C268EA"/>
    <w:rsid w:val="00C27E28"/>
    <w:rsid w:val="00C30138"/>
    <w:rsid w:val="00C303E0"/>
    <w:rsid w:val="00C3066C"/>
    <w:rsid w:val="00C3088C"/>
    <w:rsid w:val="00C31047"/>
    <w:rsid w:val="00C31BF0"/>
    <w:rsid w:val="00C31C70"/>
    <w:rsid w:val="00C31FAD"/>
    <w:rsid w:val="00C320FD"/>
    <w:rsid w:val="00C32355"/>
    <w:rsid w:val="00C324EE"/>
    <w:rsid w:val="00C32ADC"/>
    <w:rsid w:val="00C338EC"/>
    <w:rsid w:val="00C345A0"/>
    <w:rsid w:val="00C347AE"/>
    <w:rsid w:val="00C3505B"/>
    <w:rsid w:val="00C35468"/>
    <w:rsid w:val="00C355AF"/>
    <w:rsid w:val="00C35F58"/>
    <w:rsid w:val="00C36A14"/>
    <w:rsid w:val="00C371B4"/>
    <w:rsid w:val="00C3749F"/>
    <w:rsid w:val="00C37CED"/>
    <w:rsid w:val="00C4077A"/>
    <w:rsid w:val="00C408BC"/>
    <w:rsid w:val="00C4137C"/>
    <w:rsid w:val="00C4165E"/>
    <w:rsid w:val="00C417A6"/>
    <w:rsid w:val="00C41EF0"/>
    <w:rsid w:val="00C44B1D"/>
    <w:rsid w:val="00C44F23"/>
    <w:rsid w:val="00C45272"/>
    <w:rsid w:val="00C4530C"/>
    <w:rsid w:val="00C4600A"/>
    <w:rsid w:val="00C47B51"/>
    <w:rsid w:val="00C47F46"/>
    <w:rsid w:val="00C50AA5"/>
    <w:rsid w:val="00C50B92"/>
    <w:rsid w:val="00C516FD"/>
    <w:rsid w:val="00C51976"/>
    <w:rsid w:val="00C51A0D"/>
    <w:rsid w:val="00C52894"/>
    <w:rsid w:val="00C52C54"/>
    <w:rsid w:val="00C53055"/>
    <w:rsid w:val="00C5328C"/>
    <w:rsid w:val="00C5384F"/>
    <w:rsid w:val="00C53ACF"/>
    <w:rsid w:val="00C54169"/>
    <w:rsid w:val="00C5428D"/>
    <w:rsid w:val="00C550F8"/>
    <w:rsid w:val="00C55D6F"/>
    <w:rsid w:val="00C55FF7"/>
    <w:rsid w:val="00C56221"/>
    <w:rsid w:val="00C56AFC"/>
    <w:rsid w:val="00C570A7"/>
    <w:rsid w:val="00C573DE"/>
    <w:rsid w:val="00C60249"/>
    <w:rsid w:val="00C6177F"/>
    <w:rsid w:val="00C625E4"/>
    <w:rsid w:val="00C625E7"/>
    <w:rsid w:val="00C62BBC"/>
    <w:rsid w:val="00C63B45"/>
    <w:rsid w:val="00C64A55"/>
    <w:rsid w:val="00C64AE6"/>
    <w:rsid w:val="00C64E34"/>
    <w:rsid w:val="00C64F32"/>
    <w:rsid w:val="00C6563E"/>
    <w:rsid w:val="00C65B21"/>
    <w:rsid w:val="00C668D4"/>
    <w:rsid w:val="00C66D1F"/>
    <w:rsid w:val="00C67A3A"/>
    <w:rsid w:val="00C67B3F"/>
    <w:rsid w:val="00C67E94"/>
    <w:rsid w:val="00C67EA8"/>
    <w:rsid w:val="00C67F29"/>
    <w:rsid w:val="00C707DF"/>
    <w:rsid w:val="00C70F8F"/>
    <w:rsid w:val="00C70FB2"/>
    <w:rsid w:val="00C719DF"/>
    <w:rsid w:val="00C72306"/>
    <w:rsid w:val="00C72499"/>
    <w:rsid w:val="00C72A7D"/>
    <w:rsid w:val="00C7326E"/>
    <w:rsid w:val="00C73DD1"/>
    <w:rsid w:val="00C7437A"/>
    <w:rsid w:val="00C74B55"/>
    <w:rsid w:val="00C74D37"/>
    <w:rsid w:val="00C75B17"/>
    <w:rsid w:val="00C77264"/>
    <w:rsid w:val="00C77644"/>
    <w:rsid w:val="00C77C1B"/>
    <w:rsid w:val="00C80212"/>
    <w:rsid w:val="00C806EF"/>
    <w:rsid w:val="00C80EA1"/>
    <w:rsid w:val="00C82234"/>
    <w:rsid w:val="00C830A9"/>
    <w:rsid w:val="00C83585"/>
    <w:rsid w:val="00C8395C"/>
    <w:rsid w:val="00C83A72"/>
    <w:rsid w:val="00C83AA1"/>
    <w:rsid w:val="00C846D0"/>
    <w:rsid w:val="00C854A2"/>
    <w:rsid w:val="00C86470"/>
    <w:rsid w:val="00C86F30"/>
    <w:rsid w:val="00C87425"/>
    <w:rsid w:val="00C907E1"/>
    <w:rsid w:val="00C91077"/>
    <w:rsid w:val="00C91419"/>
    <w:rsid w:val="00C91607"/>
    <w:rsid w:val="00C918B0"/>
    <w:rsid w:val="00C927B0"/>
    <w:rsid w:val="00C92CF8"/>
    <w:rsid w:val="00C93A07"/>
    <w:rsid w:val="00C93B6B"/>
    <w:rsid w:val="00C93DA1"/>
    <w:rsid w:val="00C940C8"/>
    <w:rsid w:val="00C94FC4"/>
    <w:rsid w:val="00C950C0"/>
    <w:rsid w:val="00C953CF"/>
    <w:rsid w:val="00C95D84"/>
    <w:rsid w:val="00C97D1A"/>
    <w:rsid w:val="00CA1CED"/>
    <w:rsid w:val="00CA20AA"/>
    <w:rsid w:val="00CA29F3"/>
    <w:rsid w:val="00CA38CB"/>
    <w:rsid w:val="00CA4864"/>
    <w:rsid w:val="00CA497D"/>
    <w:rsid w:val="00CA4D77"/>
    <w:rsid w:val="00CA5AEC"/>
    <w:rsid w:val="00CA6361"/>
    <w:rsid w:val="00CA6C58"/>
    <w:rsid w:val="00CA7F74"/>
    <w:rsid w:val="00CB1886"/>
    <w:rsid w:val="00CB4B64"/>
    <w:rsid w:val="00CB508B"/>
    <w:rsid w:val="00CB51A7"/>
    <w:rsid w:val="00CB64AF"/>
    <w:rsid w:val="00CB69E0"/>
    <w:rsid w:val="00CC0CCA"/>
    <w:rsid w:val="00CC0E59"/>
    <w:rsid w:val="00CC1729"/>
    <w:rsid w:val="00CC34D7"/>
    <w:rsid w:val="00CC5501"/>
    <w:rsid w:val="00CC5902"/>
    <w:rsid w:val="00CC7EB8"/>
    <w:rsid w:val="00CD02E2"/>
    <w:rsid w:val="00CD279E"/>
    <w:rsid w:val="00CD29AF"/>
    <w:rsid w:val="00CD3449"/>
    <w:rsid w:val="00CD3CEE"/>
    <w:rsid w:val="00CD45B2"/>
    <w:rsid w:val="00CD461A"/>
    <w:rsid w:val="00CD4902"/>
    <w:rsid w:val="00CD5683"/>
    <w:rsid w:val="00CD58BB"/>
    <w:rsid w:val="00CD5BA0"/>
    <w:rsid w:val="00CD60DB"/>
    <w:rsid w:val="00CD6589"/>
    <w:rsid w:val="00CD70A8"/>
    <w:rsid w:val="00CE05D1"/>
    <w:rsid w:val="00CE0B80"/>
    <w:rsid w:val="00CE13AD"/>
    <w:rsid w:val="00CE1757"/>
    <w:rsid w:val="00CE189E"/>
    <w:rsid w:val="00CE22EE"/>
    <w:rsid w:val="00CE2796"/>
    <w:rsid w:val="00CE29D7"/>
    <w:rsid w:val="00CE29EA"/>
    <w:rsid w:val="00CE2B30"/>
    <w:rsid w:val="00CE2F74"/>
    <w:rsid w:val="00CE407D"/>
    <w:rsid w:val="00CE4284"/>
    <w:rsid w:val="00CE4EC9"/>
    <w:rsid w:val="00CE53CD"/>
    <w:rsid w:val="00CE56D8"/>
    <w:rsid w:val="00CE602E"/>
    <w:rsid w:val="00CE641B"/>
    <w:rsid w:val="00CE64F4"/>
    <w:rsid w:val="00CE65EC"/>
    <w:rsid w:val="00CE6E1B"/>
    <w:rsid w:val="00CE7223"/>
    <w:rsid w:val="00CE7419"/>
    <w:rsid w:val="00CE75F9"/>
    <w:rsid w:val="00CF0067"/>
    <w:rsid w:val="00CF0405"/>
    <w:rsid w:val="00CF059B"/>
    <w:rsid w:val="00CF0A0A"/>
    <w:rsid w:val="00CF122D"/>
    <w:rsid w:val="00CF15F0"/>
    <w:rsid w:val="00CF1C8F"/>
    <w:rsid w:val="00CF1D27"/>
    <w:rsid w:val="00CF371E"/>
    <w:rsid w:val="00CF4256"/>
    <w:rsid w:val="00CF5335"/>
    <w:rsid w:val="00CF5FAD"/>
    <w:rsid w:val="00CF74E9"/>
    <w:rsid w:val="00CF7CA5"/>
    <w:rsid w:val="00CF7F6E"/>
    <w:rsid w:val="00D0015F"/>
    <w:rsid w:val="00D0022F"/>
    <w:rsid w:val="00D005E6"/>
    <w:rsid w:val="00D0084F"/>
    <w:rsid w:val="00D013A5"/>
    <w:rsid w:val="00D018BC"/>
    <w:rsid w:val="00D01C5E"/>
    <w:rsid w:val="00D02137"/>
    <w:rsid w:val="00D02A5D"/>
    <w:rsid w:val="00D02B0F"/>
    <w:rsid w:val="00D03688"/>
    <w:rsid w:val="00D046D7"/>
    <w:rsid w:val="00D04BEB"/>
    <w:rsid w:val="00D05296"/>
    <w:rsid w:val="00D05D22"/>
    <w:rsid w:val="00D06245"/>
    <w:rsid w:val="00D06534"/>
    <w:rsid w:val="00D06D7E"/>
    <w:rsid w:val="00D072C6"/>
    <w:rsid w:val="00D07893"/>
    <w:rsid w:val="00D10727"/>
    <w:rsid w:val="00D110F4"/>
    <w:rsid w:val="00D11B3B"/>
    <w:rsid w:val="00D11F34"/>
    <w:rsid w:val="00D12269"/>
    <w:rsid w:val="00D12DEF"/>
    <w:rsid w:val="00D13401"/>
    <w:rsid w:val="00D140AE"/>
    <w:rsid w:val="00D1623C"/>
    <w:rsid w:val="00D1759C"/>
    <w:rsid w:val="00D176B9"/>
    <w:rsid w:val="00D20D99"/>
    <w:rsid w:val="00D21BC7"/>
    <w:rsid w:val="00D2274A"/>
    <w:rsid w:val="00D22C2C"/>
    <w:rsid w:val="00D22F36"/>
    <w:rsid w:val="00D250E3"/>
    <w:rsid w:val="00D25A77"/>
    <w:rsid w:val="00D25BDF"/>
    <w:rsid w:val="00D26508"/>
    <w:rsid w:val="00D26923"/>
    <w:rsid w:val="00D26C16"/>
    <w:rsid w:val="00D2720F"/>
    <w:rsid w:val="00D303CC"/>
    <w:rsid w:val="00D308B4"/>
    <w:rsid w:val="00D31889"/>
    <w:rsid w:val="00D32815"/>
    <w:rsid w:val="00D33282"/>
    <w:rsid w:val="00D33571"/>
    <w:rsid w:val="00D335EB"/>
    <w:rsid w:val="00D338C8"/>
    <w:rsid w:val="00D34102"/>
    <w:rsid w:val="00D3465B"/>
    <w:rsid w:val="00D3494A"/>
    <w:rsid w:val="00D34A7F"/>
    <w:rsid w:val="00D35EB6"/>
    <w:rsid w:val="00D35F71"/>
    <w:rsid w:val="00D3619D"/>
    <w:rsid w:val="00D3759D"/>
    <w:rsid w:val="00D3776E"/>
    <w:rsid w:val="00D37B2F"/>
    <w:rsid w:val="00D40B3D"/>
    <w:rsid w:val="00D40B95"/>
    <w:rsid w:val="00D418FB"/>
    <w:rsid w:val="00D41EC0"/>
    <w:rsid w:val="00D424EF"/>
    <w:rsid w:val="00D42B09"/>
    <w:rsid w:val="00D43D3D"/>
    <w:rsid w:val="00D4423C"/>
    <w:rsid w:val="00D44507"/>
    <w:rsid w:val="00D44A11"/>
    <w:rsid w:val="00D450EA"/>
    <w:rsid w:val="00D467A8"/>
    <w:rsid w:val="00D46BCB"/>
    <w:rsid w:val="00D46E46"/>
    <w:rsid w:val="00D46F4D"/>
    <w:rsid w:val="00D502BD"/>
    <w:rsid w:val="00D50BA7"/>
    <w:rsid w:val="00D50BB3"/>
    <w:rsid w:val="00D5181D"/>
    <w:rsid w:val="00D518F1"/>
    <w:rsid w:val="00D51B9C"/>
    <w:rsid w:val="00D52586"/>
    <w:rsid w:val="00D53412"/>
    <w:rsid w:val="00D5377F"/>
    <w:rsid w:val="00D5380F"/>
    <w:rsid w:val="00D53976"/>
    <w:rsid w:val="00D53C19"/>
    <w:rsid w:val="00D54BDF"/>
    <w:rsid w:val="00D55167"/>
    <w:rsid w:val="00D553C7"/>
    <w:rsid w:val="00D55D3F"/>
    <w:rsid w:val="00D562D3"/>
    <w:rsid w:val="00D564AA"/>
    <w:rsid w:val="00D564E5"/>
    <w:rsid w:val="00D568CA"/>
    <w:rsid w:val="00D57BFF"/>
    <w:rsid w:val="00D60017"/>
    <w:rsid w:val="00D60112"/>
    <w:rsid w:val="00D61541"/>
    <w:rsid w:val="00D6156C"/>
    <w:rsid w:val="00D61587"/>
    <w:rsid w:val="00D61B53"/>
    <w:rsid w:val="00D61CFF"/>
    <w:rsid w:val="00D6296E"/>
    <w:rsid w:val="00D630A2"/>
    <w:rsid w:val="00D63476"/>
    <w:rsid w:val="00D63CFE"/>
    <w:rsid w:val="00D63EDD"/>
    <w:rsid w:val="00D647AF"/>
    <w:rsid w:val="00D649AC"/>
    <w:rsid w:val="00D64DFC"/>
    <w:rsid w:val="00D65057"/>
    <w:rsid w:val="00D65599"/>
    <w:rsid w:val="00D661A1"/>
    <w:rsid w:val="00D7298D"/>
    <w:rsid w:val="00D73EB7"/>
    <w:rsid w:val="00D741D1"/>
    <w:rsid w:val="00D74474"/>
    <w:rsid w:val="00D7534D"/>
    <w:rsid w:val="00D75450"/>
    <w:rsid w:val="00D75605"/>
    <w:rsid w:val="00D76A37"/>
    <w:rsid w:val="00D779B0"/>
    <w:rsid w:val="00D77AE0"/>
    <w:rsid w:val="00D803BA"/>
    <w:rsid w:val="00D8196E"/>
    <w:rsid w:val="00D822B6"/>
    <w:rsid w:val="00D828A9"/>
    <w:rsid w:val="00D828D6"/>
    <w:rsid w:val="00D8492B"/>
    <w:rsid w:val="00D84D04"/>
    <w:rsid w:val="00D8578D"/>
    <w:rsid w:val="00D85790"/>
    <w:rsid w:val="00D86240"/>
    <w:rsid w:val="00D8632C"/>
    <w:rsid w:val="00D86A2F"/>
    <w:rsid w:val="00D86F27"/>
    <w:rsid w:val="00D8711A"/>
    <w:rsid w:val="00D87753"/>
    <w:rsid w:val="00D879B2"/>
    <w:rsid w:val="00D90F04"/>
    <w:rsid w:val="00D90F13"/>
    <w:rsid w:val="00D91FBC"/>
    <w:rsid w:val="00D9281C"/>
    <w:rsid w:val="00D92F9E"/>
    <w:rsid w:val="00D933BE"/>
    <w:rsid w:val="00D93C43"/>
    <w:rsid w:val="00D93E48"/>
    <w:rsid w:val="00D94EB3"/>
    <w:rsid w:val="00D94F07"/>
    <w:rsid w:val="00D95320"/>
    <w:rsid w:val="00D96181"/>
    <w:rsid w:val="00D968E8"/>
    <w:rsid w:val="00D9699C"/>
    <w:rsid w:val="00D96ED3"/>
    <w:rsid w:val="00D9710D"/>
    <w:rsid w:val="00D9718F"/>
    <w:rsid w:val="00DA0726"/>
    <w:rsid w:val="00DA0C8A"/>
    <w:rsid w:val="00DA0CCB"/>
    <w:rsid w:val="00DA1A2F"/>
    <w:rsid w:val="00DA1DB4"/>
    <w:rsid w:val="00DA2A53"/>
    <w:rsid w:val="00DA2C71"/>
    <w:rsid w:val="00DA3A41"/>
    <w:rsid w:val="00DA3F37"/>
    <w:rsid w:val="00DA4284"/>
    <w:rsid w:val="00DA5065"/>
    <w:rsid w:val="00DA65D4"/>
    <w:rsid w:val="00DA6866"/>
    <w:rsid w:val="00DA7554"/>
    <w:rsid w:val="00DA788E"/>
    <w:rsid w:val="00DB057C"/>
    <w:rsid w:val="00DB1883"/>
    <w:rsid w:val="00DB1BC2"/>
    <w:rsid w:val="00DB20DD"/>
    <w:rsid w:val="00DB2630"/>
    <w:rsid w:val="00DB2789"/>
    <w:rsid w:val="00DB359B"/>
    <w:rsid w:val="00DB423C"/>
    <w:rsid w:val="00DB5099"/>
    <w:rsid w:val="00DB5177"/>
    <w:rsid w:val="00DB5235"/>
    <w:rsid w:val="00DB52DE"/>
    <w:rsid w:val="00DB5E9A"/>
    <w:rsid w:val="00DB5EA0"/>
    <w:rsid w:val="00DB643D"/>
    <w:rsid w:val="00DB6AA2"/>
    <w:rsid w:val="00DB6D77"/>
    <w:rsid w:val="00DC01E7"/>
    <w:rsid w:val="00DC0E9A"/>
    <w:rsid w:val="00DC131A"/>
    <w:rsid w:val="00DC269B"/>
    <w:rsid w:val="00DC287A"/>
    <w:rsid w:val="00DC350F"/>
    <w:rsid w:val="00DC5FA1"/>
    <w:rsid w:val="00DC5FD9"/>
    <w:rsid w:val="00DC6833"/>
    <w:rsid w:val="00DC7052"/>
    <w:rsid w:val="00DC72C0"/>
    <w:rsid w:val="00DC756B"/>
    <w:rsid w:val="00DD1649"/>
    <w:rsid w:val="00DD18E3"/>
    <w:rsid w:val="00DD1CB4"/>
    <w:rsid w:val="00DD240F"/>
    <w:rsid w:val="00DD398E"/>
    <w:rsid w:val="00DD4111"/>
    <w:rsid w:val="00DD427B"/>
    <w:rsid w:val="00DD44A1"/>
    <w:rsid w:val="00DD45A5"/>
    <w:rsid w:val="00DD4ADD"/>
    <w:rsid w:val="00DD4DE7"/>
    <w:rsid w:val="00DD4FB1"/>
    <w:rsid w:val="00DD5D34"/>
    <w:rsid w:val="00DD7B49"/>
    <w:rsid w:val="00DD7BD9"/>
    <w:rsid w:val="00DE014D"/>
    <w:rsid w:val="00DE0381"/>
    <w:rsid w:val="00DE1457"/>
    <w:rsid w:val="00DE2063"/>
    <w:rsid w:val="00DE2513"/>
    <w:rsid w:val="00DE2902"/>
    <w:rsid w:val="00DE29C8"/>
    <w:rsid w:val="00DE2F3F"/>
    <w:rsid w:val="00DE434D"/>
    <w:rsid w:val="00DE5711"/>
    <w:rsid w:val="00DF0803"/>
    <w:rsid w:val="00DF1560"/>
    <w:rsid w:val="00DF1643"/>
    <w:rsid w:val="00DF1CC0"/>
    <w:rsid w:val="00DF1DC0"/>
    <w:rsid w:val="00DF2177"/>
    <w:rsid w:val="00DF28DB"/>
    <w:rsid w:val="00DF3114"/>
    <w:rsid w:val="00DF39A7"/>
    <w:rsid w:val="00DF3AF2"/>
    <w:rsid w:val="00DF408F"/>
    <w:rsid w:val="00DF5141"/>
    <w:rsid w:val="00DF5FD9"/>
    <w:rsid w:val="00DF6744"/>
    <w:rsid w:val="00DF731D"/>
    <w:rsid w:val="00DF7A3E"/>
    <w:rsid w:val="00E0165C"/>
    <w:rsid w:val="00E023C9"/>
    <w:rsid w:val="00E025B4"/>
    <w:rsid w:val="00E02FEC"/>
    <w:rsid w:val="00E03336"/>
    <w:rsid w:val="00E034B9"/>
    <w:rsid w:val="00E0478D"/>
    <w:rsid w:val="00E04880"/>
    <w:rsid w:val="00E0606E"/>
    <w:rsid w:val="00E06D85"/>
    <w:rsid w:val="00E077D6"/>
    <w:rsid w:val="00E11526"/>
    <w:rsid w:val="00E12062"/>
    <w:rsid w:val="00E13E44"/>
    <w:rsid w:val="00E144D0"/>
    <w:rsid w:val="00E1497F"/>
    <w:rsid w:val="00E16445"/>
    <w:rsid w:val="00E17F28"/>
    <w:rsid w:val="00E2015A"/>
    <w:rsid w:val="00E20B7D"/>
    <w:rsid w:val="00E20BD2"/>
    <w:rsid w:val="00E213FA"/>
    <w:rsid w:val="00E219D0"/>
    <w:rsid w:val="00E224FC"/>
    <w:rsid w:val="00E22CB1"/>
    <w:rsid w:val="00E2340F"/>
    <w:rsid w:val="00E23692"/>
    <w:rsid w:val="00E236BF"/>
    <w:rsid w:val="00E237C3"/>
    <w:rsid w:val="00E23EF2"/>
    <w:rsid w:val="00E23F66"/>
    <w:rsid w:val="00E24A5B"/>
    <w:rsid w:val="00E2507F"/>
    <w:rsid w:val="00E25359"/>
    <w:rsid w:val="00E255AF"/>
    <w:rsid w:val="00E278B9"/>
    <w:rsid w:val="00E30928"/>
    <w:rsid w:val="00E3276E"/>
    <w:rsid w:val="00E32953"/>
    <w:rsid w:val="00E32F29"/>
    <w:rsid w:val="00E330C4"/>
    <w:rsid w:val="00E332CC"/>
    <w:rsid w:val="00E33723"/>
    <w:rsid w:val="00E3464C"/>
    <w:rsid w:val="00E34B70"/>
    <w:rsid w:val="00E34E84"/>
    <w:rsid w:val="00E34FB8"/>
    <w:rsid w:val="00E3521D"/>
    <w:rsid w:val="00E35353"/>
    <w:rsid w:val="00E353B3"/>
    <w:rsid w:val="00E35BD6"/>
    <w:rsid w:val="00E35F19"/>
    <w:rsid w:val="00E3603D"/>
    <w:rsid w:val="00E36F06"/>
    <w:rsid w:val="00E37B99"/>
    <w:rsid w:val="00E408EB"/>
    <w:rsid w:val="00E409C6"/>
    <w:rsid w:val="00E4290A"/>
    <w:rsid w:val="00E44CDB"/>
    <w:rsid w:val="00E45DCB"/>
    <w:rsid w:val="00E46AD5"/>
    <w:rsid w:val="00E46BB2"/>
    <w:rsid w:val="00E472FB"/>
    <w:rsid w:val="00E50036"/>
    <w:rsid w:val="00E500E0"/>
    <w:rsid w:val="00E50443"/>
    <w:rsid w:val="00E50867"/>
    <w:rsid w:val="00E508C5"/>
    <w:rsid w:val="00E5208A"/>
    <w:rsid w:val="00E525EB"/>
    <w:rsid w:val="00E55218"/>
    <w:rsid w:val="00E55CAF"/>
    <w:rsid w:val="00E5616F"/>
    <w:rsid w:val="00E56293"/>
    <w:rsid w:val="00E563C7"/>
    <w:rsid w:val="00E567D2"/>
    <w:rsid w:val="00E56A9C"/>
    <w:rsid w:val="00E56E8F"/>
    <w:rsid w:val="00E570C2"/>
    <w:rsid w:val="00E57759"/>
    <w:rsid w:val="00E5782D"/>
    <w:rsid w:val="00E60CC9"/>
    <w:rsid w:val="00E60DB4"/>
    <w:rsid w:val="00E60DDD"/>
    <w:rsid w:val="00E61C04"/>
    <w:rsid w:val="00E626F5"/>
    <w:rsid w:val="00E66193"/>
    <w:rsid w:val="00E66B5F"/>
    <w:rsid w:val="00E675BC"/>
    <w:rsid w:val="00E67F6B"/>
    <w:rsid w:val="00E7194F"/>
    <w:rsid w:val="00E719C9"/>
    <w:rsid w:val="00E71CC5"/>
    <w:rsid w:val="00E7212C"/>
    <w:rsid w:val="00E72195"/>
    <w:rsid w:val="00E725B4"/>
    <w:rsid w:val="00E7263E"/>
    <w:rsid w:val="00E7317D"/>
    <w:rsid w:val="00E73ADB"/>
    <w:rsid w:val="00E73F5A"/>
    <w:rsid w:val="00E74705"/>
    <w:rsid w:val="00E74BFD"/>
    <w:rsid w:val="00E75952"/>
    <w:rsid w:val="00E76425"/>
    <w:rsid w:val="00E76DAF"/>
    <w:rsid w:val="00E776F6"/>
    <w:rsid w:val="00E80B9A"/>
    <w:rsid w:val="00E80C57"/>
    <w:rsid w:val="00E81471"/>
    <w:rsid w:val="00E82D35"/>
    <w:rsid w:val="00E8320F"/>
    <w:rsid w:val="00E83945"/>
    <w:rsid w:val="00E83BBD"/>
    <w:rsid w:val="00E83CCD"/>
    <w:rsid w:val="00E8429A"/>
    <w:rsid w:val="00E84CDC"/>
    <w:rsid w:val="00E84E09"/>
    <w:rsid w:val="00E85818"/>
    <w:rsid w:val="00E85932"/>
    <w:rsid w:val="00E86BF1"/>
    <w:rsid w:val="00E872E5"/>
    <w:rsid w:val="00E87962"/>
    <w:rsid w:val="00E90D08"/>
    <w:rsid w:val="00E92369"/>
    <w:rsid w:val="00E927B6"/>
    <w:rsid w:val="00E92AFE"/>
    <w:rsid w:val="00E941D7"/>
    <w:rsid w:val="00E944C0"/>
    <w:rsid w:val="00E95B1E"/>
    <w:rsid w:val="00E963FA"/>
    <w:rsid w:val="00E9691C"/>
    <w:rsid w:val="00E970A0"/>
    <w:rsid w:val="00E97A0C"/>
    <w:rsid w:val="00EA10AB"/>
    <w:rsid w:val="00EA1367"/>
    <w:rsid w:val="00EA178E"/>
    <w:rsid w:val="00EA2596"/>
    <w:rsid w:val="00EA25E0"/>
    <w:rsid w:val="00EA3013"/>
    <w:rsid w:val="00EA37FD"/>
    <w:rsid w:val="00EA4313"/>
    <w:rsid w:val="00EA4746"/>
    <w:rsid w:val="00EA5CC6"/>
    <w:rsid w:val="00EA630E"/>
    <w:rsid w:val="00EA649E"/>
    <w:rsid w:val="00EA77E1"/>
    <w:rsid w:val="00EB0950"/>
    <w:rsid w:val="00EB0990"/>
    <w:rsid w:val="00EB09A1"/>
    <w:rsid w:val="00EB0FE1"/>
    <w:rsid w:val="00EB24AA"/>
    <w:rsid w:val="00EB2946"/>
    <w:rsid w:val="00EB35CE"/>
    <w:rsid w:val="00EB429C"/>
    <w:rsid w:val="00EB43D5"/>
    <w:rsid w:val="00EB4BDE"/>
    <w:rsid w:val="00EB5678"/>
    <w:rsid w:val="00EB5C97"/>
    <w:rsid w:val="00EB6680"/>
    <w:rsid w:val="00EB720E"/>
    <w:rsid w:val="00EC0C8B"/>
    <w:rsid w:val="00EC0EB6"/>
    <w:rsid w:val="00EC1566"/>
    <w:rsid w:val="00EC1573"/>
    <w:rsid w:val="00EC1641"/>
    <w:rsid w:val="00EC1C9E"/>
    <w:rsid w:val="00EC1ECF"/>
    <w:rsid w:val="00EC2A76"/>
    <w:rsid w:val="00EC2CB7"/>
    <w:rsid w:val="00EC3E34"/>
    <w:rsid w:val="00EC3F64"/>
    <w:rsid w:val="00EC3FE2"/>
    <w:rsid w:val="00EC492B"/>
    <w:rsid w:val="00EC4D94"/>
    <w:rsid w:val="00EC552B"/>
    <w:rsid w:val="00EC5DDF"/>
    <w:rsid w:val="00EC63BB"/>
    <w:rsid w:val="00EC70AD"/>
    <w:rsid w:val="00EC73BC"/>
    <w:rsid w:val="00EC755B"/>
    <w:rsid w:val="00EC75DC"/>
    <w:rsid w:val="00ED00C7"/>
    <w:rsid w:val="00ED0188"/>
    <w:rsid w:val="00ED0A5A"/>
    <w:rsid w:val="00ED1306"/>
    <w:rsid w:val="00ED135A"/>
    <w:rsid w:val="00ED196C"/>
    <w:rsid w:val="00ED1CBC"/>
    <w:rsid w:val="00ED362A"/>
    <w:rsid w:val="00ED36E2"/>
    <w:rsid w:val="00ED3777"/>
    <w:rsid w:val="00ED397D"/>
    <w:rsid w:val="00ED467D"/>
    <w:rsid w:val="00ED50C8"/>
    <w:rsid w:val="00ED510B"/>
    <w:rsid w:val="00ED65BD"/>
    <w:rsid w:val="00ED7A6F"/>
    <w:rsid w:val="00ED7E0D"/>
    <w:rsid w:val="00EE0167"/>
    <w:rsid w:val="00EE0AF9"/>
    <w:rsid w:val="00EE16FD"/>
    <w:rsid w:val="00EE2CEA"/>
    <w:rsid w:val="00EE3871"/>
    <w:rsid w:val="00EE3A6E"/>
    <w:rsid w:val="00EE3CEA"/>
    <w:rsid w:val="00EE3D4A"/>
    <w:rsid w:val="00EE4C16"/>
    <w:rsid w:val="00EE5C15"/>
    <w:rsid w:val="00EE611A"/>
    <w:rsid w:val="00EE71E4"/>
    <w:rsid w:val="00EE73E9"/>
    <w:rsid w:val="00EE7962"/>
    <w:rsid w:val="00EE7B03"/>
    <w:rsid w:val="00EF04E4"/>
    <w:rsid w:val="00EF0698"/>
    <w:rsid w:val="00EF127A"/>
    <w:rsid w:val="00EF1416"/>
    <w:rsid w:val="00EF1853"/>
    <w:rsid w:val="00EF1F9E"/>
    <w:rsid w:val="00EF1FBA"/>
    <w:rsid w:val="00EF2C1C"/>
    <w:rsid w:val="00EF2D5F"/>
    <w:rsid w:val="00EF2D8A"/>
    <w:rsid w:val="00EF3781"/>
    <w:rsid w:val="00EF3D76"/>
    <w:rsid w:val="00EF49D7"/>
    <w:rsid w:val="00EF5442"/>
    <w:rsid w:val="00EF55BC"/>
    <w:rsid w:val="00EF5F0B"/>
    <w:rsid w:val="00EF65B8"/>
    <w:rsid w:val="00F005F5"/>
    <w:rsid w:val="00F01467"/>
    <w:rsid w:val="00F017D8"/>
    <w:rsid w:val="00F01806"/>
    <w:rsid w:val="00F02323"/>
    <w:rsid w:val="00F039C2"/>
    <w:rsid w:val="00F03F9F"/>
    <w:rsid w:val="00F04AEE"/>
    <w:rsid w:val="00F04C06"/>
    <w:rsid w:val="00F05B96"/>
    <w:rsid w:val="00F06004"/>
    <w:rsid w:val="00F06576"/>
    <w:rsid w:val="00F06887"/>
    <w:rsid w:val="00F069C8"/>
    <w:rsid w:val="00F07D27"/>
    <w:rsid w:val="00F105E9"/>
    <w:rsid w:val="00F106F8"/>
    <w:rsid w:val="00F10A1E"/>
    <w:rsid w:val="00F11135"/>
    <w:rsid w:val="00F123AE"/>
    <w:rsid w:val="00F12756"/>
    <w:rsid w:val="00F12A68"/>
    <w:rsid w:val="00F12F5E"/>
    <w:rsid w:val="00F13989"/>
    <w:rsid w:val="00F14074"/>
    <w:rsid w:val="00F14667"/>
    <w:rsid w:val="00F14F76"/>
    <w:rsid w:val="00F154C4"/>
    <w:rsid w:val="00F166D1"/>
    <w:rsid w:val="00F17A92"/>
    <w:rsid w:val="00F17B6E"/>
    <w:rsid w:val="00F209E4"/>
    <w:rsid w:val="00F20BD2"/>
    <w:rsid w:val="00F20C46"/>
    <w:rsid w:val="00F20E7C"/>
    <w:rsid w:val="00F21DBB"/>
    <w:rsid w:val="00F220C0"/>
    <w:rsid w:val="00F22741"/>
    <w:rsid w:val="00F234D5"/>
    <w:rsid w:val="00F251A8"/>
    <w:rsid w:val="00F26280"/>
    <w:rsid w:val="00F26A78"/>
    <w:rsid w:val="00F26AEB"/>
    <w:rsid w:val="00F26D9A"/>
    <w:rsid w:val="00F276DD"/>
    <w:rsid w:val="00F30163"/>
    <w:rsid w:val="00F30893"/>
    <w:rsid w:val="00F30F58"/>
    <w:rsid w:val="00F320F8"/>
    <w:rsid w:val="00F33969"/>
    <w:rsid w:val="00F33B14"/>
    <w:rsid w:val="00F356C0"/>
    <w:rsid w:val="00F35808"/>
    <w:rsid w:val="00F35C59"/>
    <w:rsid w:val="00F35EB4"/>
    <w:rsid w:val="00F36571"/>
    <w:rsid w:val="00F37D20"/>
    <w:rsid w:val="00F40338"/>
    <w:rsid w:val="00F40C06"/>
    <w:rsid w:val="00F4263D"/>
    <w:rsid w:val="00F42810"/>
    <w:rsid w:val="00F42BED"/>
    <w:rsid w:val="00F44A9D"/>
    <w:rsid w:val="00F46A4A"/>
    <w:rsid w:val="00F46AE6"/>
    <w:rsid w:val="00F4775D"/>
    <w:rsid w:val="00F502CD"/>
    <w:rsid w:val="00F50F83"/>
    <w:rsid w:val="00F51D17"/>
    <w:rsid w:val="00F51ED0"/>
    <w:rsid w:val="00F53B08"/>
    <w:rsid w:val="00F5433A"/>
    <w:rsid w:val="00F54E6B"/>
    <w:rsid w:val="00F54F26"/>
    <w:rsid w:val="00F55B8F"/>
    <w:rsid w:val="00F55CB9"/>
    <w:rsid w:val="00F55CCD"/>
    <w:rsid w:val="00F5667C"/>
    <w:rsid w:val="00F56B6C"/>
    <w:rsid w:val="00F572B2"/>
    <w:rsid w:val="00F573B1"/>
    <w:rsid w:val="00F5798D"/>
    <w:rsid w:val="00F57F16"/>
    <w:rsid w:val="00F60B40"/>
    <w:rsid w:val="00F61220"/>
    <w:rsid w:val="00F6162A"/>
    <w:rsid w:val="00F6288E"/>
    <w:rsid w:val="00F6676E"/>
    <w:rsid w:val="00F6724E"/>
    <w:rsid w:val="00F67404"/>
    <w:rsid w:val="00F67654"/>
    <w:rsid w:val="00F67775"/>
    <w:rsid w:val="00F70674"/>
    <w:rsid w:val="00F707EB"/>
    <w:rsid w:val="00F712DE"/>
    <w:rsid w:val="00F71CE9"/>
    <w:rsid w:val="00F72282"/>
    <w:rsid w:val="00F726EA"/>
    <w:rsid w:val="00F7357B"/>
    <w:rsid w:val="00F75209"/>
    <w:rsid w:val="00F75492"/>
    <w:rsid w:val="00F757D1"/>
    <w:rsid w:val="00F75FE6"/>
    <w:rsid w:val="00F76894"/>
    <w:rsid w:val="00F76B34"/>
    <w:rsid w:val="00F77C2D"/>
    <w:rsid w:val="00F821D5"/>
    <w:rsid w:val="00F82FAF"/>
    <w:rsid w:val="00F833E4"/>
    <w:rsid w:val="00F8402A"/>
    <w:rsid w:val="00F84430"/>
    <w:rsid w:val="00F844CB"/>
    <w:rsid w:val="00F84A64"/>
    <w:rsid w:val="00F8537B"/>
    <w:rsid w:val="00F85E92"/>
    <w:rsid w:val="00F86612"/>
    <w:rsid w:val="00F867A9"/>
    <w:rsid w:val="00F871AE"/>
    <w:rsid w:val="00F87C26"/>
    <w:rsid w:val="00F87DE2"/>
    <w:rsid w:val="00F9034E"/>
    <w:rsid w:val="00F914A0"/>
    <w:rsid w:val="00F92472"/>
    <w:rsid w:val="00F9258F"/>
    <w:rsid w:val="00F926D7"/>
    <w:rsid w:val="00F93506"/>
    <w:rsid w:val="00F93782"/>
    <w:rsid w:val="00F9394B"/>
    <w:rsid w:val="00F9412B"/>
    <w:rsid w:val="00F9487E"/>
    <w:rsid w:val="00F94E44"/>
    <w:rsid w:val="00F95509"/>
    <w:rsid w:val="00F95BAD"/>
    <w:rsid w:val="00F960E2"/>
    <w:rsid w:val="00F964E2"/>
    <w:rsid w:val="00F96619"/>
    <w:rsid w:val="00F96A68"/>
    <w:rsid w:val="00F972E1"/>
    <w:rsid w:val="00F978BA"/>
    <w:rsid w:val="00FA0AA3"/>
    <w:rsid w:val="00FA0CBA"/>
    <w:rsid w:val="00FA0D6B"/>
    <w:rsid w:val="00FA1FDA"/>
    <w:rsid w:val="00FA36D5"/>
    <w:rsid w:val="00FA5AA3"/>
    <w:rsid w:val="00FA5FDD"/>
    <w:rsid w:val="00FA63BF"/>
    <w:rsid w:val="00FA7D68"/>
    <w:rsid w:val="00FA7E54"/>
    <w:rsid w:val="00FB029C"/>
    <w:rsid w:val="00FB0848"/>
    <w:rsid w:val="00FB0FB5"/>
    <w:rsid w:val="00FB142E"/>
    <w:rsid w:val="00FB16C3"/>
    <w:rsid w:val="00FB17D2"/>
    <w:rsid w:val="00FB1BEF"/>
    <w:rsid w:val="00FB2171"/>
    <w:rsid w:val="00FB259A"/>
    <w:rsid w:val="00FB3BBE"/>
    <w:rsid w:val="00FB3EC3"/>
    <w:rsid w:val="00FB3FCA"/>
    <w:rsid w:val="00FB5094"/>
    <w:rsid w:val="00FB5626"/>
    <w:rsid w:val="00FB5F3C"/>
    <w:rsid w:val="00FB6C93"/>
    <w:rsid w:val="00FB6D65"/>
    <w:rsid w:val="00FB71F9"/>
    <w:rsid w:val="00FB79BA"/>
    <w:rsid w:val="00FC08C3"/>
    <w:rsid w:val="00FC0C84"/>
    <w:rsid w:val="00FC24A2"/>
    <w:rsid w:val="00FC2F55"/>
    <w:rsid w:val="00FC37E7"/>
    <w:rsid w:val="00FC3ED0"/>
    <w:rsid w:val="00FC5A5C"/>
    <w:rsid w:val="00FC5A99"/>
    <w:rsid w:val="00FC666D"/>
    <w:rsid w:val="00FC6DFB"/>
    <w:rsid w:val="00FC6E7E"/>
    <w:rsid w:val="00FC6F68"/>
    <w:rsid w:val="00FC7520"/>
    <w:rsid w:val="00FC76BE"/>
    <w:rsid w:val="00FC7705"/>
    <w:rsid w:val="00FD0649"/>
    <w:rsid w:val="00FD144A"/>
    <w:rsid w:val="00FD1BF7"/>
    <w:rsid w:val="00FD1F14"/>
    <w:rsid w:val="00FD2902"/>
    <w:rsid w:val="00FD2914"/>
    <w:rsid w:val="00FD2C5A"/>
    <w:rsid w:val="00FD3A19"/>
    <w:rsid w:val="00FD41B2"/>
    <w:rsid w:val="00FD49C4"/>
    <w:rsid w:val="00FD4B86"/>
    <w:rsid w:val="00FD5918"/>
    <w:rsid w:val="00FD5A57"/>
    <w:rsid w:val="00FD62C5"/>
    <w:rsid w:val="00FD69C4"/>
    <w:rsid w:val="00FD69DB"/>
    <w:rsid w:val="00FD6BEE"/>
    <w:rsid w:val="00FD6E47"/>
    <w:rsid w:val="00FE16B8"/>
    <w:rsid w:val="00FE17CB"/>
    <w:rsid w:val="00FE2091"/>
    <w:rsid w:val="00FE27A6"/>
    <w:rsid w:val="00FE3C14"/>
    <w:rsid w:val="00FE531A"/>
    <w:rsid w:val="00FE59AA"/>
    <w:rsid w:val="00FE5C29"/>
    <w:rsid w:val="00FF1A0B"/>
    <w:rsid w:val="00FF1C65"/>
    <w:rsid w:val="00FF26B8"/>
    <w:rsid w:val="00FF3191"/>
    <w:rsid w:val="00FF4138"/>
    <w:rsid w:val="00FF442E"/>
    <w:rsid w:val="00FF46BC"/>
    <w:rsid w:val="00FF46EF"/>
    <w:rsid w:val="00FF4997"/>
    <w:rsid w:val="00FF4DA0"/>
    <w:rsid w:val="00FF5951"/>
    <w:rsid w:val="00FF5C0F"/>
    <w:rsid w:val="00FF6057"/>
    <w:rsid w:val="00FF61CC"/>
    <w:rsid w:val="00FF63AE"/>
    <w:rsid w:val="00FF6997"/>
    <w:rsid w:val="00FF775B"/>
    <w:rsid w:val="00FF7E11"/>
    <w:rsid w:val="00FF7E12"/>
    <w:rsid w:val="00FF7F6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ru v:ext="edit" colors="#03c,#36f,blue,#6f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39"/>
    <w:rPr>
      <w:rFonts w:ascii="Times New Roman" w:hAnsi="Times New Roman"/>
      <w:sz w:val="24"/>
      <w:szCs w:val="24"/>
      <w:lang w:val="lt-LT" w:eastAsia="lt-LT"/>
    </w:rPr>
  </w:style>
  <w:style w:type="paragraph" w:styleId="Heading1">
    <w:name w:val="heading 1"/>
    <w:basedOn w:val="Normal"/>
    <w:next w:val="Normal"/>
    <w:link w:val="Heading1Char"/>
    <w:uiPriority w:val="9"/>
    <w:qFormat/>
    <w:rsid w:val="00B54573"/>
    <w:pPr>
      <w:keepNext/>
      <w:spacing w:before="240" w:after="60"/>
      <w:outlineLvl w:val="0"/>
    </w:pPr>
    <w:rPr>
      <w:rFonts w:ascii="Cambria" w:eastAsia="Times New Roman" w:hAnsi="Cambria"/>
      <w:b/>
      <w:bCs/>
      <w:kern w:val="32"/>
      <w:sz w:val="32"/>
      <w:szCs w:val="32"/>
      <w:lang/>
    </w:rPr>
  </w:style>
  <w:style w:type="paragraph" w:styleId="Heading2">
    <w:name w:val="heading 2"/>
    <w:basedOn w:val="Normal"/>
    <w:next w:val="Normal"/>
    <w:link w:val="Heading2Char"/>
    <w:uiPriority w:val="9"/>
    <w:qFormat/>
    <w:rsid w:val="00B54573"/>
    <w:pPr>
      <w:keepNext/>
      <w:spacing w:before="240" w:after="60"/>
      <w:outlineLvl w:val="1"/>
    </w:pPr>
    <w:rPr>
      <w:rFonts w:ascii="Cambria" w:eastAsia="Times New Roman" w:hAnsi="Cambria"/>
      <w:b/>
      <w:bCs/>
      <w:i/>
      <w:iCs/>
      <w:sz w:val="28"/>
      <w:szCs w:val="28"/>
      <w:lang/>
    </w:rPr>
  </w:style>
  <w:style w:type="paragraph" w:styleId="Heading3">
    <w:name w:val="heading 3"/>
    <w:basedOn w:val="Normal"/>
    <w:next w:val="Normal"/>
    <w:link w:val="Heading3Char"/>
    <w:uiPriority w:val="9"/>
    <w:qFormat/>
    <w:rsid w:val="00B54573"/>
    <w:pPr>
      <w:keepNext/>
      <w:spacing w:before="240" w:after="60"/>
      <w:outlineLvl w:val="2"/>
    </w:pPr>
    <w:rPr>
      <w:rFonts w:ascii="Cambria" w:eastAsia="Times New Roman" w:hAnsi="Cambria"/>
      <w:b/>
      <w:bCs/>
      <w:sz w:val="26"/>
      <w:szCs w:val="26"/>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FD1BF7"/>
    <w:pPr>
      <w:ind w:left="720"/>
      <w:contextualSpacing/>
    </w:pPr>
    <w:rPr>
      <w:szCs w:val="20"/>
      <w:lang w:eastAsia="en-US"/>
    </w:rPr>
  </w:style>
  <w:style w:type="paragraph" w:customStyle="1" w:styleId="Default">
    <w:name w:val="Default"/>
    <w:rsid w:val="004C5170"/>
    <w:pPr>
      <w:autoSpaceDE w:val="0"/>
      <w:autoSpaceDN w:val="0"/>
      <w:adjustRightInd w:val="0"/>
    </w:pPr>
    <w:rPr>
      <w:rFonts w:ascii="Times New Roman" w:eastAsia="Times New Roman" w:hAnsi="Times New Roman"/>
      <w:color w:val="000000"/>
      <w:sz w:val="24"/>
      <w:szCs w:val="24"/>
      <w:lang w:val="lt-LT" w:eastAsia="lt-LT"/>
    </w:rPr>
  </w:style>
  <w:style w:type="table" w:styleId="TableGrid">
    <w:name w:val="Table Grid"/>
    <w:basedOn w:val="TableNormal"/>
    <w:uiPriority w:val="59"/>
    <w:rsid w:val="00F54F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06666A"/>
    <w:rPr>
      <w:rFonts w:eastAsia="Times New Roman"/>
      <w:sz w:val="20"/>
      <w:szCs w:val="20"/>
      <w:lang/>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06666A"/>
    <w:rPr>
      <w:rFonts w:ascii="Times New Roman" w:eastAsia="Times New Roman" w:hAnsi="Times New Roman"/>
    </w:rPr>
  </w:style>
  <w:style w:type="character" w:styleId="FootnoteReference">
    <w:name w:val="footnote reference"/>
    <w:uiPriority w:val="99"/>
    <w:unhideWhenUsed/>
    <w:rsid w:val="0006666A"/>
    <w:rPr>
      <w:vertAlign w:val="superscript"/>
    </w:rPr>
  </w:style>
  <w:style w:type="character" w:styleId="Hyperlink">
    <w:name w:val="Hyperlink"/>
    <w:uiPriority w:val="99"/>
    <w:unhideWhenUsed/>
    <w:rsid w:val="00D77AE0"/>
    <w:rPr>
      <w:color w:val="0000FF"/>
      <w:u w:val="single"/>
    </w:rPr>
  </w:style>
  <w:style w:type="character" w:customStyle="1" w:styleId="Heading1Char">
    <w:name w:val="Heading 1 Char"/>
    <w:link w:val="Heading1"/>
    <w:uiPriority w:val="9"/>
    <w:rsid w:val="00B54573"/>
    <w:rPr>
      <w:rFonts w:ascii="Cambria" w:eastAsia="Times New Roman" w:hAnsi="Cambria" w:cs="Times New Roman"/>
      <w:b/>
      <w:bCs/>
      <w:kern w:val="32"/>
      <w:sz w:val="32"/>
      <w:szCs w:val="32"/>
    </w:rPr>
  </w:style>
  <w:style w:type="character" w:customStyle="1" w:styleId="Heading2Char">
    <w:name w:val="Heading 2 Char"/>
    <w:link w:val="Heading2"/>
    <w:uiPriority w:val="9"/>
    <w:rsid w:val="00B54573"/>
    <w:rPr>
      <w:rFonts w:ascii="Cambria" w:eastAsia="Times New Roman" w:hAnsi="Cambria" w:cs="Times New Roman"/>
      <w:b/>
      <w:bCs/>
      <w:i/>
      <w:iCs/>
      <w:sz w:val="28"/>
      <w:szCs w:val="28"/>
    </w:rPr>
  </w:style>
  <w:style w:type="character" w:customStyle="1" w:styleId="Heading3Char">
    <w:name w:val="Heading 3 Char"/>
    <w:link w:val="Heading3"/>
    <w:uiPriority w:val="9"/>
    <w:rsid w:val="00B54573"/>
    <w:rPr>
      <w:rFonts w:ascii="Cambria" w:eastAsia="Times New Roman" w:hAnsi="Cambria" w:cs="Times New Roman"/>
      <w:b/>
      <w:bCs/>
      <w:sz w:val="26"/>
      <w:szCs w:val="26"/>
    </w:rPr>
  </w:style>
  <w:style w:type="paragraph" w:customStyle="1" w:styleId="TOCHeading1">
    <w:name w:val="TOC Heading1"/>
    <w:basedOn w:val="Heading1"/>
    <w:next w:val="Normal"/>
    <w:uiPriority w:val="39"/>
    <w:semiHidden/>
    <w:unhideWhenUsed/>
    <w:qFormat/>
    <w:rsid w:val="00B54573"/>
    <w:pPr>
      <w:keepLines/>
      <w:spacing w:before="480" w:after="0" w:line="276" w:lineRule="auto"/>
      <w:outlineLvl w:val="9"/>
    </w:pPr>
    <w:rPr>
      <w:color w:val="365F91"/>
      <w:kern w:val="0"/>
      <w:sz w:val="28"/>
      <w:szCs w:val="28"/>
    </w:rPr>
  </w:style>
  <w:style w:type="paragraph" w:styleId="TOC2">
    <w:name w:val="toc 2"/>
    <w:basedOn w:val="Normal"/>
    <w:next w:val="Normal"/>
    <w:autoRedefine/>
    <w:uiPriority w:val="39"/>
    <w:unhideWhenUsed/>
    <w:qFormat/>
    <w:rsid w:val="00B54573"/>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qFormat/>
    <w:rsid w:val="00EE71E4"/>
    <w:pPr>
      <w:tabs>
        <w:tab w:val="right" w:leader="dot" w:pos="9628"/>
      </w:tabs>
      <w:spacing w:after="100" w:line="276" w:lineRule="auto"/>
    </w:pPr>
    <w:rPr>
      <w:rFonts w:eastAsia="Times New Roman"/>
      <w:b/>
      <w:szCs w:val="22"/>
    </w:rPr>
  </w:style>
  <w:style w:type="paragraph" w:styleId="TOC3">
    <w:name w:val="toc 3"/>
    <w:basedOn w:val="Normal"/>
    <w:next w:val="Normal"/>
    <w:autoRedefine/>
    <w:uiPriority w:val="39"/>
    <w:unhideWhenUsed/>
    <w:qFormat/>
    <w:rsid w:val="00B54573"/>
    <w:pPr>
      <w:spacing w:after="100" w:line="276" w:lineRule="auto"/>
      <w:ind w:left="440"/>
    </w:pPr>
    <w:rPr>
      <w:rFonts w:ascii="Calibri" w:eastAsia="Times New Roman" w:hAnsi="Calibri"/>
      <w:sz w:val="22"/>
      <w:szCs w:val="22"/>
    </w:rPr>
  </w:style>
  <w:style w:type="paragraph" w:styleId="BalloonText">
    <w:name w:val="Balloon Text"/>
    <w:basedOn w:val="Normal"/>
    <w:link w:val="BalloonTextChar"/>
    <w:uiPriority w:val="99"/>
    <w:semiHidden/>
    <w:unhideWhenUsed/>
    <w:rsid w:val="00B54573"/>
    <w:rPr>
      <w:rFonts w:ascii="Tahoma" w:eastAsia="Times New Roman" w:hAnsi="Tahoma"/>
      <w:sz w:val="16"/>
      <w:szCs w:val="16"/>
      <w:lang/>
    </w:rPr>
  </w:style>
  <w:style w:type="character" w:customStyle="1" w:styleId="BalloonTextChar">
    <w:name w:val="Balloon Text Char"/>
    <w:link w:val="BalloonText"/>
    <w:uiPriority w:val="99"/>
    <w:semiHidden/>
    <w:rsid w:val="00B54573"/>
    <w:rPr>
      <w:rFonts w:ascii="Tahoma" w:eastAsia="Times New Roman" w:hAnsi="Tahoma" w:cs="Tahoma"/>
      <w:sz w:val="16"/>
      <w:szCs w:val="16"/>
    </w:rPr>
  </w:style>
  <w:style w:type="paragraph" w:styleId="Header">
    <w:name w:val="header"/>
    <w:basedOn w:val="Normal"/>
    <w:link w:val="HeaderChar"/>
    <w:uiPriority w:val="99"/>
    <w:unhideWhenUsed/>
    <w:rsid w:val="005E124B"/>
    <w:pPr>
      <w:tabs>
        <w:tab w:val="center" w:pos="4819"/>
        <w:tab w:val="right" w:pos="9638"/>
      </w:tabs>
    </w:pPr>
    <w:rPr>
      <w:rFonts w:eastAsia="Times New Roman"/>
      <w:lang/>
    </w:rPr>
  </w:style>
  <w:style w:type="character" w:customStyle="1" w:styleId="HeaderChar">
    <w:name w:val="Header Char"/>
    <w:link w:val="Header"/>
    <w:uiPriority w:val="99"/>
    <w:rsid w:val="005E124B"/>
    <w:rPr>
      <w:rFonts w:ascii="Times New Roman" w:eastAsia="Times New Roman" w:hAnsi="Times New Roman"/>
      <w:sz w:val="24"/>
      <w:szCs w:val="24"/>
    </w:rPr>
  </w:style>
  <w:style w:type="paragraph" w:styleId="Footer">
    <w:name w:val="footer"/>
    <w:basedOn w:val="Normal"/>
    <w:link w:val="FooterChar"/>
    <w:uiPriority w:val="99"/>
    <w:unhideWhenUsed/>
    <w:rsid w:val="005E124B"/>
    <w:pPr>
      <w:tabs>
        <w:tab w:val="center" w:pos="4819"/>
        <w:tab w:val="right" w:pos="9638"/>
      </w:tabs>
    </w:pPr>
    <w:rPr>
      <w:rFonts w:eastAsia="Times New Roman"/>
      <w:lang/>
    </w:rPr>
  </w:style>
  <w:style w:type="character" w:customStyle="1" w:styleId="FooterChar">
    <w:name w:val="Footer Char"/>
    <w:link w:val="Footer"/>
    <w:uiPriority w:val="99"/>
    <w:rsid w:val="005E124B"/>
    <w:rPr>
      <w:rFonts w:ascii="Times New Roman" w:eastAsia="Times New Roman" w:hAnsi="Times New Roman"/>
      <w:sz w:val="24"/>
      <w:szCs w:val="24"/>
    </w:rPr>
  </w:style>
  <w:style w:type="table" w:customStyle="1" w:styleId="Lentelstinklelis1">
    <w:name w:val="Lentelės tinklelis1"/>
    <w:basedOn w:val="TableNormal"/>
    <w:next w:val="TableGrid"/>
    <w:uiPriority w:val="59"/>
    <w:rsid w:val="0005410F"/>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3300C"/>
  </w:style>
  <w:style w:type="character" w:styleId="CommentReference">
    <w:name w:val="annotation reference"/>
    <w:uiPriority w:val="99"/>
    <w:semiHidden/>
    <w:unhideWhenUsed/>
    <w:rsid w:val="00BF0514"/>
    <w:rPr>
      <w:sz w:val="16"/>
      <w:szCs w:val="16"/>
    </w:rPr>
  </w:style>
  <w:style w:type="paragraph" w:styleId="CommentText">
    <w:name w:val="annotation text"/>
    <w:basedOn w:val="Normal"/>
    <w:link w:val="CommentTextChar"/>
    <w:uiPriority w:val="99"/>
    <w:semiHidden/>
    <w:unhideWhenUsed/>
    <w:rsid w:val="00BF0514"/>
    <w:rPr>
      <w:rFonts w:eastAsia="Times New Roman"/>
      <w:sz w:val="20"/>
      <w:szCs w:val="20"/>
      <w:lang/>
    </w:rPr>
  </w:style>
  <w:style w:type="character" w:customStyle="1" w:styleId="CommentTextChar">
    <w:name w:val="Comment Text Char"/>
    <w:link w:val="CommentText"/>
    <w:uiPriority w:val="99"/>
    <w:semiHidden/>
    <w:rsid w:val="00BF0514"/>
    <w:rPr>
      <w:rFonts w:ascii="Times New Roman" w:eastAsia="Times New Roman" w:hAnsi="Times New Roman"/>
    </w:rPr>
  </w:style>
  <w:style w:type="character" w:customStyle="1" w:styleId="apple-converted-space">
    <w:name w:val="apple-converted-space"/>
    <w:basedOn w:val="DefaultParagraphFont"/>
    <w:rsid w:val="00822521"/>
  </w:style>
  <w:style w:type="character" w:styleId="Strong">
    <w:name w:val="Strong"/>
    <w:uiPriority w:val="22"/>
    <w:qFormat/>
    <w:rsid w:val="00A811E2"/>
    <w:rPr>
      <w:b/>
      <w:bCs/>
    </w:rPr>
  </w:style>
  <w:style w:type="paragraph" w:customStyle="1" w:styleId="Norma">
    <w:name w:val="Norma"/>
    <w:basedOn w:val="Normal"/>
    <w:link w:val="NormaChar"/>
    <w:qFormat/>
    <w:rsid w:val="008C1414"/>
    <w:pPr>
      <w:spacing w:before="120" w:after="200" w:line="276" w:lineRule="auto"/>
      <w:ind w:firstLine="709"/>
      <w:jc w:val="both"/>
    </w:pPr>
    <w:rPr>
      <w:rFonts w:ascii="Cambria" w:eastAsia="Times New Roman" w:hAnsi="Cambria"/>
      <w:lang/>
    </w:rPr>
  </w:style>
  <w:style w:type="character" w:customStyle="1" w:styleId="NormaChar">
    <w:name w:val="Norma Char"/>
    <w:link w:val="Norma"/>
    <w:rsid w:val="008C1414"/>
    <w:rPr>
      <w:rFonts w:ascii="Cambria" w:eastAsia="Times New Roman" w:hAnsi="Cambria"/>
      <w:sz w:val="24"/>
      <w:szCs w:val="24"/>
    </w:rPr>
  </w:style>
  <w:style w:type="paragraph" w:styleId="z-TopofForm">
    <w:name w:val="HTML Top of Form"/>
    <w:basedOn w:val="Normal"/>
    <w:next w:val="Normal"/>
    <w:link w:val="z-TopofFormChar"/>
    <w:hidden/>
    <w:uiPriority w:val="99"/>
    <w:semiHidden/>
    <w:unhideWhenUsed/>
    <w:rsid w:val="00FB1BEF"/>
    <w:pPr>
      <w:pBdr>
        <w:bottom w:val="single" w:sz="6" w:space="1" w:color="auto"/>
      </w:pBdr>
      <w:jc w:val="center"/>
    </w:pPr>
    <w:rPr>
      <w:rFonts w:ascii="Arial" w:eastAsia="Times New Roman" w:hAnsi="Arial"/>
      <w:vanish/>
      <w:sz w:val="16"/>
      <w:szCs w:val="16"/>
      <w:lang/>
    </w:rPr>
  </w:style>
  <w:style w:type="character" w:customStyle="1" w:styleId="z-TopofFormChar">
    <w:name w:val="z-Top of Form Char"/>
    <w:link w:val="z-TopofForm"/>
    <w:uiPriority w:val="99"/>
    <w:semiHidden/>
    <w:rsid w:val="00FB1BE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FB1BEF"/>
    <w:pPr>
      <w:pBdr>
        <w:top w:val="single" w:sz="6" w:space="1" w:color="auto"/>
      </w:pBdr>
      <w:jc w:val="center"/>
    </w:pPr>
    <w:rPr>
      <w:rFonts w:ascii="Arial" w:eastAsia="Times New Roman" w:hAnsi="Arial"/>
      <w:vanish/>
      <w:sz w:val="16"/>
      <w:szCs w:val="16"/>
      <w:lang/>
    </w:rPr>
  </w:style>
  <w:style w:type="character" w:customStyle="1" w:styleId="z-BottomofFormChar">
    <w:name w:val="z-Bottom of Form Char"/>
    <w:link w:val="z-BottomofForm"/>
    <w:uiPriority w:val="99"/>
    <w:rsid w:val="00FB1BEF"/>
    <w:rPr>
      <w:rFonts w:ascii="Arial" w:eastAsia="Times New Roman" w:hAnsi="Arial" w:cs="Arial"/>
      <w:vanish/>
      <w:sz w:val="16"/>
      <w:szCs w:val="16"/>
    </w:rPr>
  </w:style>
  <w:style w:type="paragraph" w:customStyle="1" w:styleId="MediumGrid21">
    <w:name w:val="Medium Grid 21"/>
    <w:link w:val="MediumGrid2Char"/>
    <w:uiPriority w:val="99"/>
    <w:qFormat/>
    <w:rsid w:val="00866CDE"/>
    <w:rPr>
      <w:rFonts w:ascii="Times New Roman" w:eastAsia="SimSun" w:hAnsi="Times New Roman"/>
      <w:sz w:val="24"/>
      <w:szCs w:val="24"/>
    </w:rPr>
  </w:style>
  <w:style w:type="character" w:customStyle="1" w:styleId="MediumGrid2Char">
    <w:name w:val="Medium Grid 2 Char"/>
    <w:link w:val="MediumGrid21"/>
    <w:uiPriority w:val="99"/>
    <w:locked/>
    <w:rsid w:val="00866CDE"/>
    <w:rPr>
      <w:rFonts w:ascii="Times New Roman" w:eastAsia="SimSun" w:hAnsi="Times New Roman"/>
      <w:sz w:val="24"/>
      <w:szCs w:val="24"/>
      <w:lang w:bidi="ar-SA"/>
    </w:rPr>
  </w:style>
  <w:style w:type="paragraph" w:styleId="ListParagraph">
    <w:name w:val="List Paragraph"/>
    <w:basedOn w:val="Normal"/>
    <w:uiPriority w:val="34"/>
    <w:qFormat/>
    <w:rsid w:val="00B06D03"/>
    <w:pPr>
      <w:ind w:left="720"/>
      <w:contextualSpacing/>
    </w:pPr>
    <w:rPr>
      <w:szCs w:val="20"/>
      <w:lang w:eastAsia="en-US"/>
    </w:rPr>
  </w:style>
  <w:style w:type="character" w:styleId="FollowedHyperlink">
    <w:name w:val="FollowedHyperlink"/>
    <w:uiPriority w:val="99"/>
    <w:semiHidden/>
    <w:unhideWhenUsed/>
    <w:rsid w:val="00C44B1D"/>
    <w:rPr>
      <w:color w:val="800080"/>
      <w:u w:val="single"/>
    </w:rPr>
  </w:style>
  <w:style w:type="paragraph" w:styleId="CommentSubject">
    <w:name w:val="annotation subject"/>
    <w:basedOn w:val="CommentText"/>
    <w:next w:val="CommentText"/>
    <w:link w:val="CommentSubjectChar"/>
    <w:uiPriority w:val="99"/>
    <w:semiHidden/>
    <w:unhideWhenUsed/>
    <w:rsid w:val="00385D91"/>
    <w:rPr>
      <w:b/>
      <w:bCs/>
    </w:rPr>
  </w:style>
  <w:style w:type="character" w:customStyle="1" w:styleId="CommentSubjectChar">
    <w:name w:val="Comment Subject Char"/>
    <w:link w:val="CommentSubject"/>
    <w:uiPriority w:val="99"/>
    <w:semiHidden/>
    <w:rsid w:val="00385D91"/>
    <w:rPr>
      <w:rFonts w:ascii="Times New Roman" w:eastAsia="Times New Roman" w:hAnsi="Times New Roman"/>
      <w:b/>
      <w:bCs/>
    </w:rPr>
  </w:style>
  <w:style w:type="character" w:customStyle="1" w:styleId="Bodytext2">
    <w:name w:val="Body text (2)_"/>
    <w:link w:val="Bodytext20"/>
    <w:rsid w:val="00994CC1"/>
    <w:rPr>
      <w:rFonts w:ascii="Arial" w:eastAsia="Arial" w:hAnsi="Arial" w:cs="Arial"/>
      <w:shd w:val="clear" w:color="auto" w:fill="FFFFFF"/>
    </w:rPr>
  </w:style>
  <w:style w:type="paragraph" w:customStyle="1" w:styleId="Bodytext20">
    <w:name w:val="Body text (2)"/>
    <w:basedOn w:val="Normal"/>
    <w:link w:val="Bodytext2"/>
    <w:rsid w:val="00994CC1"/>
    <w:pPr>
      <w:widowControl w:val="0"/>
      <w:shd w:val="clear" w:color="auto" w:fill="FFFFFF"/>
      <w:spacing w:line="379" w:lineRule="exact"/>
      <w:jc w:val="both"/>
    </w:pPr>
    <w:rPr>
      <w:rFonts w:ascii="Arial" w:eastAsia="Arial" w:hAnsi="Arial"/>
      <w:sz w:val="20"/>
      <w:szCs w:val="20"/>
      <w:lang/>
    </w:rPr>
  </w:style>
  <w:style w:type="table" w:customStyle="1" w:styleId="TableGrid1">
    <w:name w:val="Table Grid1"/>
    <w:basedOn w:val="TableNormal"/>
    <w:next w:val="TableGrid"/>
    <w:uiPriority w:val="59"/>
    <w:rsid w:val="003420ED"/>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322F4"/>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069635">
      <w:bodyDiv w:val="1"/>
      <w:marLeft w:val="0"/>
      <w:marRight w:val="0"/>
      <w:marTop w:val="0"/>
      <w:marBottom w:val="0"/>
      <w:divBdr>
        <w:top w:val="none" w:sz="0" w:space="0" w:color="auto"/>
        <w:left w:val="none" w:sz="0" w:space="0" w:color="auto"/>
        <w:bottom w:val="none" w:sz="0" w:space="0" w:color="auto"/>
        <w:right w:val="none" w:sz="0" w:space="0" w:color="auto"/>
      </w:divBdr>
    </w:div>
    <w:div w:id="59450757">
      <w:bodyDiv w:val="1"/>
      <w:marLeft w:val="0"/>
      <w:marRight w:val="0"/>
      <w:marTop w:val="0"/>
      <w:marBottom w:val="0"/>
      <w:divBdr>
        <w:top w:val="none" w:sz="0" w:space="0" w:color="auto"/>
        <w:left w:val="none" w:sz="0" w:space="0" w:color="auto"/>
        <w:bottom w:val="none" w:sz="0" w:space="0" w:color="auto"/>
        <w:right w:val="none" w:sz="0" w:space="0" w:color="auto"/>
      </w:divBdr>
    </w:div>
    <w:div w:id="86194647">
      <w:bodyDiv w:val="1"/>
      <w:marLeft w:val="0"/>
      <w:marRight w:val="0"/>
      <w:marTop w:val="0"/>
      <w:marBottom w:val="0"/>
      <w:divBdr>
        <w:top w:val="none" w:sz="0" w:space="0" w:color="auto"/>
        <w:left w:val="none" w:sz="0" w:space="0" w:color="auto"/>
        <w:bottom w:val="none" w:sz="0" w:space="0" w:color="auto"/>
        <w:right w:val="none" w:sz="0" w:space="0" w:color="auto"/>
      </w:divBdr>
    </w:div>
    <w:div w:id="100339416">
      <w:bodyDiv w:val="1"/>
      <w:marLeft w:val="0"/>
      <w:marRight w:val="0"/>
      <w:marTop w:val="0"/>
      <w:marBottom w:val="0"/>
      <w:divBdr>
        <w:top w:val="none" w:sz="0" w:space="0" w:color="auto"/>
        <w:left w:val="none" w:sz="0" w:space="0" w:color="auto"/>
        <w:bottom w:val="none" w:sz="0" w:space="0" w:color="auto"/>
        <w:right w:val="none" w:sz="0" w:space="0" w:color="auto"/>
      </w:divBdr>
    </w:div>
    <w:div w:id="109781961">
      <w:bodyDiv w:val="1"/>
      <w:marLeft w:val="0"/>
      <w:marRight w:val="0"/>
      <w:marTop w:val="0"/>
      <w:marBottom w:val="0"/>
      <w:divBdr>
        <w:top w:val="none" w:sz="0" w:space="0" w:color="auto"/>
        <w:left w:val="none" w:sz="0" w:space="0" w:color="auto"/>
        <w:bottom w:val="none" w:sz="0" w:space="0" w:color="auto"/>
        <w:right w:val="none" w:sz="0" w:space="0" w:color="auto"/>
      </w:divBdr>
    </w:div>
    <w:div w:id="116922692">
      <w:bodyDiv w:val="1"/>
      <w:marLeft w:val="0"/>
      <w:marRight w:val="0"/>
      <w:marTop w:val="0"/>
      <w:marBottom w:val="0"/>
      <w:divBdr>
        <w:top w:val="none" w:sz="0" w:space="0" w:color="auto"/>
        <w:left w:val="none" w:sz="0" w:space="0" w:color="auto"/>
        <w:bottom w:val="none" w:sz="0" w:space="0" w:color="auto"/>
        <w:right w:val="none" w:sz="0" w:space="0" w:color="auto"/>
      </w:divBdr>
    </w:div>
    <w:div w:id="122502582">
      <w:bodyDiv w:val="1"/>
      <w:marLeft w:val="0"/>
      <w:marRight w:val="0"/>
      <w:marTop w:val="0"/>
      <w:marBottom w:val="0"/>
      <w:divBdr>
        <w:top w:val="none" w:sz="0" w:space="0" w:color="auto"/>
        <w:left w:val="none" w:sz="0" w:space="0" w:color="auto"/>
        <w:bottom w:val="none" w:sz="0" w:space="0" w:color="auto"/>
        <w:right w:val="none" w:sz="0" w:space="0" w:color="auto"/>
      </w:divBdr>
    </w:div>
    <w:div w:id="124281049">
      <w:bodyDiv w:val="1"/>
      <w:marLeft w:val="0"/>
      <w:marRight w:val="0"/>
      <w:marTop w:val="0"/>
      <w:marBottom w:val="0"/>
      <w:divBdr>
        <w:top w:val="none" w:sz="0" w:space="0" w:color="auto"/>
        <w:left w:val="none" w:sz="0" w:space="0" w:color="auto"/>
        <w:bottom w:val="none" w:sz="0" w:space="0" w:color="auto"/>
        <w:right w:val="none" w:sz="0" w:space="0" w:color="auto"/>
      </w:divBdr>
    </w:div>
    <w:div w:id="141313779">
      <w:bodyDiv w:val="1"/>
      <w:marLeft w:val="0"/>
      <w:marRight w:val="0"/>
      <w:marTop w:val="0"/>
      <w:marBottom w:val="0"/>
      <w:divBdr>
        <w:top w:val="none" w:sz="0" w:space="0" w:color="auto"/>
        <w:left w:val="none" w:sz="0" w:space="0" w:color="auto"/>
        <w:bottom w:val="none" w:sz="0" w:space="0" w:color="auto"/>
        <w:right w:val="none" w:sz="0" w:space="0" w:color="auto"/>
      </w:divBdr>
    </w:div>
    <w:div w:id="147407136">
      <w:bodyDiv w:val="1"/>
      <w:marLeft w:val="0"/>
      <w:marRight w:val="0"/>
      <w:marTop w:val="0"/>
      <w:marBottom w:val="0"/>
      <w:divBdr>
        <w:top w:val="none" w:sz="0" w:space="0" w:color="auto"/>
        <w:left w:val="none" w:sz="0" w:space="0" w:color="auto"/>
        <w:bottom w:val="none" w:sz="0" w:space="0" w:color="auto"/>
        <w:right w:val="none" w:sz="0" w:space="0" w:color="auto"/>
      </w:divBdr>
    </w:div>
    <w:div w:id="157234191">
      <w:bodyDiv w:val="1"/>
      <w:marLeft w:val="0"/>
      <w:marRight w:val="0"/>
      <w:marTop w:val="0"/>
      <w:marBottom w:val="0"/>
      <w:divBdr>
        <w:top w:val="none" w:sz="0" w:space="0" w:color="auto"/>
        <w:left w:val="none" w:sz="0" w:space="0" w:color="auto"/>
        <w:bottom w:val="none" w:sz="0" w:space="0" w:color="auto"/>
        <w:right w:val="none" w:sz="0" w:space="0" w:color="auto"/>
      </w:divBdr>
    </w:div>
    <w:div w:id="167409346">
      <w:bodyDiv w:val="1"/>
      <w:marLeft w:val="0"/>
      <w:marRight w:val="0"/>
      <w:marTop w:val="0"/>
      <w:marBottom w:val="0"/>
      <w:divBdr>
        <w:top w:val="none" w:sz="0" w:space="0" w:color="auto"/>
        <w:left w:val="none" w:sz="0" w:space="0" w:color="auto"/>
        <w:bottom w:val="none" w:sz="0" w:space="0" w:color="auto"/>
        <w:right w:val="none" w:sz="0" w:space="0" w:color="auto"/>
      </w:divBdr>
    </w:div>
    <w:div w:id="172694426">
      <w:bodyDiv w:val="1"/>
      <w:marLeft w:val="0"/>
      <w:marRight w:val="0"/>
      <w:marTop w:val="0"/>
      <w:marBottom w:val="0"/>
      <w:divBdr>
        <w:top w:val="none" w:sz="0" w:space="0" w:color="auto"/>
        <w:left w:val="none" w:sz="0" w:space="0" w:color="auto"/>
        <w:bottom w:val="none" w:sz="0" w:space="0" w:color="auto"/>
        <w:right w:val="none" w:sz="0" w:space="0" w:color="auto"/>
      </w:divBdr>
    </w:div>
    <w:div w:id="176190582">
      <w:bodyDiv w:val="1"/>
      <w:marLeft w:val="0"/>
      <w:marRight w:val="0"/>
      <w:marTop w:val="0"/>
      <w:marBottom w:val="0"/>
      <w:divBdr>
        <w:top w:val="none" w:sz="0" w:space="0" w:color="auto"/>
        <w:left w:val="none" w:sz="0" w:space="0" w:color="auto"/>
        <w:bottom w:val="none" w:sz="0" w:space="0" w:color="auto"/>
        <w:right w:val="none" w:sz="0" w:space="0" w:color="auto"/>
      </w:divBdr>
    </w:div>
    <w:div w:id="183516263">
      <w:bodyDiv w:val="1"/>
      <w:marLeft w:val="0"/>
      <w:marRight w:val="0"/>
      <w:marTop w:val="0"/>
      <w:marBottom w:val="0"/>
      <w:divBdr>
        <w:top w:val="none" w:sz="0" w:space="0" w:color="auto"/>
        <w:left w:val="none" w:sz="0" w:space="0" w:color="auto"/>
        <w:bottom w:val="none" w:sz="0" w:space="0" w:color="auto"/>
        <w:right w:val="none" w:sz="0" w:space="0" w:color="auto"/>
      </w:divBdr>
    </w:div>
    <w:div w:id="188178024">
      <w:bodyDiv w:val="1"/>
      <w:marLeft w:val="0"/>
      <w:marRight w:val="0"/>
      <w:marTop w:val="0"/>
      <w:marBottom w:val="0"/>
      <w:divBdr>
        <w:top w:val="none" w:sz="0" w:space="0" w:color="auto"/>
        <w:left w:val="none" w:sz="0" w:space="0" w:color="auto"/>
        <w:bottom w:val="none" w:sz="0" w:space="0" w:color="auto"/>
        <w:right w:val="none" w:sz="0" w:space="0" w:color="auto"/>
      </w:divBdr>
    </w:div>
    <w:div w:id="195243915">
      <w:bodyDiv w:val="1"/>
      <w:marLeft w:val="0"/>
      <w:marRight w:val="0"/>
      <w:marTop w:val="0"/>
      <w:marBottom w:val="0"/>
      <w:divBdr>
        <w:top w:val="none" w:sz="0" w:space="0" w:color="auto"/>
        <w:left w:val="none" w:sz="0" w:space="0" w:color="auto"/>
        <w:bottom w:val="none" w:sz="0" w:space="0" w:color="auto"/>
        <w:right w:val="none" w:sz="0" w:space="0" w:color="auto"/>
      </w:divBdr>
    </w:div>
    <w:div w:id="206063723">
      <w:bodyDiv w:val="1"/>
      <w:marLeft w:val="0"/>
      <w:marRight w:val="0"/>
      <w:marTop w:val="0"/>
      <w:marBottom w:val="0"/>
      <w:divBdr>
        <w:top w:val="none" w:sz="0" w:space="0" w:color="auto"/>
        <w:left w:val="none" w:sz="0" w:space="0" w:color="auto"/>
        <w:bottom w:val="none" w:sz="0" w:space="0" w:color="auto"/>
        <w:right w:val="none" w:sz="0" w:space="0" w:color="auto"/>
      </w:divBdr>
    </w:div>
    <w:div w:id="209659379">
      <w:bodyDiv w:val="1"/>
      <w:marLeft w:val="0"/>
      <w:marRight w:val="0"/>
      <w:marTop w:val="0"/>
      <w:marBottom w:val="0"/>
      <w:divBdr>
        <w:top w:val="none" w:sz="0" w:space="0" w:color="auto"/>
        <w:left w:val="none" w:sz="0" w:space="0" w:color="auto"/>
        <w:bottom w:val="none" w:sz="0" w:space="0" w:color="auto"/>
        <w:right w:val="none" w:sz="0" w:space="0" w:color="auto"/>
      </w:divBdr>
    </w:div>
    <w:div w:id="213351978">
      <w:bodyDiv w:val="1"/>
      <w:marLeft w:val="0"/>
      <w:marRight w:val="0"/>
      <w:marTop w:val="0"/>
      <w:marBottom w:val="0"/>
      <w:divBdr>
        <w:top w:val="none" w:sz="0" w:space="0" w:color="auto"/>
        <w:left w:val="none" w:sz="0" w:space="0" w:color="auto"/>
        <w:bottom w:val="none" w:sz="0" w:space="0" w:color="auto"/>
        <w:right w:val="none" w:sz="0" w:space="0" w:color="auto"/>
      </w:divBdr>
    </w:div>
    <w:div w:id="214436628">
      <w:bodyDiv w:val="1"/>
      <w:marLeft w:val="0"/>
      <w:marRight w:val="0"/>
      <w:marTop w:val="0"/>
      <w:marBottom w:val="0"/>
      <w:divBdr>
        <w:top w:val="none" w:sz="0" w:space="0" w:color="auto"/>
        <w:left w:val="none" w:sz="0" w:space="0" w:color="auto"/>
        <w:bottom w:val="none" w:sz="0" w:space="0" w:color="auto"/>
        <w:right w:val="none" w:sz="0" w:space="0" w:color="auto"/>
      </w:divBdr>
    </w:div>
    <w:div w:id="215359713">
      <w:bodyDiv w:val="1"/>
      <w:marLeft w:val="0"/>
      <w:marRight w:val="0"/>
      <w:marTop w:val="0"/>
      <w:marBottom w:val="0"/>
      <w:divBdr>
        <w:top w:val="none" w:sz="0" w:space="0" w:color="auto"/>
        <w:left w:val="none" w:sz="0" w:space="0" w:color="auto"/>
        <w:bottom w:val="none" w:sz="0" w:space="0" w:color="auto"/>
        <w:right w:val="none" w:sz="0" w:space="0" w:color="auto"/>
      </w:divBdr>
    </w:div>
    <w:div w:id="233591490">
      <w:bodyDiv w:val="1"/>
      <w:marLeft w:val="0"/>
      <w:marRight w:val="0"/>
      <w:marTop w:val="0"/>
      <w:marBottom w:val="0"/>
      <w:divBdr>
        <w:top w:val="none" w:sz="0" w:space="0" w:color="auto"/>
        <w:left w:val="none" w:sz="0" w:space="0" w:color="auto"/>
        <w:bottom w:val="none" w:sz="0" w:space="0" w:color="auto"/>
        <w:right w:val="none" w:sz="0" w:space="0" w:color="auto"/>
      </w:divBdr>
    </w:div>
    <w:div w:id="250549615">
      <w:bodyDiv w:val="1"/>
      <w:marLeft w:val="0"/>
      <w:marRight w:val="0"/>
      <w:marTop w:val="0"/>
      <w:marBottom w:val="0"/>
      <w:divBdr>
        <w:top w:val="none" w:sz="0" w:space="0" w:color="auto"/>
        <w:left w:val="none" w:sz="0" w:space="0" w:color="auto"/>
        <w:bottom w:val="none" w:sz="0" w:space="0" w:color="auto"/>
        <w:right w:val="none" w:sz="0" w:space="0" w:color="auto"/>
      </w:divBdr>
      <w:divsChild>
        <w:div w:id="489060371">
          <w:marLeft w:val="0"/>
          <w:marRight w:val="0"/>
          <w:marTop w:val="0"/>
          <w:marBottom w:val="0"/>
          <w:divBdr>
            <w:top w:val="none" w:sz="0" w:space="0" w:color="auto"/>
            <w:left w:val="none" w:sz="0" w:space="0" w:color="auto"/>
            <w:bottom w:val="none" w:sz="0" w:space="0" w:color="auto"/>
            <w:right w:val="none" w:sz="0" w:space="0" w:color="auto"/>
          </w:divBdr>
          <w:divsChild>
            <w:div w:id="1439183236">
              <w:marLeft w:val="1725"/>
              <w:marRight w:val="2025"/>
              <w:marTop w:val="0"/>
              <w:marBottom w:val="0"/>
              <w:divBdr>
                <w:top w:val="single" w:sz="36" w:space="0" w:color="FFFFFF"/>
                <w:left w:val="single" w:sz="36" w:space="0" w:color="FFFFFF"/>
                <w:bottom w:val="single" w:sz="36" w:space="0" w:color="FFFFFF"/>
                <w:right w:val="single" w:sz="36" w:space="0" w:color="FFFFFF"/>
              </w:divBdr>
              <w:divsChild>
                <w:div w:id="1457602516">
                  <w:marLeft w:val="-15"/>
                  <w:marRight w:val="0"/>
                  <w:marTop w:val="0"/>
                  <w:marBottom w:val="0"/>
                  <w:divBdr>
                    <w:top w:val="none" w:sz="0" w:space="0" w:color="auto"/>
                    <w:left w:val="dashed" w:sz="6" w:space="15" w:color="FFFFFF"/>
                    <w:bottom w:val="none" w:sz="0" w:space="0" w:color="auto"/>
                    <w:right w:val="none" w:sz="0" w:space="0" w:color="auto"/>
                  </w:divBdr>
                  <w:divsChild>
                    <w:div w:id="139342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888930">
      <w:bodyDiv w:val="1"/>
      <w:marLeft w:val="0"/>
      <w:marRight w:val="0"/>
      <w:marTop w:val="0"/>
      <w:marBottom w:val="0"/>
      <w:divBdr>
        <w:top w:val="none" w:sz="0" w:space="0" w:color="auto"/>
        <w:left w:val="none" w:sz="0" w:space="0" w:color="auto"/>
        <w:bottom w:val="none" w:sz="0" w:space="0" w:color="auto"/>
        <w:right w:val="none" w:sz="0" w:space="0" w:color="auto"/>
      </w:divBdr>
      <w:divsChild>
        <w:div w:id="142550566">
          <w:marLeft w:val="0"/>
          <w:marRight w:val="0"/>
          <w:marTop w:val="0"/>
          <w:marBottom w:val="0"/>
          <w:divBdr>
            <w:top w:val="none" w:sz="0" w:space="0" w:color="auto"/>
            <w:left w:val="none" w:sz="0" w:space="0" w:color="auto"/>
            <w:bottom w:val="none" w:sz="0" w:space="0" w:color="auto"/>
            <w:right w:val="none" w:sz="0" w:space="0" w:color="auto"/>
          </w:divBdr>
        </w:div>
      </w:divsChild>
    </w:div>
    <w:div w:id="267667826">
      <w:bodyDiv w:val="1"/>
      <w:marLeft w:val="0"/>
      <w:marRight w:val="0"/>
      <w:marTop w:val="0"/>
      <w:marBottom w:val="0"/>
      <w:divBdr>
        <w:top w:val="none" w:sz="0" w:space="0" w:color="auto"/>
        <w:left w:val="none" w:sz="0" w:space="0" w:color="auto"/>
        <w:bottom w:val="none" w:sz="0" w:space="0" w:color="auto"/>
        <w:right w:val="none" w:sz="0" w:space="0" w:color="auto"/>
      </w:divBdr>
    </w:div>
    <w:div w:id="292642632">
      <w:bodyDiv w:val="1"/>
      <w:marLeft w:val="0"/>
      <w:marRight w:val="0"/>
      <w:marTop w:val="0"/>
      <w:marBottom w:val="0"/>
      <w:divBdr>
        <w:top w:val="none" w:sz="0" w:space="0" w:color="auto"/>
        <w:left w:val="none" w:sz="0" w:space="0" w:color="auto"/>
        <w:bottom w:val="none" w:sz="0" w:space="0" w:color="auto"/>
        <w:right w:val="none" w:sz="0" w:space="0" w:color="auto"/>
      </w:divBdr>
    </w:div>
    <w:div w:id="303854216">
      <w:bodyDiv w:val="1"/>
      <w:marLeft w:val="0"/>
      <w:marRight w:val="0"/>
      <w:marTop w:val="0"/>
      <w:marBottom w:val="0"/>
      <w:divBdr>
        <w:top w:val="none" w:sz="0" w:space="0" w:color="auto"/>
        <w:left w:val="none" w:sz="0" w:space="0" w:color="auto"/>
        <w:bottom w:val="none" w:sz="0" w:space="0" w:color="auto"/>
        <w:right w:val="none" w:sz="0" w:space="0" w:color="auto"/>
      </w:divBdr>
    </w:div>
    <w:div w:id="306519973">
      <w:bodyDiv w:val="1"/>
      <w:marLeft w:val="0"/>
      <w:marRight w:val="0"/>
      <w:marTop w:val="0"/>
      <w:marBottom w:val="0"/>
      <w:divBdr>
        <w:top w:val="none" w:sz="0" w:space="0" w:color="auto"/>
        <w:left w:val="none" w:sz="0" w:space="0" w:color="auto"/>
        <w:bottom w:val="none" w:sz="0" w:space="0" w:color="auto"/>
        <w:right w:val="none" w:sz="0" w:space="0" w:color="auto"/>
      </w:divBdr>
    </w:div>
    <w:div w:id="309021024">
      <w:bodyDiv w:val="1"/>
      <w:marLeft w:val="0"/>
      <w:marRight w:val="0"/>
      <w:marTop w:val="0"/>
      <w:marBottom w:val="0"/>
      <w:divBdr>
        <w:top w:val="none" w:sz="0" w:space="0" w:color="auto"/>
        <w:left w:val="none" w:sz="0" w:space="0" w:color="auto"/>
        <w:bottom w:val="none" w:sz="0" w:space="0" w:color="auto"/>
        <w:right w:val="none" w:sz="0" w:space="0" w:color="auto"/>
      </w:divBdr>
      <w:divsChild>
        <w:div w:id="711270666">
          <w:marLeft w:val="0"/>
          <w:marRight w:val="0"/>
          <w:marTop w:val="0"/>
          <w:marBottom w:val="0"/>
          <w:divBdr>
            <w:top w:val="none" w:sz="0" w:space="0" w:color="auto"/>
            <w:left w:val="none" w:sz="0" w:space="0" w:color="auto"/>
            <w:bottom w:val="none" w:sz="0" w:space="0" w:color="auto"/>
            <w:right w:val="none" w:sz="0" w:space="0" w:color="auto"/>
          </w:divBdr>
          <w:divsChild>
            <w:div w:id="408887393">
              <w:marLeft w:val="0"/>
              <w:marRight w:val="0"/>
              <w:marTop w:val="0"/>
              <w:marBottom w:val="0"/>
              <w:divBdr>
                <w:top w:val="none" w:sz="0" w:space="0" w:color="auto"/>
                <w:left w:val="none" w:sz="0" w:space="0" w:color="auto"/>
                <w:bottom w:val="none" w:sz="0" w:space="0" w:color="auto"/>
                <w:right w:val="none" w:sz="0" w:space="0" w:color="auto"/>
              </w:divBdr>
            </w:div>
            <w:div w:id="101071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600222">
      <w:bodyDiv w:val="1"/>
      <w:marLeft w:val="0"/>
      <w:marRight w:val="0"/>
      <w:marTop w:val="0"/>
      <w:marBottom w:val="0"/>
      <w:divBdr>
        <w:top w:val="none" w:sz="0" w:space="0" w:color="auto"/>
        <w:left w:val="none" w:sz="0" w:space="0" w:color="auto"/>
        <w:bottom w:val="none" w:sz="0" w:space="0" w:color="auto"/>
        <w:right w:val="none" w:sz="0" w:space="0" w:color="auto"/>
      </w:divBdr>
    </w:div>
    <w:div w:id="348992526">
      <w:bodyDiv w:val="1"/>
      <w:marLeft w:val="0"/>
      <w:marRight w:val="0"/>
      <w:marTop w:val="0"/>
      <w:marBottom w:val="0"/>
      <w:divBdr>
        <w:top w:val="none" w:sz="0" w:space="0" w:color="auto"/>
        <w:left w:val="none" w:sz="0" w:space="0" w:color="auto"/>
        <w:bottom w:val="none" w:sz="0" w:space="0" w:color="auto"/>
        <w:right w:val="none" w:sz="0" w:space="0" w:color="auto"/>
      </w:divBdr>
    </w:div>
    <w:div w:id="349183250">
      <w:bodyDiv w:val="1"/>
      <w:marLeft w:val="0"/>
      <w:marRight w:val="0"/>
      <w:marTop w:val="0"/>
      <w:marBottom w:val="0"/>
      <w:divBdr>
        <w:top w:val="none" w:sz="0" w:space="0" w:color="auto"/>
        <w:left w:val="none" w:sz="0" w:space="0" w:color="auto"/>
        <w:bottom w:val="none" w:sz="0" w:space="0" w:color="auto"/>
        <w:right w:val="none" w:sz="0" w:space="0" w:color="auto"/>
      </w:divBdr>
    </w:div>
    <w:div w:id="360328367">
      <w:bodyDiv w:val="1"/>
      <w:marLeft w:val="0"/>
      <w:marRight w:val="0"/>
      <w:marTop w:val="0"/>
      <w:marBottom w:val="0"/>
      <w:divBdr>
        <w:top w:val="none" w:sz="0" w:space="0" w:color="auto"/>
        <w:left w:val="none" w:sz="0" w:space="0" w:color="auto"/>
        <w:bottom w:val="none" w:sz="0" w:space="0" w:color="auto"/>
        <w:right w:val="none" w:sz="0" w:space="0" w:color="auto"/>
      </w:divBdr>
    </w:div>
    <w:div w:id="422188156">
      <w:bodyDiv w:val="1"/>
      <w:marLeft w:val="0"/>
      <w:marRight w:val="0"/>
      <w:marTop w:val="0"/>
      <w:marBottom w:val="0"/>
      <w:divBdr>
        <w:top w:val="none" w:sz="0" w:space="0" w:color="auto"/>
        <w:left w:val="none" w:sz="0" w:space="0" w:color="auto"/>
        <w:bottom w:val="none" w:sz="0" w:space="0" w:color="auto"/>
        <w:right w:val="none" w:sz="0" w:space="0" w:color="auto"/>
      </w:divBdr>
    </w:div>
    <w:div w:id="422344157">
      <w:bodyDiv w:val="1"/>
      <w:marLeft w:val="0"/>
      <w:marRight w:val="0"/>
      <w:marTop w:val="0"/>
      <w:marBottom w:val="0"/>
      <w:divBdr>
        <w:top w:val="none" w:sz="0" w:space="0" w:color="auto"/>
        <w:left w:val="none" w:sz="0" w:space="0" w:color="auto"/>
        <w:bottom w:val="none" w:sz="0" w:space="0" w:color="auto"/>
        <w:right w:val="none" w:sz="0" w:space="0" w:color="auto"/>
      </w:divBdr>
    </w:div>
    <w:div w:id="461073534">
      <w:bodyDiv w:val="1"/>
      <w:marLeft w:val="0"/>
      <w:marRight w:val="0"/>
      <w:marTop w:val="0"/>
      <w:marBottom w:val="0"/>
      <w:divBdr>
        <w:top w:val="none" w:sz="0" w:space="0" w:color="auto"/>
        <w:left w:val="none" w:sz="0" w:space="0" w:color="auto"/>
        <w:bottom w:val="none" w:sz="0" w:space="0" w:color="auto"/>
        <w:right w:val="none" w:sz="0" w:space="0" w:color="auto"/>
      </w:divBdr>
    </w:div>
    <w:div w:id="480973007">
      <w:bodyDiv w:val="1"/>
      <w:marLeft w:val="0"/>
      <w:marRight w:val="0"/>
      <w:marTop w:val="0"/>
      <w:marBottom w:val="0"/>
      <w:divBdr>
        <w:top w:val="none" w:sz="0" w:space="0" w:color="auto"/>
        <w:left w:val="none" w:sz="0" w:space="0" w:color="auto"/>
        <w:bottom w:val="none" w:sz="0" w:space="0" w:color="auto"/>
        <w:right w:val="none" w:sz="0" w:space="0" w:color="auto"/>
      </w:divBdr>
      <w:divsChild>
        <w:div w:id="937757544">
          <w:marLeft w:val="0"/>
          <w:marRight w:val="0"/>
          <w:marTop w:val="0"/>
          <w:marBottom w:val="0"/>
          <w:divBdr>
            <w:top w:val="none" w:sz="0" w:space="0" w:color="auto"/>
            <w:left w:val="none" w:sz="0" w:space="0" w:color="auto"/>
            <w:bottom w:val="none" w:sz="0" w:space="0" w:color="auto"/>
            <w:right w:val="none" w:sz="0" w:space="0" w:color="auto"/>
          </w:divBdr>
        </w:div>
      </w:divsChild>
    </w:div>
    <w:div w:id="503013278">
      <w:bodyDiv w:val="1"/>
      <w:marLeft w:val="0"/>
      <w:marRight w:val="0"/>
      <w:marTop w:val="0"/>
      <w:marBottom w:val="0"/>
      <w:divBdr>
        <w:top w:val="none" w:sz="0" w:space="0" w:color="auto"/>
        <w:left w:val="none" w:sz="0" w:space="0" w:color="auto"/>
        <w:bottom w:val="none" w:sz="0" w:space="0" w:color="auto"/>
        <w:right w:val="none" w:sz="0" w:space="0" w:color="auto"/>
      </w:divBdr>
    </w:div>
    <w:div w:id="511800930">
      <w:bodyDiv w:val="1"/>
      <w:marLeft w:val="0"/>
      <w:marRight w:val="0"/>
      <w:marTop w:val="0"/>
      <w:marBottom w:val="0"/>
      <w:divBdr>
        <w:top w:val="none" w:sz="0" w:space="0" w:color="auto"/>
        <w:left w:val="none" w:sz="0" w:space="0" w:color="auto"/>
        <w:bottom w:val="none" w:sz="0" w:space="0" w:color="auto"/>
        <w:right w:val="none" w:sz="0" w:space="0" w:color="auto"/>
      </w:divBdr>
    </w:div>
    <w:div w:id="536815206">
      <w:bodyDiv w:val="1"/>
      <w:marLeft w:val="0"/>
      <w:marRight w:val="0"/>
      <w:marTop w:val="0"/>
      <w:marBottom w:val="0"/>
      <w:divBdr>
        <w:top w:val="none" w:sz="0" w:space="0" w:color="auto"/>
        <w:left w:val="none" w:sz="0" w:space="0" w:color="auto"/>
        <w:bottom w:val="none" w:sz="0" w:space="0" w:color="auto"/>
        <w:right w:val="none" w:sz="0" w:space="0" w:color="auto"/>
      </w:divBdr>
    </w:div>
    <w:div w:id="538276105">
      <w:bodyDiv w:val="1"/>
      <w:marLeft w:val="0"/>
      <w:marRight w:val="0"/>
      <w:marTop w:val="0"/>
      <w:marBottom w:val="0"/>
      <w:divBdr>
        <w:top w:val="none" w:sz="0" w:space="0" w:color="auto"/>
        <w:left w:val="none" w:sz="0" w:space="0" w:color="auto"/>
        <w:bottom w:val="none" w:sz="0" w:space="0" w:color="auto"/>
        <w:right w:val="none" w:sz="0" w:space="0" w:color="auto"/>
      </w:divBdr>
    </w:div>
    <w:div w:id="538738160">
      <w:bodyDiv w:val="1"/>
      <w:marLeft w:val="0"/>
      <w:marRight w:val="0"/>
      <w:marTop w:val="0"/>
      <w:marBottom w:val="0"/>
      <w:divBdr>
        <w:top w:val="none" w:sz="0" w:space="0" w:color="auto"/>
        <w:left w:val="none" w:sz="0" w:space="0" w:color="auto"/>
        <w:bottom w:val="none" w:sz="0" w:space="0" w:color="auto"/>
        <w:right w:val="none" w:sz="0" w:space="0" w:color="auto"/>
      </w:divBdr>
    </w:div>
    <w:div w:id="548224127">
      <w:bodyDiv w:val="1"/>
      <w:marLeft w:val="0"/>
      <w:marRight w:val="0"/>
      <w:marTop w:val="0"/>
      <w:marBottom w:val="0"/>
      <w:divBdr>
        <w:top w:val="none" w:sz="0" w:space="0" w:color="auto"/>
        <w:left w:val="none" w:sz="0" w:space="0" w:color="auto"/>
        <w:bottom w:val="none" w:sz="0" w:space="0" w:color="auto"/>
        <w:right w:val="none" w:sz="0" w:space="0" w:color="auto"/>
      </w:divBdr>
    </w:div>
    <w:div w:id="570427062">
      <w:bodyDiv w:val="1"/>
      <w:marLeft w:val="0"/>
      <w:marRight w:val="0"/>
      <w:marTop w:val="0"/>
      <w:marBottom w:val="0"/>
      <w:divBdr>
        <w:top w:val="none" w:sz="0" w:space="0" w:color="auto"/>
        <w:left w:val="none" w:sz="0" w:space="0" w:color="auto"/>
        <w:bottom w:val="none" w:sz="0" w:space="0" w:color="auto"/>
        <w:right w:val="none" w:sz="0" w:space="0" w:color="auto"/>
      </w:divBdr>
    </w:div>
    <w:div w:id="584336826">
      <w:bodyDiv w:val="1"/>
      <w:marLeft w:val="0"/>
      <w:marRight w:val="0"/>
      <w:marTop w:val="0"/>
      <w:marBottom w:val="0"/>
      <w:divBdr>
        <w:top w:val="none" w:sz="0" w:space="0" w:color="auto"/>
        <w:left w:val="none" w:sz="0" w:space="0" w:color="auto"/>
        <w:bottom w:val="none" w:sz="0" w:space="0" w:color="auto"/>
        <w:right w:val="none" w:sz="0" w:space="0" w:color="auto"/>
      </w:divBdr>
    </w:div>
    <w:div w:id="604727174">
      <w:bodyDiv w:val="1"/>
      <w:marLeft w:val="0"/>
      <w:marRight w:val="0"/>
      <w:marTop w:val="0"/>
      <w:marBottom w:val="0"/>
      <w:divBdr>
        <w:top w:val="none" w:sz="0" w:space="0" w:color="auto"/>
        <w:left w:val="none" w:sz="0" w:space="0" w:color="auto"/>
        <w:bottom w:val="none" w:sz="0" w:space="0" w:color="auto"/>
        <w:right w:val="none" w:sz="0" w:space="0" w:color="auto"/>
      </w:divBdr>
    </w:div>
    <w:div w:id="605692126">
      <w:bodyDiv w:val="1"/>
      <w:marLeft w:val="0"/>
      <w:marRight w:val="0"/>
      <w:marTop w:val="0"/>
      <w:marBottom w:val="0"/>
      <w:divBdr>
        <w:top w:val="none" w:sz="0" w:space="0" w:color="auto"/>
        <w:left w:val="none" w:sz="0" w:space="0" w:color="auto"/>
        <w:bottom w:val="none" w:sz="0" w:space="0" w:color="auto"/>
        <w:right w:val="none" w:sz="0" w:space="0" w:color="auto"/>
      </w:divBdr>
    </w:div>
    <w:div w:id="651981889">
      <w:bodyDiv w:val="1"/>
      <w:marLeft w:val="0"/>
      <w:marRight w:val="0"/>
      <w:marTop w:val="0"/>
      <w:marBottom w:val="0"/>
      <w:divBdr>
        <w:top w:val="none" w:sz="0" w:space="0" w:color="auto"/>
        <w:left w:val="none" w:sz="0" w:space="0" w:color="auto"/>
        <w:bottom w:val="none" w:sz="0" w:space="0" w:color="auto"/>
        <w:right w:val="none" w:sz="0" w:space="0" w:color="auto"/>
      </w:divBdr>
    </w:div>
    <w:div w:id="659120294">
      <w:bodyDiv w:val="1"/>
      <w:marLeft w:val="0"/>
      <w:marRight w:val="0"/>
      <w:marTop w:val="0"/>
      <w:marBottom w:val="0"/>
      <w:divBdr>
        <w:top w:val="none" w:sz="0" w:space="0" w:color="auto"/>
        <w:left w:val="none" w:sz="0" w:space="0" w:color="auto"/>
        <w:bottom w:val="none" w:sz="0" w:space="0" w:color="auto"/>
        <w:right w:val="none" w:sz="0" w:space="0" w:color="auto"/>
      </w:divBdr>
    </w:div>
    <w:div w:id="663553356">
      <w:bodyDiv w:val="1"/>
      <w:marLeft w:val="0"/>
      <w:marRight w:val="0"/>
      <w:marTop w:val="0"/>
      <w:marBottom w:val="0"/>
      <w:divBdr>
        <w:top w:val="none" w:sz="0" w:space="0" w:color="auto"/>
        <w:left w:val="none" w:sz="0" w:space="0" w:color="auto"/>
        <w:bottom w:val="none" w:sz="0" w:space="0" w:color="auto"/>
        <w:right w:val="none" w:sz="0" w:space="0" w:color="auto"/>
      </w:divBdr>
    </w:div>
    <w:div w:id="667558905">
      <w:bodyDiv w:val="1"/>
      <w:marLeft w:val="0"/>
      <w:marRight w:val="0"/>
      <w:marTop w:val="0"/>
      <w:marBottom w:val="0"/>
      <w:divBdr>
        <w:top w:val="none" w:sz="0" w:space="0" w:color="auto"/>
        <w:left w:val="none" w:sz="0" w:space="0" w:color="auto"/>
        <w:bottom w:val="none" w:sz="0" w:space="0" w:color="auto"/>
        <w:right w:val="none" w:sz="0" w:space="0" w:color="auto"/>
      </w:divBdr>
      <w:divsChild>
        <w:div w:id="1511260541">
          <w:marLeft w:val="720"/>
          <w:marRight w:val="0"/>
          <w:marTop w:val="0"/>
          <w:marBottom w:val="0"/>
          <w:divBdr>
            <w:top w:val="none" w:sz="0" w:space="0" w:color="auto"/>
            <w:left w:val="none" w:sz="0" w:space="0" w:color="auto"/>
            <w:bottom w:val="none" w:sz="0" w:space="0" w:color="auto"/>
            <w:right w:val="none" w:sz="0" w:space="0" w:color="auto"/>
          </w:divBdr>
        </w:div>
        <w:div w:id="1814985706">
          <w:marLeft w:val="720"/>
          <w:marRight w:val="0"/>
          <w:marTop w:val="0"/>
          <w:marBottom w:val="0"/>
          <w:divBdr>
            <w:top w:val="none" w:sz="0" w:space="0" w:color="auto"/>
            <w:left w:val="none" w:sz="0" w:space="0" w:color="auto"/>
            <w:bottom w:val="none" w:sz="0" w:space="0" w:color="auto"/>
            <w:right w:val="none" w:sz="0" w:space="0" w:color="auto"/>
          </w:divBdr>
        </w:div>
      </w:divsChild>
    </w:div>
    <w:div w:id="690226868">
      <w:bodyDiv w:val="1"/>
      <w:marLeft w:val="0"/>
      <w:marRight w:val="0"/>
      <w:marTop w:val="0"/>
      <w:marBottom w:val="0"/>
      <w:divBdr>
        <w:top w:val="none" w:sz="0" w:space="0" w:color="auto"/>
        <w:left w:val="none" w:sz="0" w:space="0" w:color="auto"/>
        <w:bottom w:val="none" w:sz="0" w:space="0" w:color="auto"/>
        <w:right w:val="none" w:sz="0" w:space="0" w:color="auto"/>
      </w:divBdr>
    </w:div>
    <w:div w:id="691035902">
      <w:bodyDiv w:val="1"/>
      <w:marLeft w:val="0"/>
      <w:marRight w:val="0"/>
      <w:marTop w:val="0"/>
      <w:marBottom w:val="0"/>
      <w:divBdr>
        <w:top w:val="none" w:sz="0" w:space="0" w:color="auto"/>
        <w:left w:val="none" w:sz="0" w:space="0" w:color="auto"/>
        <w:bottom w:val="none" w:sz="0" w:space="0" w:color="auto"/>
        <w:right w:val="none" w:sz="0" w:space="0" w:color="auto"/>
      </w:divBdr>
    </w:div>
    <w:div w:id="692457490">
      <w:bodyDiv w:val="1"/>
      <w:marLeft w:val="0"/>
      <w:marRight w:val="0"/>
      <w:marTop w:val="0"/>
      <w:marBottom w:val="0"/>
      <w:divBdr>
        <w:top w:val="none" w:sz="0" w:space="0" w:color="auto"/>
        <w:left w:val="none" w:sz="0" w:space="0" w:color="auto"/>
        <w:bottom w:val="none" w:sz="0" w:space="0" w:color="auto"/>
        <w:right w:val="none" w:sz="0" w:space="0" w:color="auto"/>
      </w:divBdr>
    </w:div>
    <w:div w:id="719792823">
      <w:bodyDiv w:val="1"/>
      <w:marLeft w:val="0"/>
      <w:marRight w:val="0"/>
      <w:marTop w:val="0"/>
      <w:marBottom w:val="0"/>
      <w:divBdr>
        <w:top w:val="none" w:sz="0" w:space="0" w:color="auto"/>
        <w:left w:val="none" w:sz="0" w:space="0" w:color="auto"/>
        <w:bottom w:val="none" w:sz="0" w:space="0" w:color="auto"/>
        <w:right w:val="none" w:sz="0" w:space="0" w:color="auto"/>
      </w:divBdr>
    </w:div>
    <w:div w:id="727068425">
      <w:bodyDiv w:val="1"/>
      <w:marLeft w:val="0"/>
      <w:marRight w:val="0"/>
      <w:marTop w:val="0"/>
      <w:marBottom w:val="0"/>
      <w:divBdr>
        <w:top w:val="none" w:sz="0" w:space="0" w:color="auto"/>
        <w:left w:val="none" w:sz="0" w:space="0" w:color="auto"/>
        <w:bottom w:val="none" w:sz="0" w:space="0" w:color="auto"/>
        <w:right w:val="none" w:sz="0" w:space="0" w:color="auto"/>
      </w:divBdr>
    </w:div>
    <w:div w:id="748577640">
      <w:bodyDiv w:val="1"/>
      <w:marLeft w:val="0"/>
      <w:marRight w:val="0"/>
      <w:marTop w:val="0"/>
      <w:marBottom w:val="0"/>
      <w:divBdr>
        <w:top w:val="none" w:sz="0" w:space="0" w:color="auto"/>
        <w:left w:val="none" w:sz="0" w:space="0" w:color="auto"/>
        <w:bottom w:val="none" w:sz="0" w:space="0" w:color="auto"/>
        <w:right w:val="none" w:sz="0" w:space="0" w:color="auto"/>
      </w:divBdr>
    </w:div>
    <w:div w:id="752825780">
      <w:bodyDiv w:val="1"/>
      <w:marLeft w:val="0"/>
      <w:marRight w:val="0"/>
      <w:marTop w:val="0"/>
      <w:marBottom w:val="0"/>
      <w:divBdr>
        <w:top w:val="none" w:sz="0" w:space="0" w:color="auto"/>
        <w:left w:val="none" w:sz="0" w:space="0" w:color="auto"/>
        <w:bottom w:val="none" w:sz="0" w:space="0" w:color="auto"/>
        <w:right w:val="none" w:sz="0" w:space="0" w:color="auto"/>
      </w:divBdr>
    </w:div>
    <w:div w:id="788547067">
      <w:bodyDiv w:val="1"/>
      <w:marLeft w:val="0"/>
      <w:marRight w:val="0"/>
      <w:marTop w:val="0"/>
      <w:marBottom w:val="0"/>
      <w:divBdr>
        <w:top w:val="none" w:sz="0" w:space="0" w:color="auto"/>
        <w:left w:val="none" w:sz="0" w:space="0" w:color="auto"/>
        <w:bottom w:val="none" w:sz="0" w:space="0" w:color="auto"/>
        <w:right w:val="none" w:sz="0" w:space="0" w:color="auto"/>
      </w:divBdr>
    </w:div>
    <w:div w:id="807010828">
      <w:bodyDiv w:val="1"/>
      <w:marLeft w:val="0"/>
      <w:marRight w:val="0"/>
      <w:marTop w:val="0"/>
      <w:marBottom w:val="0"/>
      <w:divBdr>
        <w:top w:val="none" w:sz="0" w:space="0" w:color="auto"/>
        <w:left w:val="none" w:sz="0" w:space="0" w:color="auto"/>
        <w:bottom w:val="none" w:sz="0" w:space="0" w:color="auto"/>
        <w:right w:val="none" w:sz="0" w:space="0" w:color="auto"/>
      </w:divBdr>
    </w:div>
    <w:div w:id="816653113">
      <w:bodyDiv w:val="1"/>
      <w:marLeft w:val="0"/>
      <w:marRight w:val="0"/>
      <w:marTop w:val="0"/>
      <w:marBottom w:val="0"/>
      <w:divBdr>
        <w:top w:val="none" w:sz="0" w:space="0" w:color="auto"/>
        <w:left w:val="none" w:sz="0" w:space="0" w:color="auto"/>
        <w:bottom w:val="none" w:sz="0" w:space="0" w:color="auto"/>
        <w:right w:val="none" w:sz="0" w:space="0" w:color="auto"/>
      </w:divBdr>
    </w:div>
    <w:div w:id="830950356">
      <w:bodyDiv w:val="1"/>
      <w:marLeft w:val="0"/>
      <w:marRight w:val="0"/>
      <w:marTop w:val="0"/>
      <w:marBottom w:val="0"/>
      <w:divBdr>
        <w:top w:val="none" w:sz="0" w:space="0" w:color="auto"/>
        <w:left w:val="none" w:sz="0" w:space="0" w:color="auto"/>
        <w:bottom w:val="none" w:sz="0" w:space="0" w:color="auto"/>
        <w:right w:val="none" w:sz="0" w:space="0" w:color="auto"/>
      </w:divBdr>
    </w:div>
    <w:div w:id="852689548">
      <w:bodyDiv w:val="1"/>
      <w:marLeft w:val="0"/>
      <w:marRight w:val="0"/>
      <w:marTop w:val="0"/>
      <w:marBottom w:val="0"/>
      <w:divBdr>
        <w:top w:val="none" w:sz="0" w:space="0" w:color="auto"/>
        <w:left w:val="none" w:sz="0" w:space="0" w:color="auto"/>
        <w:bottom w:val="none" w:sz="0" w:space="0" w:color="auto"/>
        <w:right w:val="none" w:sz="0" w:space="0" w:color="auto"/>
      </w:divBdr>
    </w:div>
    <w:div w:id="857894202">
      <w:bodyDiv w:val="1"/>
      <w:marLeft w:val="0"/>
      <w:marRight w:val="0"/>
      <w:marTop w:val="0"/>
      <w:marBottom w:val="0"/>
      <w:divBdr>
        <w:top w:val="none" w:sz="0" w:space="0" w:color="auto"/>
        <w:left w:val="none" w:sz="0" w:space="0" w:color="auto"/>
        <w:bottom w:val="none" w:sz="0" w:space="0" w:color="auto"/>
        <w:right w:val="none" w:sz="0" w:space="0" w:color="auto"/>
      </w:divBdr>
    </w:div>
    <w:div w:id="870875113">
      <w:bodyDiv w:val="1"/>
      <w:marLeft w:val="0"/>
      <w:marRight w:val="0"/>
      <w:marTop w:val="0"/>
      <w:marBottom w:val="0"/>
      <w:divBdr>
        <w:top w:val="none" w:sz="0" w:space="0" w:color="auto"/>
        <w:left w:val="none" w:sz="0" w:space="0" w:color="auto"/>
        <w:bottom w:val="none" w:sz="0" w:space="0" w:color="auto"/>
        <w:right w:val="none" w:sz="0" w:space="0" w:color="auto"/>
      </w:divBdr>
    </w:div>
    <w:div w:id="877358905">
      <w:bodyDiv w:val="1"/>
      <w:marLeft w:val="0"/>
      <w:marRight w:val="0"/>
      <w:marTop w:val="0"/>
      <w:marBottom w:val="0"/>
      <w:divBdr>
        <w:top w:val="none" w:sz="0" w:space="0" w:color="auto"/>
        <w:left w:val="none" w:sz="0" w:space="0" w:color="auto"/>
        <w:bottom w:val="none" w:sz="0" w:space="0" w:color="auto"/>
        <w:right w:val="none" w:sz="0" w:space="0" w:color="auto"/>
      </w:divBdr>
    </w:div>
    <w:div w:id="877855091">
      <w:bodyDiv w:val="1"/>
      <w:marLeft w:val="0"/>
      <w:marRight w:val="0"/>
      <w:marTop w:val="0"/>
      <w:marBottom w:val="0"/>
      <w:divBdr>
        <w:top w:val="none" w:sz="0" w:space="0" w:color="auto"/>
        <w:left w:val="none" w:sz="0" w:space="0" w:color="auto"/>
        <w:bottom w:val="none" w:sz="0" w:space="0" w:color="auto"/>
        <w:right w:val="none" w:sz="0" w:space="0" w:color="auto"/>
      </w:divBdr>
    </w:div>
    <w:div w:id="878013021">
      <w:bodyDiv w:val="1"/>
      <w:marLeft w:val="0"/>
      <w:marRight w:val="0"/>
      <w:marTop w:val="0"/>
      <w:marBottom w:val="0"/>
      <w:divBdr>
        <w:top w:val="none" w:sz="0" w:space="0" w:color="auto"/>
        <w:left w:val="none" w:sz="0" w:space="0" w:color="auto"/>
        <w:bottom w:val="none" w:sz="0" w:space="0" w:color="auto"/>
        <w:right w:val="none" w:sz="0" w:space="0" w:color="auto"/>
      </w:divBdr>
    </w:div>
    <w:div w:id="878056117">
      <w:bodyDiv w:val="1"/>
      <w:marLeft w:val="0"/>
      <w:marRight w:val="0"/>
      <w:marTop w:val="0"/>
      <w:marBottom w:val="0"/>
      <w:divBdr>
        <w:top w:val="none" w:sz="0" w:space="0" w:color="auto"/>
        <w:left w:val="none" w:sz="0" w:space="0" w:color="auto"/>
        <w:bottom w:val="none" w:sz="0" w:space="0" w:color="auto"/>
        <w:right w:val="none" w:sz="0" w:space="0" w:color="auto"/>
      </w:divBdr>
    </w:div>
    <w:div w:id="885141834">
      <w:bodyDiv w:val="1"/>
      <w:marLeft w:val="0"/>
      <w:marRight w:val="0"/>
      <w:marTop w:val="0"/>
      <w:marBottom w:val="0"/>
      <w:divBdr>
        <w:top w:val="none" w:sz="0" w:space="0" w:color="auto"/>
        <w:left w:val="none" w:sz="0" w:space="0" w:color="auto"/>
        <w:bottom w:val="none" w:sz="0" w:space="0" w:color="auto"/>
        <w:right w:val="none" w:sz="0" w:space="0" w:color="auto"/>
      </w:divBdr>
    </w:div>
    <w:div w:id="888341654">
      <w:bodyDiv w:val="1"/>
      <w:marLeft w:val="0"/>
      <w:marRight w:val="0"/>
      <w:marTop w:val="0"/>
      <w:marBottom w:val="0"/>
      <w:divBdr>
        <w:top w:val="none" w:sz="0" w:space="0" w:color="auto"/>
        <w:left w:val="none" w:sz="0" w:space="0" w:color="auto"/>
        <w:bottom w:val="none" w:sz="0" w:space="0" w:color="auto"/>
        <w:right w:val="none" w:sz="0" w:space="0" w:color="auto"/>
      </w:divBdr>
    </w:div>
    <w:div w:id="888882222">
      <w:bodyDiv w:val="1"/>
      <w:marLeft w:val="0"/>
      <w:marRight w:val="0"/>
      <w:marTop w:val="0"/>
      <w:marBottom w:val="0"/>
      <w:divBdr>
        <w:top w:val="none" w:sz="0" w:space="0" w:color="auto"/>
        <w:left w:val="none" w:sz="0" w:space="0" w:color="auto"/>
        <w:bottom w:val="none" w:sz="0" w:space="0" w:color="auto"/>
        <w:right w:val="none" w:sz="0" w:space="0" w:color="auto"/>
      </w:divBdr>
    </w:div>
    <w:div w:id="890654015">
      <w:bodyDiv w:val="1"/>
      <w:marLeft w:val="0"/>
      <w:marRight w:val="0"/>
      <w:marTop w:val="0"/>
      <w:marBottom w:val="0"/>
      <w:divBdr>
        <w:top w:val="none" w:sz="0" w:space="0" w:color="auto"/>
        <w:left w:val="none" w:sz="0" w:space="0" w:color="auto"/>
        <w:bottom w:val="none" w:sz="0" w:space="0" w:color="auto"/>
        <w:right w:val="none" w:sz="0" w:space="0" w:color="auto"/>
      </w:divBdr>
    </w:div>
    <w:div w:id="931821605">
      <w:bodyDiv w:val="1"/>
      <w:marLeft w:val="0"/>
      <w:marRight w:val="0"/>
      <w:marTop w:val="0"/>
      <w:marBottom w:val="0"/>
      <w:divBdr>
        <w:top w:val="none" w:sz="0" w:space="0" w:color="auto"/>
        <w:left w:val="none" w:sz="0" w:space="0" w:color="auto"/>
        <w:bottom w:val="none" w:sz="0" w:space="0" w:color="auto"/>
        <w:right w:val="none" w:sz="0" w:space="0" w:color="auto"/>
      </w:divBdr>
    </w:div>
    <w:div w:id="932204127">
      <w:bodyDiv w:val="1"/>
      <w:marLeft w:val="0"/>
      <w:marRight w:val="0"/>
      <w:marTop w:val="0"/>
      <w:marBottom w:val="0"/>
      <w:divBdr>
        <w:top w:val="none" w:sz="0" w:space="0" w:color="auto"/>
        <w:left w:val="none" w:sz="0" w:space="0" w:color="auto"/>
        <w:bottom w:val="none" w:sz="0" w:space="0" w:color="auto"/>
        <w:right w:val="none" w:sz="0" w:space="0" w:color="auto"/>
      </w:divBdr>
    </w:div>
    <w:div w:id="933704305">
      <w:bodyDiv w:val="1"/>
      <w:marLeft w:val="0"/>
      <w:marRight w:val="0"/>
      <w:marTop w:val="0"/>
      <w:marBottom w:val="0"/>
      <w:divBdr>
        <w:top w:val="none" w:sz="0" w:space="0" w:color="auto"/>
        <w:left w:val="none" w:sz="0" w:space="0" w:color="auto"/>
        <w:bottom w:val="none" w:sz="0" w:space="0" w:color="auto"/>
        <w:right w:val="none" w:sz="0" w:space="0" w:color="auto"/>
      </w:divBdr>
    </w:div>
    <w:div w:id="946160361">
      <w:bodyDiv w:val="1"/>
      <w:marLeft w:val="0"/>
      <w:marRight w:val="0"/>
      <w:marTop w:val="0"/>
      <w:marBottom w:val="0"/>
      <w:divBdr>
        <w:top w:val="none" w:sz="0" w:space="0" w:color="auto"/>
        <w:left w:val="none" w:sz="0" w:space="0" w:color="auto"/>
        <w:bottom w:val="none" w:sz="0" w:space="0" w:color="auto"/>
        <w:right w:val="none" w:sz="0" w:space="0" w:color="auto"/>
      </w:divBdr>
    </w:div>
    <w:div w:id="986055906">
      <w:bodyDiv w:val="1"/>
      <w:marLeft w:val="0"/>
      <w:marRight w:val="0"/>
      <w:marTop w:val="0"/>
      <w:marBottom w:val="0"/>
      <w:divBdr>
        <w:top w:val="none" w:sz="0" w:space="0" w:color="auto"/>
        <w:left w:val="none" w:sz="0" w:space="0" w:color="auto"/>
        <w:bottom w:val="none" w:sz="0" w:space="0" w:color="auto"/>
        <w:right w:val="none" w:sz="0" w:space="0" w:color="auto"/>
      </w:divBdr>
    </w:div>
    <w:div w:id="986518902">
      <w:bodyDiv w:val="1"/>
      <w:marLeft w:val="0"/>
      <w:marRight w:val="0"/>
      <w:marTop w:val="0"/>
      <w:marBottom w:val="0"/>
      <w:divBdr>
        <w:top w:val="none" w:sz="0" w:space="0" w:color="auto"/>
        <w:left w:val="none" w:sz="0" w:space="0" w:color="auto"/>
        <w:bottom w:val="none" w:sz="0" w:space="0" w:color="auto"/>
        <w:right w:val="none" w:sz="0" w:space="0" w:color="auto"/>
      </w:divBdr>
    </w:div>
    <w:div w:id="996228268">
      <w:bodyDiv w:val="1"/>
      <w:marLeft w:val="0"/>
      <w:marRight w:val="0"/>
      <w:marTop w:val="0"/>
      <w:marBottom w:val="0"/>
      <w:divBdr>
        <w:top w:val="none" w:sz="0" w:space="0" w:color="auto"/>
        <w:left w:val="none" w:sz="0" w:space="0" w:color="auto"/>
        <w:bottom w:val="none" w:sz="0" w:space="0" w:color="auto"/>
        <w:right w:val="none" w:sz="0" w:space="0" w:color="auto"/>
      </w:divBdr>
    </w:div>
    <w:div w:id="997920390">
      <w:bodyDiv w:val="1"/>
      <w:marLeft w:val="0"/>
      <w:marRight w:val="0"/>
      <w:marTop w:val="0"/>
      <w:marBottom w:val="0"/>
      <w:divBdr>
        <w:top w:val="none" w:sz="0" w:space="0" w:color="auto"/>
        <w:left w:val="none" w:sz="0" w:space="0" w:color="auto"/>
        <w:bottom w:val="none" w:sz="0" w:space="0" w:color="auto"/>
        <w:right w:val="none" w:sz="0" w:space="0" w:color="auto"/>
      </w:divBdr>
    </w:div>
    <w:div w:id="1065105313">
      <w:bodyDiv w:val="1"/>
      <w:marLeft w:val="0"/>
      <w:marRight w:val="0"/>
      <w:marTop w:val="0"/>
      <w:marBottom w:val="0"/>
      <w:divBdr>
        <w:top w:val="none" w:sz="0" w:space="0" w:color="auto"/>
        <w:left w:val="none" w:sz="0" w:space="0" w:color="auto"/>
        <w:bottom w:val="none" w:sz="0" w:space="0" w:color="auto"/>
        <w:right w:val="none" w:sz="0" w:space="0" w:color="auto"/>
      </w:divBdr>
    </w:div>
    <w:div w:id="1080517381">
      <w:bodyDiv w:val="1"/>
      <w:marLeft w:val="0"/>
      <w:marRight w:val="0"/>
      <w:marTop w:val="0"/>
      <w:marBottom w:val="0"/>
      <w:divBdr>
        <w:top w:val="none" w:sz="0" w:space="0" w:color="auto"/>
        <w:left w:val="none" w:sz="0" w:space="0" w:color="auto"/>
        <w:bottom w:val="none" w:sz="0" w:space="0" w:color="auto"/>
        <w:right w:val="none" w:sz="0" w:space="0" w:color="auto"/>
      </w:divBdr>
    </w:div>
    <w:div w:id="1094207831">
      <w:bodyDiv w:val="1"/>
      <w:marLeft w:val="0"/>
      <w:marRight w:val="0"/>
      <w:marTop w:val="0"/>
      <w:marBottom w:val="0"/>
      <w:divBdr>
        <w:top w:val="none" w:sz="0" w:space="0" w:color="auto"/>
        <w:left w:val="none" w:sz="0" w:space="0" w:color="auto"/>
        <w:bottom w:val="none" w:sz="0" w:space="0" w:color="auto"/>
        <w:right w:val="none" w:sz="0" w:space="0" w:color="auto"/>
      </w:divBdr>
    </w:div>
    <w:div w:id="1102609029">
      <w:bodyDiv w:val="1"/>
      <w:marLeft w:val="0"/>
      <w:marRight w:val="0"/>
      <w:marTop w:val="0"/>
      <w:marBottom w:val="0"/>
      <w:divBdr>
        <w:top w:val="none" w:sz="0" w:space="0" w:color="auto"/>
        <w:left w:val="none" w:sz="0" w:space="0" w:color="auto"/>
        <w:bottom w:val="none" w:sz="0" w:space="0" w:color="auto"/>
        <w:right w:val="none" w:sz="0" w:space="0" w:color="auto"/>
      </w:divBdr>
    </w:div>
    <w:div w:id="1113280734">
      <w:bodyDiv w:val="1"/>
      <w:marLeft w:val="0"/>
      <w:marRight w:val="0"/>
      <w:marTop w:val="0"/>
      <w:marBottom w:val="0"/>
      <w:divBdr>
        <w:top w:val="none" w:sz="0" w:space="0" w:color="auto"/>
        <w:left w:val="none" w:sz="0" w:space="0" w:color="auto"/>
        <w:bottom w:val="none" w:sz="0" w:space="0" w:color="auto"/>
        <w:right w:val="none" w:sz="0" w:space="0" w:color="auto"/>
      </w:divBdr>
    </w:div>
    <w:div w:id="1122571576">
      <w:bodyDiv w:val="1"/>
      <w:marLeft w:val="0"/>
      <w:marRight w:val="0"/>
      <w:marTop w:val="0"/>
      <w:marBottom w:val="0"/>
      <w:divBdr>
        <w:top w:val="none" w:sz="0" w:space="0" w:color="auto"/>
        <w:left w:val="none" w:sz="0" w:space="0" w:color="auto"/>
        <w:bottom w:val="none" w:sz="0" w:space="0" w:color="auto"/>
        <w:right w:val="none" w:sz="0" w:space="0" w:color="auto"/>
      </w:divBdr>
    </w:div>
    <w:div w:id="1128278628">
      <w:bodyDiv w:val="1"/>
      <w:marLeft w:val="0"/>
      <w:marRight w:val="0"/>
      <w:marTop w:val="0"/>
      <w:marBottom w:val="0"/>
      <w:divBdr>
        <w:top w:val="none" w:sz="0" w:space="0" w:color="auto"/>
        <w:left w:val="none" w:sz="0" w:space="0" w:color="auto"/>
        <w:bottom w:val="none" w:sz="0" w:space="0" w:color="auto"/>
        <w:right w:val="none" w:sz="0" w:space="0" w:color="auto"/>
      </w:divBdr>
      <w:divsChild>
        <w:div w:id="2045445799">
          <w:marLeft w:val="0"/>
          <w:marRight w:val="0"/>
          <w:marTop w:val="0"/>
          <w:marBottom w:val="0"/>
          <w:divBdr>
            <w:top w:val="none" w:sz="0" w:space="0" w:color="auto"/>
            <w:left w:val="none" w:sz="0" w:space="0" w:color="auto"/>
            <w:bottom w:val="none" w:sz="0" w:space="0" w:color="auto"/>
            <w:right w:val="none" w:sz="0" w:space="0" w:color="auto"/>
          </w:divBdr>
        </w:div>
      </w:divsChild>
    </w:div>
    <w:div w:id="1139030566">
      <w:bodyDiv w:val="1"/>
      <w:marLeft w:val="0"/>
      <w:marRight w:val="0"/>
      <w:marTop w:val="0"/>
      <w:marBottom w:val="0"/>
      <w:divBdr>
        <w:top w:val="none" w:sz="0" w:space="0" w:color="auto"/>
        <w:left w:val="none" w:sz="0" w:space="0" w:color="auto"/>
        <w:bottom w:val="none" w:sz="0" w:space="0" w:color="auto"/>
        <w:right w:val="none" w:sz="0" w:space="0" w:color="auto"/>
      </w:divBdr>
    </w:div>
    <w:div w:id="1151169500">
      <w:bodyDiv w:val="1"/>
      <w:marLeft w:val="0"/>
      <w:marRight w:val="0"/>
      <w:marTop w:val="0"/>
      <w:marBottom w:val="0"/>
      <w:divBdr>
        <w:top w:val="none" w:sz="0" w:space="0" w:color="auto"/>
        <w:left w:val="none" w:sz="0" w:space="0" w:color="auto"/>
        <w:bottom w:val="none" w:sz="0" w:space="0" w:color="auto"/>
        <w:right w:val="none" w:sz="0" w:space="0" w:color="auto"/>
      </w:divBdr>
    </w:div>
    <w:div w:id="1156461044">
      <w:bodyDiv w:val="1"/>
      <w:marLeft w:val="0"/>
      <w:marRight w:val="0"/>
      <w:marTop w:val="0"/>
      <w:marBottom w:val="0"/>
      <w:divBdr>
        <w:top w:val="none" w:sz="0" w:space="0" w:color="auto"/>
        <w:left w:val="none" w:sz="0" w:space="0" w:color="auto"/>
        <w:bottom w:val="none" w:sz="0" w:space="0" w:color="auto"/>
        <w:right w:val="none" w:sz="0" w:space="0" w:color="auto"/>
      </w:divBdr>
    </w:div>
    <w:div w:id="1172258736">
      <w:bodyDiv w:val="1"/>
      <w:marLeft w:val="0"/>
      <w:marRight w:val="0"/>
      <w:marTop w:val="0"/>
      <w:marBottom w:val="0"/>
      <w:divBdr>
        <w:top w:val="none" w:sz="0" w:space="0" w:color="auto"/>
        <w:left w:val="none" w:sz="0" w:space="0" w:color="auto"/>
        <w:bottom w:val="none" w:sz="0" w:space="0" w:color="auto"/>
        <w:right w:val="none" w:sz="0" w:space="0" w:color="auto"/>
      </w:divBdr>
    </w:div>
    <w:div w:id="1174078334">
      <w:bodyDiv w:val="1"/>
      <w:marLeft w:val="0"/>
      <w:marRight w:val="0"/>
      <w:marTop w:val="0"/>
      <w:marBottom w:val="0"/>
      <w:divBdr>
        <w:top w:val="none" w:sz="0" w:space="0" w:color="auto"/>
        <w:left w:val="none" w:sz="0" w:space="0" w:color="auto"/>
        <w:bottom w:val="none" w:sz="0" w:space="0" w:color="auto"/>
        <w:right w:val="none" w:sz="0" w:space="0" w:color="auto"/>
      </w:divBdr>
      <w:divsChild>
        <w:div w:id="273902244">
          <w:marLeft w:val="0"/>
          <w:marRight w:val="0"/>
          <w:marTop w:val="0"/>
          <w:marBottom w:val="0"/>
          <w:divBdr>
            <w:top w:val="none" w:sz="0" w:space="0" w:color="auto"/>
            <w:left w:val="none" w:sz="0" w:space="0" w:color="auto"/>
            <w:bottom w:val="none" w:sz="0" w:space="0" w:color="auto"/>
            <w:right w:val="none" w:sz="0" w:space="0" w:color="auto"/>
          </w:divBdr>
          <w:divsChild>
            <w:div w:id="295721507">
              <w:marLeft w:val="0"/>
              <w:marRight w:val="0"/>
              <w:marTop w:val="45"/>
              <w:marBottom w:val="45"/>
              <w:divBdr>
                <w:top w:val="none" w:sz="0" w:space="0" w:color="auto"/>
                <w:left w:val="none" w:sz="0" w:space="0" w:color="auto"/>
                <w:bottom w:val="none" w:sz="0" w:space="0" w:color="auto"/>
                <w:right w:val="none" w:sz="0" w:space="0" w:color="auto"/>
              </w:divBdr>
              <w:divsChild>
                <w:div w:id="100490854">
                  <w:marLeft w:val="0"/>
                  <w:marRight w:val="0"/>
                  <w:marTop w:val="0"/>
                  <w:marBottom w:val="0"/>
                  <w:divBdr>
                    <w:top w:val="none" w:sz="0" w:space="0" w:color="auto"/>
                    <w:left w:val="none" w:sz="0" w:space="0" w:color="auto"/>
                    <w:bottom w:val="none" w:sz="0" w:space="0" w:color="auto"/>
                    <w:right w:val="none" w:sz="0" w:space="0" w:color="auto"/>
                  </w:divBdr>
                  <w:divsChild>
                    <w:div w:id="805708035">
                      <w:marLeft w:val="0"/>
                      <w:marRight w:val="0"/>
                      <w:marTop w:val="2280"/>
                      <w:marBottom w:val="0"/>
                      <w:divBdr>
                        <w:top w:val="none" w:sz="0" w:space="0" w:color="auto"/>
                        <w:left w:val="none" w:sz="0" w:space="0" w:color="auto"/>
                        <w:bottom w:val="none" w:sz="0" w:space="0" w:color="auto"/>
                        <w:right w:val="none" w:sz="0" w:space="0" w:color="auto"/>
                      </w:divBdr>
                      <w:divsChild>
                        <w:div w:id="1342781709">
                          <w:marLeft w:val="0"/>
                          <w:marRight w:val="0"/>
                          <w:marTop w:val="0"/>
                          <w:marBottom w:val="0"/>
                          <w:divBdr>
                            <w:top w:val="none" w:sz="0" w:space="0" w:color="auto"/>
                            <w:left w:val="none" w:sz="0" w:space="0" w:color="auto"/>
                            <w:bottom w:val="none" w:sz="0" w:space="0" w:color="auto"/>
                            <w:right w:val="none" w:sz="0" w:space="0" w:color="auto"/>
                          </w:divBdr>
                          <w:divsChild>
                            <w:div w:id="251162454">
                              <w:marLeft w:val="0"/>
                              <w:marRight w:val="0"/>
                              <w:marTop w:val="120"/>
                              <w:marBottom w:val="0"/>
                              <w:divBdr>
                                <w:top w:val="none" w:sz="0" w:space="0" w:color="auto"/>
                                <w:left w:val="none" w:sz="0" w:space="0" w:color="auto"/>
                                <w:bottom w:val="none" w:sz="0" w:space="0" w:color="auto"/>
                                <w:right w:val="none" w:sz="0" w:space="0" w:color="auto"/>
                              </w:divBdr>
                              <w:divsChild>
                                <w:div w:id="7271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241081">
      <w:bodyDiv w:val="1"/>
      <w:marLeft w:val="0"/>
      <w:marRight w:val="0"/>
      <w:marTop w:val="0"/>
      <w:marBottom w:val="0"/>
      <w:divBdr>
        <w:top w:val="none" w:sz="0" w:space="0" w:color="auto"/>
        <w:left w:val="none" w:sz="0" w:space="0" w:color="auto"/>
        <w:bottom w:val="none" w:sz="0" w:space="0" w:color="auto"/>
        <w:right w:val="none" w:sz="0" w:space="0" w:color="auto"/>
      </w:divBdr>
    </w:div>
    <w:div w:id="1181630570">
      <w:bodyDiv w:val="1"/>
      <w:marLeft w:val="0"/>
      <w:marRight w:val="0"/>
      <w:marTop w:val="0"/>
      <w:marBottom w:val="0"/>
      <w:divBdr>
        <w:top w:val="none" w:sz="0" w:space="0" w:color="auto"/>
        <w:left w:val="none" w:sz="0" w:space="0" w:color="auto"/>
        <w:bottom w:val="none" w:sz="0" w:space="0" w:color="auto"/>
        <w:right w:val="none" w:sz="0" w:space="0" w:color="auto"/>
      </w:divBdr>
    </w:div>
    <w:div w:id="1181699566">
      <w:bodyDiv w:val="1"/>
      <w:marLeft w:val="0"/>
      <w:marRight w:val="0"/>
      <w:marTop w:val="0"/>
      <w:marBottom w:val="0"/>
      <w:divBdr>
        <w:top w:val="none" w:sz="0" w:space="0" w:color="auto"/>
        <w:left w:val="none" w:sz="0" w:space="0" w:color="auto"/>
        <w:bottom w:val="none" w:sz="0" w:space="0" w:color="auto"/>
        <w:right w:val="none" w:sz="0" w:space="0" w:color="auto"/>
      </w:divBdr>
    </w:div>
    <w:div w:id="1188064147">
      <w:bodyDiv w:val="1"/>
      <w:marLeft w:val="0"/>
      <w:marRight w:val="0"/>
      <w:marTop w:val="0"/>
      <w:marBottom w:val="0"/>
      <w:divBdr>
        <w:top w:val="none" w:sz="0" w:space="0" w:color="auto"/>
        <w:left w:val="none" w:sz="0" w:space="0" w:color="auto"/>
        <w:bottom w:val="none" w:sz="0" w:space="0" w:color="auto"/>
        <w:right w:val="none" w:sz="0" w:space="0" w:color="auto"/>
      </w:divBdr>
    </w:div>
    <w:div w:id="1191996754">
      <w:bodyDiv w:val="1"/>
      <w:marLeft w:val="0"/>
      <w:marRight w:val="0"/>
      <w:marTop w:val="0"/>
      <w:marBottom w:val="0"/>
      <w:divBdr>
        <w:top w:val="none" w:sz="0" w:space="0" w:color="auto"/>
        <w:left w:val="none" w:sz="0" w:space="0" w:color="auto"/>
        <w:bottom w:val="none" w:sz="0" w:space="0" w:color="auto"/>
        <w:right w:val="none" w:sz="0" w:space="0" w:color="auto"/>
      </w:divBdr>
    </w:div>
    <w:div w:id="1226335566">
      <w:bodyDiv w:val="1"/>
      <w:marLeft w:val="0"/>
      <w:marRight w:val="0"/>
      <w:marTop w:val="0"/>
      <w:marBottom w:val="0"/>
      <w:divBdr>
        <w:top w:val="none" w:sz="0" w:space="0" w:color="auto"/>
        <w:left w:val="none" w:sz="0" w:space="0" w:color="auto"/>
        <w:bottom w:val="none" w:sz="0" w:space="0" w:color="auto"/>
        <w:right w:val="none" w:sz="0" w:space="0" w:color="auto"/>
      </w:divBdr>
    </w:div>
    <w:div w:id="1257208781">
      <w:bodyDiv w:val="1"/>
      <w:marLeft w:val="0"/>
      <w:marRight w:val="0"/>
      <w:marTop w:val="0"/>
      <w:marBottom w:val="0"/>
      <w:divBdr>
        <w:top w:val="none" w:sz="0" w:space="0" w:color="auto"/>
        <w:left w:val="none" w:sz="0" w:space="0" w:color="auto"/>
        <w:bottom w:val="none" w:sz="0" w:space="0" w:color="auto"/>
        <w:right w:val="none" w:sz="0" w:space="0" w:color="auto"/>
      </w:divBdr>
    </w:div>
    <w:div w:id="1285620919">
      <w:bodyDiv w:val="1"/>
      <w:marLeft w:val="0"/>
      <w:marRight w:val="0"/>
      <w:marTop w:val="0"/>
      <w:marBottom w:val="0"/>
      <w:divBdr>
        <w:top w:val="none" w:sz="0" w:space="0" w:color="auto"/>
        <w:left w:val="none" w:sz="0" w:space="0" w:color="auto"/>
        <w:bottom w:val="none" w:sz="0" w:space="0" w:color="auto"/>
        <w:right w:val="none" w:sz="0" w:space="0" w:color="auto"/>
      </w:divBdr>
    </w:div>
    <w:div w:id="1287741155">
      <w:bodyDiv w:val="1"/>
      <w:marLeft w:val="0"/>
      <w:marRight w:val="0"/>
      <w:marTop w:val="0"/>
      <w:marBottom w:val="0"/>
      <w:divBdr>
        <w:top w:val="none" w:sz="0" w:space="0" w:color="auto"/>
        <w:left w:val="none" w:sz="0" w:space="0" w:color="auto"/>
        <w:bottom w:val="none" w:sz="0" w:space="0" w:color="auto"/>
        <w:right w:val="none" w:sz="0" w:space="0" w:color="auto"/>
      </w:divBdr>
    </w:div>
    <w:div w:id="1289622746">
      <w:bodyDiv w:val="1"/>
      <w:marLeft w:val="0"/>
      <w:marRight w:val="0"/>
      <w:marTop w:val="0"/>
      <w:marBottom w:val="0"/>
      <w:divBdr>
        <w:top w:val="none" w:sz="0" w:space="0" w:color="auto"/>
        <w:left w:val="none" w:sz="0" w:space="0" w:color="auto"/>
        <w:bottom w:val="none" w:sz="0" w:space="0" w:color="auto"/>
        <w:right w:val="none" w:sz="0" w:space="0" w:color="auto"/>
      </w:divBdr>
    </w:div>
    <w:div w:id="1304044503">
      <w:bodyDiv w:val="1"/>
      <w:marLeft w:val="0"/>
      <w:marRight w:val="0"/>
      <w:marTop w:val="0"/>
      <w:marBottom w:val="0"/>
      <w:divBdr>
        <w:top w:val="none" w:sz="0" w:space="0" w:color="auto"/>
        <w:left w:val="none" w:sz="0" w:space="0" w:color="auto"/>
        <w:bottom w:val="none" w:sz="0" w:space="0" w:color="auto"/>
        <w:right w:val="none" w:sz="0" w:space="0" w:color="auto"/>
      </w:divBdr>
    </w:div>
    <w:div w:id="1310525175">
      <w:bodyDiv w:val="1"/>
      <w:marLeft w:val="0"/>
      <w:marRight w:val="0"/>
      <w:marTop w:val="0"/>
      <w:marBottom w:val="0"/>
      <w:divBdr>
        <w:top w:val="none" w:sz="0" w:space="0" w:color="auto"/>
        <w:left w:val="none" w:sz="0" w:space="0" w:color="auto"/>
        <w:bottom w:val="none" w:sz="0" w:space="0" w:color="auto"/>
        <w:right w:val="none" w:sz="0" w:space="0" w:color="auto"/>
      </w:divBdr>
    </w:div>
    <w:div w:id="1339694770">
      <w:marLeft w:val="0"/>
      <w:marRight w:val="0"/>
      <w:marTop w:val="0"/>
      <w:marBottom w:val="0"/>
      <w:divBdr>
        <w:top w:val="none" w:sz="0" w:space="0" w:color="auto"/>
        <w:left w:val="none" w:sz="0" w:space="0" w:color="auto"/>
        <w:bottom w:val="none" w:sz="0" w:space="0" w:color="auto"/>
        <w:right w:val="none" w:sz="0" w:space="0" w:color="auto"/>
      </w:divBdr>
      <w:divsChild>
        <w:div w:id="894395841">
          <w:marLeft w:val="0"/>
          <w:marRight w:val="0"/>
          <w:marTop w:val="0"/>
          <w:marBottom w:val="0"/>
          <w:divBdr>
            <w:top w:val="none" w:sz="0" w:space="0" w:color="auto"/>
            <w:left w:val="none" w:sz="0" w:space="0" w:color="auto"/>
            <w:bottom w:val="none" w:sz="0" w:space="0" w:color="auto"/>
            <w:right w:val="none" w:sz="0" w:space="0" w:color="auto"/>
          </w:divBdr>
          <w:divsChild>
            <w:div w:id="1091044337">
              <w:marLeft w:val="0"/>
              <w:marRight w:val="0"/>
              <w:marTop w:val="0"/>
              <w:marBottom w:val="0"/>
              <w:divBdr>
                <w:top w:val="none" w:sz="0" w:space="0" w:color="auto"/>
                <w:left w:val="none" w:sz="0" w:space="0" w:color="auto"/>
                <w:bottom w:val="none" w:sz="0" w:space="0" w:color="auto"/>
                <w:right w:val="none" w:sz="0" w:space="0" w:color="auto"/>
              </w:divBdr>
              <w:divsChild>
                <w:div w:id="41964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427438">
      <w:bodyDiv w:val="1"/>
      <w:marLeft w:val="225"/>
      <w:marRight w:val="225"/>
      <w:marTop w:val="0"/>
      <w:marBottom w:val="0"/>
      <w:divBdr>
        <w:top w:val="none" w:sz="0" w:space="0" w:color="auto"/>
        <w:left w:val="none" w:sz="0" w:space="0" w:color="auto"/>
        <w:bottom w:val="none" w:sz="0" w:space="0" w:color="auto"/>
        <w:right w:val="none" w:sz="0" w:space="0" w:color="auto"/>
      </w:divBdr>
      <w:divsChild>
        <w:div w:id="982930737">
          <w:marLeft w:val="0"/>
          <w:marRight w:val="0"/>
          <w:marTop w:val="0"/>
          <w:marBottom w:val="0"/>
          <w:divBdr>
            <w:top w:val="none" w:sz="0" w:space="0" w:color="auto"/>
            <w:left w:val="none" w:sz="0" w:space="0" w:color="auto"/>
            <w:bottom w:val="none" w:sz="0" w:space="0" w:color="auto"/>
            <w:right w:val="none" w:sz="0" w:space="0" w:color="auto"/>
          </w:divBdr>
        </w:div>
      </w:divsChild>
    </w:div>
    <w:div w:id="1344476422">
      <w:bodyDiv w:val="1"/>
      <w:marLeft w:val="0"/>
      <w:marRight w:val="0"/>
      <w:marTop w:val="0"/>
      <w:marBottom w:val="0"/>
      <w:divBdr>
        <w:top w:val="none" w:sz="0" w:space="0" w:color="auto"/>
        <w:left w:val="none" w:sz="0" w:space="0" w:color="auto"/>
        <w:bottom w:val="none" w:sz="0" w:space="0" w:color="auto"/>
        <w:right w:val="none" w:sz="0" w:space="0" w:color="auto"/>
      </w:divBdr>
    </w:div>
    <w:div w:id="1396976537">
      <w:bodyDiv w:val="1"/>
      <w:marLeft w:val="0"/>
      <w:marRight w:val="0"/>
      <w:marTop w:val="0"/>
      <w:marBottom w:val="0"/>
      <w:divBdr>
        <w:top w:val="none" w:sz="0" w:space="0" w:color="auto"/>
        <w:left w:val="none" w:sz="0" w:space="0" w:color="auto"/>
        <w:bottom w:val="none" w:sz="0" w:space="0" w:color="auto"/>
        <w:right w:val="none" w:sz="0" w:space="0" w:color="auto"/>
      </w:divBdr>
    </w:div>
    <w:div w:id="1397170548">
      <w:bodyDiv w:val="1"/>
      <w:marLeft w:val="0"/>
      <w:marRight w:val="0"/>
      <w:marTop w:val="0"/>
      <w:marBottom w:val="0"/>
      <w:divBdr>
        <w:top w:val="none" w:sz="0" w:space="0" w:color="auto"/>
        <w:left w:val="none" w:sz="0" w:space="0" w:color="auto"/>
        <w:bottom w:val="none" w:sz="0" w:space="0" w:color="auto"/>
        <w:right w:val="none" w:sz="0" w:space="0" w:color="auto"/>
      </w:divBdr>
    </w:div>
    <w:div w:id="1428694805">
      <w:bodyDiv w:val="1"/>
      <w:marLeft w:val="0"/>
      <w:marRight w:val="0"/>
      <w:marTop w:val="0"/>
      <w:marBottom w:val="0"/>
      <w:divBdr>
        <w:top w:val="none" w:sz="0" w:space="0" w:color="auto"/>
        <w:left w:val="none" w:sz="0" w:space="0" w:color="auto"/>
        <w:bottom w:val="none" w:sz="0" w:space="0" w:color="auto"/>
        <w:right w:val="none" w:sz="0" w:space="0" w:color="auto"/>
      </w:divBdr>
    </w:div>
    <w:div w:id="1432893596">
      <w:bodyDiv w:val="1"/>
      <w:marLeft w:val="0"/>
      <w:marRight w:val="0"/>
      <w:marTop w:val="0"/>
      <w:marBottom w:val="0"/>
      <w:divBdr>
        <w:top w:val="none" w:sz="0" w:space="0" w:color="auto"/>
        <w:left w:val="none" w:sz="0" w:space="0" w:color="auto"/>
        <w:bottom w:val="none" w:sz="0" w:space="0" w:color="auto"/>
        <w:right w:val="none" w:sz="0" w:space="0" w:color="auto"/>
      </w:divBdr>
    </w:div>
    <w:div w:id="1450127606">
      <w:bodyDiv w:val="1"/>
      <w:marLeft w:val="0"/>
      <w:marRight w:val="0"/>
      <w:marTop w:val="0"/>
      <w:marBottom w:val="0"/>
      <w:divBdr>
        <w:top w:val="none" w:sz="0" w:space="0" w:color="auto"/>
        <w:left w:val="none" w:sz="0" w:space="0" w:color="auto"/>
        <w:bottom w:val="none" w:sz="0" w:space="0" w:color="auto"/>
        <w:right w:val="none" w:sz="0" w:space="0" w:color="auto"/>
      </w:divBdr>
    </w:div>
    <w:div w:id="1469514925">
      <w:bodyDiv w:val="1"/>
      <w:marLeft w:val="0"/>
      <w:marRight w:val="0"/>
      <w:marTop w:val="0"/>
      <w:marBottom w:val="0"/>
      <w:divBdr>
        <w:top w:val="none" w:sz="0" w:space="0" w:color="auto"/>
        <w:left w:val="none" w:sz="0" w:space="0" w:color="auto"/>
        <w:bottom w:val="none" w:sz="0" w:space="0" w:color="auto"/>
        <w:right w:val="none" w:sz="0" w:space="0" w:color="auto"/>
      </w:divBdr>
    </w:div>
    <w:div w:id="1479565790">
      <w:bodyDiv w:val="1"/>
      <w:marLeft w:val="0"/>
      <w:marRight w:val="0"/>
      <w:marTop w:val="0"/>
      <w:marBottom w:val="0"/>
      <w:divBdr>
        <w:top w:val="none" w:sz="0" w:space="0" w:color="auto"/>
        <w:left w:val="none" w:sz="0" w:space="0" w:color="auto"/>
        <w:bottom w:val="none" w:sz="0" w:space="0" w:color="auto"/>
        <w:right w:val="none" w:sz="0" w:space="0" w:color="auto"/>
      </w:divBdr>
    </w:div>
    <w:div w:id="1501509274">
      <w:bodyDiv w:val="1"/>
      <w:marLeft w:val="0"/>
      <w:marRight w:val="0"/>
      <w:marTop w:val="0"/>
      <w:marBottom w:val="0"/>
      <w:divBdr>
        <w:top w:val="none" w:sz="0" w:space="0" w:color="auto"/>
        <w:left w:val="none" w:sz="0" w:space="0" w:color="auto"/>
        <w:bottom w:val="none" w:sz="0" w:space="0" w:color="auto"/>
        <w:right w:val="none" w:sz="0" w:space="0" w:color="auto"/>
      </w:divBdr>
      <w:divsChild>
        <w:div w:id="1926063680">
          <w:marLeft w:val="0"/>
          <w:marRight w:val="0"/>
          <w:marTop w:val="0"/>
          <w:marBottom w:val="0"/>
          <w:divBdr>
            <w:top w:val="none" w:sz="0" w:space="0" w:color="auto"/>
            <w:left w:val="none" w:sz="0" w:space="0" w:color="auto"/>
            <w:bottom w:val="none" w:sz="0" w:space="0" w:color="auto"/>
            <w:right w:val="none" w:sz="0" w:space="0" w:color="auto"/>
          </w:divBdr>
          <w:divsChild>
            <w:div w:id="1936667371">
              <w:marLeft w:val="0"/>
              <w:marRight w:val="0"/>
              <w:marTop w:val="0"/>
              <w:marBottom w:val="0"/>
              <w:divBdr>
                <w:top w:val="none" w:sz="0" w:space="0" w:color="auto"/>
                <w:left w:val="none" w:sz="0" w:space="0" w:color="auto"/>
                <w:bottom w:val="none" w:sz="0" w:space="0" w:color="auto"/>
                <w:right w:val="none" w:sz="0" w:space="0" w:color="auto"/>
              </w:divBdr>
              <w:divsChild>
                <w:div w:id="367488693">
                  <w:marLeft w:val="0"/>
                  <w:marRight w:val="0"/>
                  <w:marTop w:val="0"/>
                  <w:marBottom w:val="0"/>
                  <w:divBdr>
                    <w:top w:val="none" w:sz="0" w:space="0" w:color="auto"/>
                    <w:left w:val="none" w:sz="0" w:space="0" w:color="auto"/>
                    <w:bottom w:val="none" w:sz="0" w:space="0" w:color="auto"/>
                    <w:right w:val="none" w:sz="0" w:space="0" w:color="auto"/>
                  </w:divBdr>
                </w:div>
                <w:div w:id="113548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13014">
      <w:bodyDiv w:val="1"/>
      <w:marLeft w:val="0"/>
      <w:marRight w:val="0"/>
      <w:marTop w:val="0"/>
      <w:marBottom w:val="0"/>
      <w:divBdr>
        <w:top w:val="none" w:sz="0" w:space="0" w:color="auto"/>
        <w:left w:val="none" w:sz="0" w:space="0" w:color="auto"/>
        <w:bottom w:val="none" w:sz="0" w:space="0" w:color="auto"/>
        <w:right w:val="none" w:sz="0" w:space="0" w:color="auto"/>
      </w:divBdr>
    </w:div>
    <w:div w:id="1523980888">
      <w:bodyDiv w:val="1"/>
      <w:marLeft w:val="0"/>
      <w:marRight w:val="0"/>
      <w:marTop w:val="0"/>
      <w:marBottom w:val="0"/>
      <w:divBdr>
        <w:top w:val="none" w:sz="0" w:space="0" w:color="auto"/>
        <w:left w:val="none" w:sz="0" w:space="0" w:color="auto"/>
        <w:bottom w:val="none" w:sz="0" w:space="0" w:color="auto"/>
        <w:right w:val="none" w:sz="0" w:space="0" w:color="auto"/>
      </w:divBdr>
    </w:div>
    <w:div w:id="1524635425">
      <w:bodyDiv w:val="1"/>
      <w:marLeft w:val="0"/>
      <w:marRight w:val="0"/>
      <w:marTop w:val="0"/>
      <w:marBottom w:val="0"/>
      <w:divBdr>
        <w:top w:val="none" w:sz="0" w:space="0" w:color="auto"/>
        <w:left w:val="none" w:sz="0" w:space="0" w:color="auto"/>
        <w:bottom w:val="none" w:sz="0" w:space="0" w:color="auto"/>
        <w:right w:val="none" w:sz="0" w:space="0" w:color="auto"/>
      </w:divBdr>
    </w:div>
    <w:div w:id="1541015621">
      <w:bodyDiv w:val="1"/>
      <w:marLeft w:val="0"/>
      <w:marRight w:val="0"/>
      <w:marTop w:val="0"/>
      <w:marBottom w:val="0"/>
      <w:divBdr>
        <w:top w:val="none" w:sz="0" w:space="0" w:color="auto"/>
        <w:left w:val="none" w:sz="0" w:space="0" w:color="auto"/>
        <w:bottom w:val="none" w:sz="0" w:space="0" w:color="auto"/>
        <w:right w:val="none" w:sz="0" w:space="0" w:color="auto"/>
      </w:divBdr>
    </w:div>
    <w:div w:id="1547377092">
      <w:bodyDiv w:val="1"/>
      <w:marLeft w:val="0"/>
      <w:marRight w:val="0"/>
      <w:marTop w:val="0"/>
      <w:marBottom w:val="0"/>
      <w:divBdr>
        <w:top w:val="none" w:sz="0" w:space="0" w:color="auto"/>
        <w:left w:val="none" w:sz="0" w:space="0" w:color="auto"/>
        <w:bottom w:val="none" w:sz="0" w:space="0" w:color="auto"/>
        <w:right w:val="none" w:sz="0" w:space="0" w:color="auto"/>
      </w:divBdr>
      <w:divsChild>
        <w:div w:id="1819374095">
          <w:marLeft w:val="0"/>
          <w:marRight w:val="0"/>
          <w:marTop w:val="0"/>
          <w:marBottom w:val="0"/>
          <w:divBdr>
            <w:top w:val="none" w:sz="0" w:space="0" w:color="auto"/>
            <w:left w:val="none" w:sz="0" w:space="0" w:color="auto"/>
            <w:bottom w:val="none" w:sz="0" w:space="0" w:color="auto"/>
            <w:right w:val="none" w:sz="0" w:space="0" w:color="auto"/>
          </w:divBdr>
          <w:divsChild>
            <w:div w:id="47649763">
              <w:marLeft w:val="0"/>
              <w:marRight w:val="0"/>
              <w:marTop w:val="0"/>
              <w:marBottom w:val="0"/>
              <w:divBdr>
                <w:top w:val="none" w:sz="0" w:space="0" w:color="auto"/>
                <w:left w:val="none" w:sz="0" w:space="0" w:color="auto"/>
                <w:bottom w:val="none" w:sz="0" w:space="0" w:color="auto"/>
                <w:right w:val="none" w:sz="0" w:space="0" w:color="auto"/>
              </w:divBdr>
              <w:divsChild>
                <w:div w:id="1220630664">
                  <w:marLeft w:val="0"/>
                  <w:marRight w:val="0"/>
                  <w:marTop w:val="0"/>
                  <w:marBottom w:val="0"/>
                  <w:divBdr>
                    <w:top w:val="none" w:sz="0" w:space="0" w:color="auto"/>
                    <w:left w:val="none" w:sz="0" w:space="0" w:color="auto"/>
                    <w:bottom w:val="none" w:sz="0" w:space="0" w:color="auto"/>
                    <w:right w:val="none" w:sz="0" w:space="0" w:color="auto"/>
                  </w:divBdr>
                  <w:divsChild>
                    <w:div w:id="1089499052">
                      <w:marLeft w:val="0"/>
                      <w:marRight w:val="0"/>
                      <w:marTop w:val="0"/>
                      <w:marBottom w:val="0"/>
                      <w:divBdr>
                        <w:top w:val="none" w:sz="0" w:space="0" w:color="auto"/>
                        <w:left w:val="none" w:sz="0" w:space="0" w:color="auto"/>
                        <w:bottom w:val="none" w:sz="0" w:space="0" w:color="auto"/>
                        <w:right w:val="none" w:sz="0" w:space="0" w:color="auto"/>
                      </w:divBdr>
                      <w:divsChild>
                        <w:div w:id="1333291260">
                          <w:marLeft w:val="0"/>
                          <w:marRight w:val="0"/>
                          <w:marTop w:val="0"/>
                          <w:marBottom w:val="0"/>
                          <w:divBdr>
                            <w:top w:val="none" w:sz="0" w:space="0" w:color="auto"/>
                            <w:left w:val="none" w:sz="0" w:space="0" w:color="auto"/>
                            <w:bottom w:val="none" w:sz="0" w:space="0" w:color="auto"/>
                            <w:right w:val="none" w:sz="0" w:space="0" w:color="auto"/>
                          </w:divBdr>
                          <w:divsChild>
                            <w:div w:id="690842290">
                              <w:marLeft w:val="240"/>
                              <w:marRight w:val="0"/>
                              <w:marTop w:val="0"/>
                              <w:marBottom w:val="0"/>
                              <w:divBdr>
                                <w:top w:val="none" w:sz="0" w:space="0" w:color="auto"/>
                                <w:left w:val="none" w:sz="0" w:space="0" w:color="auto"/>
                                <w:bottom w:val="none" w:sz="0" w:space="0" w:color="auto"/>
                                <w:right w:val="none" w:sz="0" w:space="0" w:color="auto"/>
                              </w:divBdr>
                              <w:divsChild>
                                <w:div w:id="1743671313">
                                  <w:marLeft w:val="0"/>
                                  <w:marRight w:val="0"/>
                                  <w:marTop w:val="0"/>
                                  <w:marBottom w:val="0"/>
                                  <w:divBdr>
                                    <w:top w:val="none" w:sz="0" w:space="0" w:color="auto"/>
                                    <w:left w:val="none" w:sz="0" w:space="0" w:color="auto"/>
                                    <w:bottom w:val="none" w:sz="0" w:space="0" w:color="auto"/>
                                    <w:right w:val="none" w:sz="0" w:space="0" w:color="auto"/>
                                  </w:divBdr>
                                  <w:divsChild>
                                    <w:div w:id="81688430">
                                      <w:marLeft w:val="0"/>
                                      <w:marRight w:val="0"/>
                                      <w:marTop w:val="0"/>
                                      <w:marBottom w:val="0"/>
                                      <w:divBdr>
                                        <w:top w:val="none" w:sz="0" w:space="0" w:color="auto"/>
                                        <w:left w:val="none" w:sz="0" w:space="0" w:color="auto"/>
                                        <w:bottom w:val="none" w:sz="0" w:space="0" w:color="auto"/>
                                        <w:right w:val="none" w:sz="0" w:space="0" w:color="auto"/>
                                      </w:divBdr>
                                      <w:divsChild>
                                        <w:div w:id="984352101">
                                          <w:marLeft w:val="0"/>
                                          <w:marRight w:val="0"/>
                                          <w:marTop w:val="0"/>
                                          <w:marBottom w:val="0"/>
                                          <w:divBdr>
                                            <w:top w:val="none" w:sz="0" w:space="0" w:color="auto"/>
                                            <w:left w:val="none" w:sz="0" w:space="0" w:color="auto"/>
                                            <w:bottom w:val="none" w:sz="0" w:space="0" w:color="auto"/>
                                            <w:right w:val="none" w:sz="0" w:space="0" w:color="auto"/>
                                          </w:divBdr>
                                          <w:divsChild>
                                            <w:div w:id="1541282045">
                                              <w:marLeft w:val="0"/>
                                              <w:marRight w:val="0"/>
                                              <w:marTop w:val="0"/>
                                              <w:marBottom w:val="0"/>
                                              <w:divBdr>
                                                <w:top w:val="none" w:sz="0" w:space="0" w:color="auto"/>
                                                <w:left w:val="none" w:sz="0" w:space="0" w:color="auto"/>
                                                <w:bottom w:val="none" w:sz="0" w:space="0" w:color="auto"/>
                                                <w:right w:val="none" w:sz="0" w:space="0" w:color="auto"/>
                                              </w:divBdr>
                                              <w:divsChild>
                                                <w:div w:id="854267985">
                                                  <w:marLeft w:val="0"/>
                                                  <w:marRight w:val="0"/>
                                                  <w:marTop w:val="0"/>
                                                  <w:marBottom w:val="0"/>
                                                  <w:divBdr>
                                                    <w:top w:val="none" w:sz="0" w:space="0" w:color="auto"/>
                                                    <w:left w:val="none" w:sz="0" w:space="0" w:color="auto"/>
                                                    <w:bottom w:val="none" w:sz="0" w:space="0" w:color="auto"/>
                                                    <w:right w:val="none" w:sz="0" w:space="0" w:color="auto"/>
                                                  </w:divBdr>
                                                  <w:divsChild>
                                                    <w:div w:id="193771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8568518">
      <w:bodyDiv w:val="1"/>
      <w:marLeft w:val="0"/>
      <w:marRight w:val="0"/>
      <w:marTop w:val="0"/>
      <w:marBottom w:val="0"/>
      <w:divBdr>
        <w:top w:val="none" w:sz="0" w:space="0" w:color="auto"/>
        <w:left w:val="none" w:sz="0" w:space="0" w:color="auto"/>
        <w:bottom w:val="none" w:sz="0" w:space="0" w:color="auto"/>
        <w:right w:val="none" w:sz="0" w:space="0" w:color="auto"/>
      </w:divBdr>
    </w:div>
    <w:div w:id="1555972617">
      <w:bodyDiv w:val="1"/>
      <w:marLeft w:val="0"/>
      <w:marRight w:val="0"/>
      <w:marTop w:val="0"/>
      <w:marBottom w:val="0"/>
      <w:divBdr>
        <w:top w:val="none" w:sz="0" w:space="0" w:color="auto"/>
        <w:left w:val="none" w:sz="0" w:space="0" w:color="auto"/>
        <w:bottom w:val="none" w:sz="0" w:space="0" w:color="auto"/>
        <w:right w:val="none" w:sz="0" w:space="0" w:color="auto"/>
      </w:divBdr>
    </w:div>
    <w:div w:id="1560359499">
      <w:bodyDiv w:val="1"/>
      <w:marLeft w:val="0"/>
      <w:marRight w:val="0"/>
      <w:marTop w:val="0"/>
      <w:marBottom w:val="0"/>
      <w:divBdr>
        <w:top w:val="none" w:sz="0" w:space="0" w:color="auto"/>
        <w:left w:val="none" w:sz="0" w:space="0" w:color="auto"/>
        <w:bottom w:val="none" w:sz="0" w:space="0" w:color="auto"/>
        <w:right w:val="none" w:sz="0" w:space="0" w:color="auto"/>
      </w:divBdr>
    </w:div>
    <w:div w:id="1565481132">
      <w:bodyDiv w:val="1"/>
      <w:marLeft w:val="0"/>
      <w:marRight w:val="0"/>
      <w:marTop w:val="0"/>
      <w:marBottom w:val="0"/>
      <w:divBdr>
        <w:top w:val="none" w:sz="0" w:space="0" w:color="auto"/>
        <w:left w:val="none" w:sz="0" w:space="0" w:color="auto"/>
        <w:bottom w:val="none" w:sz="0" w:space="0" w:color="auto"/>
        <w:right w:val="none" w:sz="0" w:space="0" w:color="auto"/>
      </w:divBdr>
    </w:div>
    <w:div w:id="1582761200">
      <w:bodyDiv w:val="1"/>
      <w:marLeft w:val="0"/>
      <w:marRight w:val="0"/>
      <w:marTop w:val="0"/>
      <w:marBottom w:val="0"/>
      <w:divBdr>
        <w:top w:val="none" w:sz="0" w:space="0" w:color="auto"/>
        <w:left w:val="none" w:sz="0" w:space="0" w:color="auto"/>
        <w:bottom w:val="none" w:sz="0" w:space="0" w:color="auto"/>
        <w:right w:val="none" w:sz="0" w:space="0" w:color="auto"/>
      </w:divBdr>
    </w:div>
    <w:div w:id="1600067984">
      <w:bodyDiv w:val="1"/>
      <w:marLeft w:val="0"/>
      <w:marRight w:val="0"/>
      <w:marTop w:val="0"/>
      <w:marBottom w:val="0"/>
      <w:divBdr>
        <w:top w:val="none" w:sz="0" w:space="0" w:color="auto"/>
        <w:left w:val="none" w:sz="0" w:space="0" w:color="auto"/>
        <w:bottom w:val="none" w:sz="0" w:space="0" w:color="auto"/>
        <w:right w:val="none" w:sz="0" w:space="0" w:color="auto"/>
      </w:divBdr>
    </w:div>
    <w:div w:id="1616328200">
      <w:bodyDiv w:val="1"/>
      <w:marLeft w:val="0"/>
      <w:marRight w:val="0"/>
      <w:marTop w:val="0"/>
      <w:marBottom w:val="0"/>
      <w:divBdr>
        <w:top w:val="none" w:sz="0" w:space="0" w:color="auto"/>
        <w:left w:val="none" w:sz="0" w:space="0" w:color="auto"/>
        <w:bottom w:val="none" w:sz="0" w:space="0" w:color="auto"/>
        <w:right w:val="none" w:sz="0" w:space="0" w:color="auto"/>
      </w:divBdr>
    </w:div>
    <w:div w:id="1632397076">
      <w:bodyDiv w:val="1"/>
      <w:marLeft w:val="0"/>
      <w:marRight w:val="0"/>
      <w:marTop w:val="0"/>
      <w:marBottom w:val="0"/>
      <w:divBdr>
        <w:top w:val="none" w:sz="0" w:space="0" w:color="auto"/>
        <w:left w:val="none" w:sz="0" w:space="0" w:color="auto"/>
        <w:bottom w:val="none" w:sz="0" w:space="0" w:color="auto"/>
        <w:right w:val="none" w:sz="0" w:space="0" w:color="auto"/>
      </w:divBdr>
    </w:div>
    <w:div w:id="1633638091">
      <w:bodyDiv w:val="1"/>
      <w:marLeft w:val="0"/>
      <w:marRight w:val="0"/>
      <w:marTop w:val="0"/>
      <w:marBottom w:val="0"/>
      <w:divBdr>
        <w:top w:val="none" w:sz="0" w:space="0" w:color="auto"/>
        <w:left w:val="none" w:sz="0" w:space="0" w:color="auto"/>
        <w:bottom w:val="none" w:sz="0" w:space="0" w:color="auto"/>
        <w:right w:val="none" w:sz="0" w:space="0" w:color="auto"/>
      </w:divBdr>
    </w:div>
    <w:div w:id="1636565260">
      <w:bodyDiv w:val="1"/>
      <w:marLeft w:val="0"/>
      <w:marRight w:val="0"/>
      <w:marTop w:val="0"/>
      <w:marBottom w:val="0"/>
      <w:divBdr>
        <w:top w:val="none" w:sz="0" w:space="0" w:color="auto"/>
        <w:left w:val="none" w:sz="0" w:space="0" w:color="auto"/>
        <w:bottom w:val="none" w:sz="0" w:space="0" w:color="auto"/>
        <w:right w:val="none" w:sz="0" w:space="0" w:color="auto"/>
      </w:divBdr>
    </w:div>
    <w:div w:id="1636831728">
      <w:bodyDiv w:val="1"/>
      <w:marLeft w:val="0"/>
      <w:marRight w:val="0"/>
      <w:marTop w:val="0"/>
      <w:marBottom w:val="0"/>
      <w:divBdr>
        <w:top w:val="none" w:sz="0" w:space="0" w:color="auto"/>
        <w:left w:val="none" w:sz="0" w:space="0" w:color="auto"/>
        <w:bottom w:val="none" w:sz="0" w:space="0" w:color="auto"/>
        <w:right w:val="none" w:sz="0" w:space="0" w:color="auto"/>
      </w:divBdr>
    </w:div>
    <w:div w:id="1640498211">
      <w:bodyDiv w:val="1"/>
      <w:marLeft w:val="0"/>
      <w:marRight w:val="0"/>
      <w:marTop w:val="0"/>
      <w:marBottom w:val="0"/>
      <w:divBdr>
        <w:top w:val="none" w:sz="0" w:space="0" w:color="auto"/>
        <w:left w:val="none" w:sz="0" w:space="0" w:color="auto"/>
        <w:bottom w:val="none" w:sz="0" w:space="0" w:color="auto"/>
        <w:right w:val="none" w:sz="0" w:space="0" w:color="auto"/>
      </w:divBdr>
    </w:div>
    <w:div w:id="1641378419">
      <w:bodyDiv w:val="1"/>
      <w:marLeft w:val="0"/>
      <w:marRight w:val="0"/>
      <w:marTop w:val="0"/>
      <w:marBottom w:val="0"/>
      <w:divBdr>
        <w:top w:val="none" w:sz="0" w:space="0" w:color="auto"/>
        <w:left w:val="none" w:sz="0" w:space="0" w:color="auto"/>
        <w:bottom w:val="none" w:sz="0" w:space="0" w:color="auto"/>
        <w:right w:val="none" w:sz="0" w:space="0" w:color="auto"/>
      </w:divBdr>
    </w:div>
    <w:div w:id="1645424440">
      <w:bodyDiv w:val="1"/>
      <w:marLeft w:val="0"/>
      <w:marRight w:val="0"/>
      <w:marTop w:val="0"/>
      <w:marBottom w:val="0"/>
      <w:divBdr>
        <w:top w:val="none" w:sz="0" w:space="0" w:color="auto"/>
        <w:left w:val="none" w:sz="0" w:space="0" w:color="auto"/>
        <w:bottom w:val="none" w:sz="0" w:space="0" w:color="auto"/>
        <w:right w:val="none" w:sz="0" w:space="0" w:color="auto"/>
      </w:divBdr>
    </w:div>
    <w:div w:id="1663001258">
      <w:bodyDiv w:val="1"/>
      <w:marLeft w:val="0"/>
      <w:marRight w:val="0"/>
      <w:marTop w:val="0"/>
      <w:marBottom w:val="0"/>
      <w:divBdr>
        <w:top w:val="none" w:sz="0" w:space="0" w:color="auto"/>
        <w:left w:val="none" w:sz="0" w:space="0" w:color="auto"/>
        <w:bottom w:val="none" w:sz="0" w:space="0" w:color="auto"/>
        <w:right w:val="none" w:sz="0" w:space="0" w:color="auto"/>
      </w:divBdr>
    </w:div>
    <w:div w:id="1664355016">
      <w:bodyDiv w:val="1"/>
      <w:marLeft w:val="0"/>
      <w:marRight w:val="0"/>
      <w:marTop w:val="0"/>
      <w:marBottom w:val="0"/>
      <w:divBdr>
        <w:top w:val="none" w:sz="0" w:space="0" w:color="auto"/>
        <w:left w:val="none" w:sz="0" w:space="0" w:color="auto"/>
        <w:bottom w:val="none" w:sz="0" w:space="0" w:color="auto"/>
        <w:right w:val="none" w:sz="0" w:space="0" w:color="auto"/>
      </w:divBdr>
    </w:div>
    <w:div w:id="1680277733">
      <w:bodyDiv w:val="1"/>
      <w:marLeft w:val="0"/>
      <w:marRight w:val="0"/>
      <w:marTop w:val="0"/>
      <w:marBottom w:val="0"/>
      <w:divBdr>
        <w:top w:val="none" w:sz="0" w:space="0" w:color="auto"/>
        <w:left w:val="none" w:sz="0" w:space="0" w:color="auto"/>
        <w:bottom w:val="none" w:sz="0" w:space="0" w:color="auto"/>
        <w:right w:val="none" w:sz="0" w:space="0" w:color="auto"/>
      </w:divBdr>
    </w:div>
    <w:div w:id="1689867066">
      <w:bodyDiv w:val="1"/>
      <w:marLeft w:val="0"/>
      <w:marRight w:val="0"/>
      <w:marTop w:val="0"/>
      <w:marBottom w:val="0"/>
      <w:divBdr>
        <w:top w:val="none" w:sz="0" w:space="0" w:color="auto"/>
        <w:left w:val="none" w:sz="0" w:space="0" w:color="auto"/>
        <w:bottom w:val="none" w:sz="0" w:space="0" w:color="auto"/>
        <w:right w:val="none" w:sz="0" w:space="0" w:color="auto"/>
      </w:divBdr>
    </w:div>
    <w:div w:id="1711146596">
      <w:bodyDiv w:val="1"/>
      <w:marLeft w:val="0"/>
      <w:marRight w:val="0"/>
      <w:marTop w:val="0"/>
      <w:marBottom w:val="0"/>
      <w:divBdr>
        <w:top w:val="none" w:sz="0" w:space="0" w:color="auto"/>
        <w:left w:val="none" w:sz="0" w:space="0" w:color="auto"/>
        <w:bottom w:val="none" w:sz="0" w:space="0" w:color="auto"/>
        <w:right w:val="none" w:sz="0" w:space="0" w:color="auto"/>
      </w:divBdr>
    </w:div>
    <w:div w:id="1713309639">
      <w:bodyDiv w:val="1"/>
      <w:marLeft w:val="0"/>
      <w:marRight w:val="0"/>
      <w:marTop w:val="0"/>
      <w:marBottom w:val="0"/>
      <w:divBdr>
        <w:top w:val="none" w:sz="0" w:space="0" w:color="auto"/>
        <w:left w:val="none" w:sz="0" w:space="0" w:color="auto"/>
        <w:bottom w:val="none" w:sz="0" w:space="0" w:color="auto"/>
        <w:right w:val="none" w:sz="0" w:space="0" w:color="auto"/>
      </w:divBdr>
    </w:div>
    <w:div w:id="1718235423">
      <w:bodyDiv w:val="1"/>
      <w:marLeft w:val="0"/>
      <w:marRight w:val="0"/>
      <w:marTop w:val="0"/>
      <w:marBottom w:val="0"/>
      <w:divBdr>
        <w:top w:val="none" w:sz="0" w:space="0" w:color="auto"/>
        <w:left w:val="none" w:sz="0" w:space="0" w:color="auto"/>
        <w:bottom w:val="none" w:sz="0" w:space="0" w:color="auto"/>
        <w:right w:val="none" w:sz="0" w:space="0" w:color="auto"/>
      </w:divBdr>
    </w:div>
    <w:div w:id="1724332132">
      <w:bodyDiv w:val="1"/>
      <w:marLeft w:val="0"/>
      <w:marRight w:val="0"/>
      <w:marTop w:val="0"/>
      <w:marBottom w:val="0"/>
      <w:divBdr>
        <w:top w:val="none" w:sz="0" w:space="0" w:color="auto"/>
        <w:left w:val="none" w:sz="0" w:space="0" w:color="auto"/>
        <w:bottom w:val="none" w:sz="0" w:space="0" w:color="auto"/>
        <w:right w:val="none" w:sz="0" w:space="0" w:color="auto"/>
      </w:divBdr>
    </w:div>
    <w:div w:id="1728871998">
      <w:bodyDiv w:val="1"/>
      <w:marLeft w:val="0"/>
      <w:marRight w:val="0"/>
      <w:marTop w:val="0"/>
      <w:marBottom w:val="0"/>
      <w:divBdr>
        <w:top w:val="none" w:sz="0" w:space="0" w:color="auto"/>
        <w:left w:val="none" w:sz="0" w:space="0" w:color="auto"/>
        <w:bottom w:val="none" w:sz="0" w:space="0" w:color="auto"/>
        <w:right w:val="none" w:sz="0" w:space="0" w:color="auto"/>
      </w:divBdr>
    </w:div>
    <w:div w:id="1747994084">
      <w:bodyDiv w:val="1"/>
      <w:marLeft w:val="0"/>
      <w:marRight w:val="0"/>
      <w:marTop w:val="0"/>
      <w:marBottom w:val="0"/>
      <w:divBdr>
        <w:top w:val="none" w:sz="0" w:space="0" w:color="auto"/>
        <w:left w:val="none" w:sz="0" w:space="0" w:color="auto"/>
        <w:bottom w:val="none" w:sz="0" w:space="0" w:color="auto"/>
        <w:right w:val="none" w:sz="0" w:space="0" w:color="auto"/>
      </w:divBdr>
    </w:div>
    <w:div w:id="1751148417">
      <w:bodyDiv w:val="1"/>
      <w:marLeft w:val="0"/>
      <w:marRight w:val="0"/>
      <w:marTop w:val="0"/>
      <w:marBottom w:val="0"/>
      <w:divBdr>
        <w:top w:val="none" w:sz="0" w:space="0" w:color="auto"/>
        <w:left w:val="none" w:sz="0" w:space="0" w:color="auto"/>
        <w:bottom w:val="none" w:sz="0" w:space="0" w:color="auto"/>
        <w:right w:val="none" w:sz="0" w:space="0" w:color="auto"/>
      </w:divBdr>
    </w:div>
    <w:div w:id="1755972822">
      <w:bodyDiv w:val="1"/>
      <w:marLeft w:val="0"/>
      <w:marRight w:val="0"/>
      <w:marTop w:val="0"/>
      <w:marBottom w:val="0"/>
      <w:divBdr>
        <w:top w:val="none" w:sz="0" w:space="0" w:color="auto"/>
        <w:left w:val="none" w:sz="0" w:space="0" w:color="auto"/>
        <w:bottom w:val="none" w:sz="0" w:space="0" w:color="auto"/>
        <w:right w:val="none" w:sz="0" w:space="0" w:color="auto"/>
      </w:divBdr>
    </w:div>
    <w:div w:id="1758671606">
      <w:bodyDiv w:val="1"/>
      <w:marLeft w:val="0"/>
      <w:marRight w:val="0"/>
      <w:marTop w:val="0"/>
      <w:marBottom w:val="0"/>
      <w:divBdr>
        <w:top w:val="none" w:sz="0" w:space="0" w:color="auto"/>
        <w:left w:val="none" w:sz="0" w:space="0" w:color="auto"/>
        <w:bottom w:val="none" w:sz="0" w:space="0" w:color="auto"/>
        <w:right w:val="none" w:sz="0" w:space="0" w:color="auto"/>
      </w:divBdr>
    </w:div>
    <w:div w:id="1762792732">
      <w:bodyDiv w:val="1"/>
      <w:marLeft w:val="0"/>
      <w:marRight w:val="0"/>
      <w:marTop w:val="0"/>
      <w:marBottom w:val="0"/>
      <w:divBdr>
        <w:top w:val="none" w:sz="0" w:space="0" w:color="auto"/>
        <w:left w:val="none" w:sz="0" w:space="0" w:color="auto"/>
        <w:bottom w:val="none" w:sz="0" w:space="0" w:color="auto"/>
        <w:right w:val="none" w:sz="0" w:space="0" w:color="auto"/>
      </w:divBdr>
    </w:div>
    <w:div w:id="1776554183">
      <w:bodyDiv w:val="1"/>
      <w:marLeft w:val="0"/>
      <w:marRight w:val="0"/>
      <w:marTop w:val="0"/>
      <w:marBottom w:val="0"/>
      <w:divBdr>
        <w:top w:val="none" w:sz="0" w:space="0" w:color="auto"/>
        <w:left w:val="none" w:sz="0" w:space="0" w:color="auto"/>
        <w:bottom w:val="none" w:sz="0" w:space="0" w:color="auto"/>
        <w:right w:val="none" w:sz="0" w:space="0" w:color="auto"/>
      </w:divBdr>
    </w:div>
    <w:div w:id="1776632944">
      <w:bodyDiv w:val="1"/>
      <w:marLeft w:val="0"/>
      <w:marRight w:val="0"/>
      <w:marTop w:val="0"/>
      <w:marBottom w:val="0"/>
      <w:divBdr>
        <w:top w:val="none" w:sz="0" w:space="0" w:color="auto"/>
        <w:left w:val="none" w:sz="0" w:space="0" w:color="auto"/>
        <w:bottom w:val="none" w:sz="0" w:space="0" w:color="auto"/>
        <w:right w:val="none" w:sz="0" w:space="0" w:color="auto"/>
      </w:divBdr>
    </w:div>
    <w:div w:id="1783039330">
      <w:bodyDiv w:val="1"/>
      <w:marLeft w:val="0"/>
      <w:marRight w:val="0"/>
      <w:marTop w:val="0"/>
      <w:marBottom w:val="0"/>
      <w:divBdr>
        <w:top w:val="none" w:sz="0" w:space="0" w:color="auto"/>
        <w:left w:val="none" w:sz="0" w:space="0" w:color="auto"/>
        <w:bottom w:val="none" w:sz="0" w:space="0" w:color="auto"/>
        <w:right w:val="none" w:sz="0" w:space="0" w:color="auto"/>
      </w:divBdr>
    </w:div>
    <w:div w:id="1802455129">
      <w:bodyDiv w:val="1"/>
      <w:marLeft w:val="0"/>
      <w:marRight w:val="0"/>
      <w:marTop w:val="0"/>
      <w:marBottom w:val="0"/>
      <w:divBdr>
        <w:top w:val="none" w:sz="0" w:space="0" w:color="auto"/>
        <w:left w:val="none" w:sz="0" w:space="0" w:color="auto"/>
        <w:bottom w:val="none" w:sz="0" w:space="0" w:color="auto"/>
        <w:right w:val="none" w:sz="0" w:space="0" w:color="auto"/>
      </w:divBdr>
    </w:div>
    <w:div w:id="1818255749">
      <w:bodyDiv w:val="1"/>
      <w:marLeft w:val="0"/>
      <w:marRight w:val="0"/>
      <w:marTop w:val="0"/>
      <w:marBottom w:val="0"/>
      <w:divBdr>
        <w:top w:val="none" w:sz="0" w:space="0" w:color="auto"/>
        <w:left w:val="none" w:sz="0" w:space="0" w:color="auto"/>
        <w:bottom w:val="none" w:sz="0" w:space="0" w:color="auto"/>
        <w:right w:val="none" w:sz="0" w:space="0" w:color="auto"/>
      </w:divBdr>
    </w:div>
    <w:div w:id="1831484299">
      <w:bodyDiv w:val="1"/>
      <w:marLeft w:val="0"/>
      <w:marRight w:val="0"/>
      <w:marTop w:val="0"/>
      <w:marBottom w:val="0"/>
      <w:divBdr>
        <w:top w:val="none" w:sz="0" w:space="0" w:color="auto"/>
        <w:left w:val="none" w:sz="0" w:space="0" w:color="auto"/>
        <w:bottom w:val="none" w:sz="0" w:space="0" w:color="auto"/>
        <w:right w:val="none" w:sz="0" w:space="0" w:color="auto"/>
      </w:divBdr>
      <w:divsChild>
        <w:div w:id="571431488">
          <w:marLeft w:val="0"/>
          <w:marRight w:val="0"/>
          <w:marTop w:val="0"/>
          <w:marBottom w:val="0"/>
          <w:divBdr>
            <w:top w:val="none" w:sz="0" w:space="0" w:color="auto"/>
            <w:left w:val="none" w:sz="0" w:space="0" w:color="auto"/>
            <w:bottom w:val="none" w:sz="0" w:space="0" w:color="auto"/>
            <w:right w:val="none" w:sz="0" w:space="0" w:color="auto"/>
          </w:divBdr>
          <w:divsChild>
            <w:div w:id="147594977">
              <w:marLeft w:val="0"/>
              <w:marRight w:val="0"/>
              <w:marTop w:val="0"/>
              <w:marBottom w:val="0"/>
              <w:divBdr>
                <w:top w:val="none" w:sz="0" w:space="0" w:color="auto"/>
                <w:left w:val="none" w:sz="0" w:space="0" w:color="auto"/>
                <w:bottom w:val="none" w:sz="0" w:space="0" w:color="auto"/>
                <w:right w:val="none" w:sz="0" w:space="0" w:color="auto"/>
              </w:divBdr>
              <w:divsChild>
                <w:div w:id="2040354288">
                  <w:marLeft w:val="0"/>
                  <w:marRight w:val="0"/>
                  <w:marTop w:val="0"/>
                  <w:marBottom w:val="0"/>
                  <w:divBdr>
                    <w:top w:val="none" w:sz="0" w:space="0" w:color="auto"/>
                    <w:left w:val="none" w:sz="0" w:space="0" w:color="auto"/>
                    <w:bottom w:val="none" w:sz="0" w:space="0" w:color="auto"/>
                    <w:right w:val="none" w:sz="0" w:space="0" w:color="auto"/>
                  </w:divBdr>
                  <w:divsChild>
                    <w:div w:id="267590104">
                      <w:marLeft w:val="0"/>
                      <w:marRight w:val="0"/>
                      <w:marTop w:val="0"/>
                      <w:marBottom w:val="0"/>
                      <w:divBdr>
                        <w:top w:val="none" w:sz="0" w:space="0" w:color="auto"/>
                        <w:left w:val="none" w:sz="0" w:space="0" w:color="auto"/>
                        <w:bottom w:val="none" w:sz="0" w:space="0" w:color="auto"/>
                        <w:right w:val="none" w:sz="0" w:space="0" w:color="auto"/>
                      </w:divBdr>
                      <w:divsChild>
                        <w:div w:id="207207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647675">
      <w:bodyDiv w:val="1"/>
      <w:marLeft w:val="0"/>
      <w:marRight w:val="0"/>
      <w:marTop w:val="0"/>
      <w:marBottom w:val="0"/>
      <w:divBdr>
        <w:top w:val="none" w:sz="0" w:space="0" w:color="auto"/>
        <w:left w:val="none" w:sz="0" w:space="0" w:color="auto"/>
        <w:bottom w:val="none" w:sz="0" w:space="0" w:color="auto"/>
        <w:right w:val="none" w:sz="0" w:space="0" w:color="auto"/>
      </w:divBdr>
    </w:div>
    <w:div w:id="1867408578">
      <w:bodyDiv w:val="1"/>
      <w:marLeft w:val="0"/>
      <w:marRight w:val="0"/>
      <w:marTop w:val="0"/>
      <w:marBottom w:val="0"/>
      <w:divBdr>
        <w:top w:val="none" w:sz="0" w:space="0" w:color="auto"/>
        <w:left w:val="none" w:sz="0" w:space="0" w:color="auto"/>
        <w:bottom w:val="none" w:sz="0" w:space="0" w:color="auto"/>
        <w:right w:val="none" w:sz="0" w:space="0" w:color="auto"/>
      </w:divBdr>
    </w:div>
    <w:div w:id="1873230869">
      <w:bodyDiv w:val="1"/>
      <w:marLeft w:val="0"/>
      <w:marRight w:val="0"/>
      <w:marTop w:val="0"/>
      <w:marBottom w:val="0"/>
      <w:divBdr>
        <w:top w:val="none" w:sz="0" w:space="0" w:color="auto"/>
        <w:left w:val="none" w:sz="0" w:space="0" w:color="auto"/>
        <w:bottom w:val="none" w:sz="0" w:space="0" w:color="auto"/>
        <w:right w:val="none" w:sz="0" w:space="0" w:color="auto"/>
      </w:divBdr>
    </w:div>
    <w:div w:id="1873609337">
      <w:bodyDiv w:val="1"/>
      <w:marLeft w:val="0"/>
      <w:marRight w:val="0"/>
      <w:marTop w:val="0"/>
      <w:marBottom w:val="0"/>
      <w:divBdr>
        <w:top w:val="none" w:sz="0" w:space="0" w:color="auto"/>
        <w:left w:val="none" w:sz="0" w:space="0" w:color="auto"/>
        <w:bottom w:val="none" w:sz="0" w:space="0" w:color="auto"/>
        <w:right w:val="none" w:sz="0" w:space="0" w:color="auto"/>
      </w:divBdr>
    </w:div>
    <w:div w:id="1881891099">
      <w:bodyDiv w:val="1"/>
      <w:marLeft w:val="0"/>
      <w:marRight w:val="0"/>
      <w:marTop w:val="0"/>
      <w:marBottom w:val="0"/>
      <w:divBdr>
        <w:top w:val="none" w:sz="0" w:space="0" w:color="auto"/>
        <w:left w:val="none" w:sz="0" w:space="0" w:color="auto"/>
        <w:bottom w:val="none" w:sz="0" w:space="0" w:color="auto"/>
        <w:right w:val="none" w:sz="0" w:space="0" w:color="auto"/>
      </w:divBdr>
    </w:div>
    <w:div w:id="1884058838">
      <w:bodyDiv w:val="1"/>
      <w:marLeft w:val="0"/>
      <w:marRight w:val="0"/>
      <w:marTop w:val="0"/>
      <w:marBottom w:val="0"/>
      <w:divBdr>
        <w:top w:val="none" w:sz="0" w:space="0" w:color="auto"/>
        <w:left w:val="none" w:sz="0" w:space="0" w:color="auto"/>
        <w:bottom w:val="none" w:sz="0" w:space="0" w:color="auto"/>
        <w:right w:val="none" w:sz="0" w:space="0" w:color="auto"/>
      </w:divBdr>
    </w:div>
    <w:div w:id="1897206219">
      <w:bodyDiv w:val="1"/>
      <w:marLeft w:val="0"/>
      <w:marRight w:val="0"/>
      <w:marTop w:val="0"/>
      <w:marBottom w:val="0"/>
      <w:divBdr>
        <w:top w:val="none" w:sz="0" w:space="0" w:color="auto"/>
        <w:left w:val="none" w:sz="0" w:space="0" w:color="auto"/>
        <w:bottom w:val="none" w:sz="0" w:space="0" w:color="auto"/>
        <w:right w:val="none" w:sz="0" w:space="0" w:color="auto"/>
      </w:divBdr>
    </w:div>
    <w:div w:id="1922979834">
      <w:bodyDiv w:val="1"/>
      <w:marLeft w:val="0"/>
      <w:marRight w:val="0"/>
      <w:marTop w:val="0"/>
      <w:marBottom w:val="0"/>
      <w:divBdr>
        <w:top w:val="none" w:sz="0" w:space="0" w:color="auto"/>
        <w:left w:val="none" w:sz="0" w:space="0" w:color="auto"/>
        <w:bottom w:val="none" w:sz="0" w:space="0" w:color="auto"/>
        <w:right w:val="none" w:sz="0" w:space="0" w:color="auto"/>
      </w:divBdr>
    </w:div>
    <w:div w:id="1925072021">
      <w:bodyDiv w:val="1"/>
      <w:marLeft w:val="0"/>
      <w:marRight w:val="0"/>
      <w:marTop w:val="0"/>
      <w:marBottom w:val="0"/>
      <w:divBdr>
        <w:top w:val="none" w:sz="0" w:space="0" w:color="auto"/>
        <w:left w:val="none" w:sz="0" w:space="0" w:color="auto"/>
        <w:bottom w:val="none" w:sz="0" w:space="0" w:color="auto"/>
        <w:right w:val="none" w:sz="0" w:space="0" w:color="auto"/>
      </w:divBdr>
    </w:div>
    <w:div w:id="1938176019">
      <w:bodyDiv w:val="1"/>
      <w:marLeft w:val="0"/>
      <w:marRight w:val="0"/>
      <w:marTop w:val="0"/>
      <w:marBottom w:val="0"/>
      <w:divBdr>
        <w:top w:val="none" w:sz="0" w:space="0" w:color="auto"/>
        <w:left w:val="none" w:sz="0" w:space="0" w:color="auto"/>
        <w:bottom w:val="none" w:sz="0" w:space="0" w:color="auto"/>
        <w:right w:val="none" w:sz="0" w:space="0" w:color="auto"/>
      </w:divBdr>
    </w:div>
    <w:div w:id="1940334317">
      <w:bodyDiv w:val="1"/>
      <w:marLeft w:val="0"/>
      <w:marRight w:val="0"/>
      <w:marTop w:val="0"/>
      <w:marBottom w:val="0"/>
      <w:divBdr>
        <w:top w:val="none" w:sz="0" w:space="0" w:color="auto"/>
        <w:left w:val="none" w:sz="0" w:space="0" w:color="auto"/>
        <w:bottom w:val="none" w:sz="0" w:space="0" w:color="auto"/>
        <w:right w:val="none" w:sz="0" w:space="0" w:color="auto"/>
      </w:divBdr>
    </w:div>
    <w:div w:id="2009407113">
      <w:bodyDiv w:val="1"/>
      <w:marLeft w:val="0"/>
      <w:marRight w:val="0"/>
      <w:marTop w:val="0"/>
      <w:marBottom w:val="0"/>
      <w:divBdr>
        <w:top w:val="none" w:sz="0" w:space="0" w:color="auto"/>
        <w:left w:val="none" w:sz="0" w:space="0" w:color="auto"/>
        <w:bottom w:val="none" w:sz="0" w:space="0" w:color="auto"/>
        <w:right w:val="none" w:sz="0" w:space="0" w:color="auto"/>
      </w:divBdr>
    </w:div>
    <w:div w:id="2031952004">
      <w:bodyDiv w:val="1"/>
      <w:marLeft w:val="0"/>
      <w:marRight w:val="0"/>
      <w:marTop w:val="0"/>
      <w:marBottom w:val="0"/>
      <w:divBdr>
        <w:top w:val="none" w:sz="0" w:space="0" w:color="auto"/>
        <w:left w:val="none" w:sz="0" w:space="0" w:color="auto"/>
        <w:bottom w:val="none" w:sz="0" w:space="0" w:color="auto"/>
        <w:right w:val="none" w:sz="0" w:space="0" w:color="auto"/>
      </w:divBdr>
    </w:div>
    <w:div w:id="2033652692">
      <w:bodyDiv w:val="1"/>
      <w:marLeft w:val="0"/>
      <w:marRight w:val="0"/>
      <w:marTop w:val="0"/>
      <w:marBottom w:val="0"/>
      <w:divBdr>
        <w:top w:val="none" w:sz="0" w:space="0" w:color="auto"/>
        <w:left w:val="none" w:sz="0" w:space="0" w:color="auto"/>
        <w:bottom w:val="none" w:sz="0" w:space="0" w:color="auto"/>
        <w:right w:val="none" w:sz="0" w:space="0" w:color="auto"/>
      </w:divBdr>
    </w:div>
    <w:div w:id="2035839317">
      <w:bodyDiv w:val="1"/>
      <w:marLeft w:val="0"/>
      <w:marRight w:val="0"/>
      <w:marTop w:val="0"/>
      <w:marBottom w:val="0"/>
      <w:divBdr>
        <w:top w:val="none" w:sz="0" w:space="0" w:color="auto"/>
        <w:left w:val="none" w:sz="0" w:space="0" w:color="auto"/>
        <w:bottom w:val="none" w:sz="0" w:space="0" w:color="auto"/>
        <w:right w:val="none" w:sz="0" w:space="0" w:color="auto"/>
      </w:divBdr>
    </w:div>
    <w:div w:id="2041665390">
      <w:bodyDiv w:val="1"/>
      <w:marLeft w:val="0"/>
      <w:marRight w:val="0"/>
      <w:marTop w:val="0"/>
      <w:marBottom w:val="0"/>
      <w:divBdr>
        <w:top w:val="none" w:sz="0" w:space="0" w:color="auto"/>
        <w:left w:val="none" w:sz="0" w:space="0" w:color="auto"/>
        <w:bottom w:val="none" w:sz="0" w:space="0" w:color="auto"/>
        <w:right w:val="none" w:sz="0" w:space="0" w:color="auto"/>
      </w:divBdr>
    </w:div>
    <w:div w:id="2068919169">
      <w:bodyDiv w:val="1"/>
      <w:marLeft w:val="0"/>
      <w:marRight w:val="0"/>
      <w:marTop w:val="0"/>
      <w:marBottom w:val="0"/>
      <w:divBdr>
        <w:top w:val="none" w:sz="0" w:space="0" w:color="auto"/>
        <w:left w:val="none" w:sz="0" w:space="0" w:color="auto"/>
        <w:bottom w:val="none" w:sz="0" w:space="0" w:color="auto"/>
        <w:right w:val="none" w:sz="0" w:space="0" w:color="auto"/>
      </w:divBdr>
    </w:div>
    <w:div w:id="2073575278">
      <w:bodyDiv w:val="1"/>
      <w:marLeft w:val="0"/>
      <w:marRight w:val="0"/>
      <w:marTop w:val="0"/>
      <w:marBottom w:val="0"/>
      <w:divBdr>
        <w:top w:val="none" w:sz="0" w:space="0" w:color="auto"/>
        <w:left w:val="none" w:sz="0" w:space="0" w:color="auto"/>
        <w:bottom w:val="none" w:sz="0" w:space="0" w:color="auto"/>
        <w:right w:val="none" w:sz="0" w:space="0" w:color="auto"/>
      </w:divBdr>
    </w:div>
    <w:div w:id="2096048683">
      <w:bodyDiv w:val="1"/>
      <w:marLeft w:val="0"/>
      <w:marRight w:val="0"/>
      <w:marTop w:val="0"/>
      <w:marBottom w:val="0"/>
      <w:divBdr>
        <w:top w:val="none" w:sz="0" w:space="0" w:color="auto"/>
        <w:left w:val="none" w:sz="0" w:space="0" w:color="auto"/>
        <w:bottom w:val="none" w:sz="0" w:space="0" w:color="auto"/>
        <w:right w:val="none" w:sz="0" w:space="0" w:color="auto"/>
      </w:divBdr>
    </w:div>
    <w:div w:id="2097630478">
      <w:bodyDiv w:val="1"/>
      <w:marLeft w:val="0"/>
      <w:marRight w:val="0"/>
      <w:marTop w:val="0"/>
      <w:marBottom w:val="0"/>
      <w:divBdr>
        <w:top w:val="none" w:sz="0" w:space="0" w:color="auto"/>
        <w:left w:val="none" w:sz="0" w:space="0" w:color="auto"/>
        <w:bottom w:val="none" w:sz="0" w:space="0" w:color="auto"/>
        <w:right w:val="none" w:sz="0" w:space="0" w:color="auto"/>
      </w:divBdr>
      <w:divsChild>
        <w:div w:id="2028945783">
          <w:marLeft w:val="0"/>
          <w:marRight w:val="0"/>
          <w:marTop w:val="0"/>
          <w:marBottom w:val="0"/>
          <w:divBdr>
            <w:top w:val="none" w:sz="0" w:space="0" w:color="auto"/>
            <w:left w:val="none" w:sz="0" w:space="0" w:color="auto"/>
            <w:bottom w:val="none" w:sz="0" w:space="0" w:color="auto"/>
            <w:right w:val="none" w:sz="0" w:space="0" w:color="auto"/>
          </w:divBdr>
          <w:divsChild>
            <w:div w:id="46610422">
              <w:marLeft w:val="0"/>
              <w:marRight w:val="0"/>
              <w:marTop w:val="0"/>
              <w:marBottom w:val="0"/>
              <w:divBdr>
                <w:top w:val="none" w:sz="0" w:space="0" w:color="auto"/>
                <w:left w:val="none" w:sz="0" w:space="0" w:color="auto"/>
                <w:bottom w:val="none" w:sz="0" w:space="0" w:color="auto"/>
                <w:right w:val="none" w:sz="0" w:space="0" w:color="auto"/>
              </w:divBdr>
            </w:div>
            <w:div w:id="207384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07010">
      <w:bodyDiv w:val="1"/>
      <w:marLeft w:val="0"/>
      <w:marRight w:val="0"/>
      <w:marTop w:val="0"/>
      <w:marBottom w:val="0"/>
      <w:divBdr>
        <w:top w:val="none" w:sz="0" w:space="0" w:color="auto"/>
        <w:left w:val="none" w:sz="0" w:space="0" w:color="auto"/>
        <w:bottom w:val="none" w:sz="0" w:space="0" w:color="auto"/>
        <w:right w:val="none" w:sz="0" w:space="0" w:color="auto"/>
      </w:divBdr>
    </w:div>
    <w:div w:id="2107075304">
      <w:bodyDiv w:val="1"/>
      <w:marLeft w:val="0"/>
      <w:marRight w:val="0"/>
      <w:marTop w:val="0"/>
      <w:marBottom w:val="0"/>
      <w:divBdr>
        <w:top w:val="none" w:sz="0" w:space="0" w:color="auto"/>
        <w:left w:val="none" w:sz="0" w:space="0" w:color="auto"/>
        <w:bottom w:val="none" w:sz="0" w:space="0" w:color="auto"/>
        <w:right w:val="none" w:sz="0" w:space="0" w:color="auto"/>
      </w:divBdr>
    </w:div>
    <w:div w:id="2116167279">
      <w:bodyDiv w:val="1"/>
      <w:marLeft w:val="0"/>
      <w:marRight w:val="0"/>
      <w:marTop w:val="0"/>
      <w:marBottom w:val="0"/>
      <w:divBdr>
        <w:top w:val="none" w:sz="0" w:space="0" w:color="auto"/>
        <w:left w:val="none" w:sz="0" w:space="0" w:color="auto"/>
        <w:bottom w:val="none" w:sz="0" w:space="0" w:color="auto"/>
        <w:right w:val="none" w:sz="0" w:space="0" w:color="auto"/>
      </w:divBdr>
    </w:div>
    <w:div w:id="2120417755">
      <w:bodyDiv w:val="1"/>
      <w:marLeft w:val="0"/>
      <w:marRight w:val="0"/>
      <w:marTop w:val="0"/>
      <w:marBottom w:val="0"/>
      <w:divBdr>
        <w:top w:val="none" w:sz="0" w:space="0" w:color="auto"/>
        <w:left w:val="none" w:sz="0" w:space="0" w:color="auto"/>
        <w:bottom w:val="none" w:sz="0" w:space="0" w:color="auto"/>
        <w:right w:val="none" w:sz="0" w:space="0" w:color="auto"/>
      </w:divBdr>
      <w:divsChild>
        <w:div w:id="2096440009">
          <w:marLeft w:val="0"/>
          <w:marRight w:val="0"/>
          <w:marTop w:val="0"/>
          <w:marBottom w:val="0"/>
          <w:divBdr>
            <w:top w:val="none" w:sz="0" w:space="0" w:color="auto"/>
            <w:left w:val="none" w:sz="0" w:space="0" w:color="auto"/>
            <w:bottom w:val="none" w:sz="0" w:space="0" w:color="auto"/>
            <w:right w:val="none" w:sz="0" w:space="0" w:color="auto"/>
          </w:divBdr>
          <w:divsChild>
            <w:div w:id="376971989">
              <w:marLeft w:val="0"/>
              <w:marRight w:val="0"/>
              <w:marTop w:val="0"/>
              <w:marBottom w:val="0"/>
              <w:divBdr>
                <w:top w:val="none" w:sz="0" w:space="0" w:color="auto"/>
                <w:left w:val="none" w:sz="0" w:space="0" w:color="auto"/>
                <w:bottom w:val="none" w:sz="0" w:space="0" w:color="auto"/>
                <w:right w:val="none" w:sz="0" w:space="0" w:color="auto"/>
              </w:divBdr>
            </w:div>
            <w:div w:id="14052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19008">
      <w:bodyDiv w:val="1"/>
      <w:marLeft w:val="0"/>
      <w:marRight w:val="0"/>
      <w:marTop w:val="0"/>
      <w:marBottom w:val="0"/>
      <w:divBdr>
        <w:top w:val="none" w:sz="0" w:space="0" w:color="auto"/>
        <w:left w:val="none" w:sz="0" w:space="0" w:color="auto"/>
        <w:bottom w:val="none" w:sz="0" w:space="0" w:color="auto"/>
        <w:right w:val="none" w:sz="0" w:space="0" w:color="auto"/>
      </w:divBdr>
    </w:div>
    <w:div w:id="214403997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c.europa.eu/europe2020/europe-2020-in-a-nutshell/targets/index_lt.htm" TargetMode="External"/><Relationship Id="rId18" Type="http://schemas.openxmlformats.org/officeDocument/2006/relationships/hyperlink" Target="https://e-seimas.lrs.lt/portal/legalAct/lt/TAD/d57a6e70436511ea983cd4e02103c255?jfwid=-9dzqnu7ek"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e-seimas.lrs.lt/portal/legalAct/lt/TAD/d57a6e70436511ea983cd4e02103c255?jfwid=-9dzqnu7ek"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e-tar.lt/portal/legalAct.html?documentId=b1fb6cc089d911e397b5c02d3197f382" TargetMode="Externa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www.vle.lt/uploads/_CGSmartImage/75983_6-326a5e867d2adc64ef857d5f7fa80354.jpg" TargetMode="External"/><Relationship Id="rId24" Type="http://schemas.openxmlformats.org/officeDocument/2006/relationships/image" Target="https://upload.wikimedia.org/wikipedia/commons/thumb/9/9e/PrienuSen.png/300px-PrienuSen.png" TargetMode="External"/><Relationship Id="rId5" Type="http://schemas.openxmlformats.org/officeDocument/2006/relationships/webSettings" Target="webSettings.xml"/><Relationship Id="rId15" Type="http://schemas.openxmlformats.org/officeDocument/2006/relationships/hyperlink" Target="https://www.e-tar.lt/portal/lt/legalAct/TAR.%2031A566B1512D/OKkwPNbfzS" TargetMode="External"/><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tar.lt/portal/%20lt/legalAct/TAR.5EE74F9648A5" TargetMode="External"/><Relationship Id="rId22" Type="http://schemas.openxmlformats.org/officeDocument/2006/relationships/image" Target="https://upload.wikimedia.org/wikipedia/commons/thumb/6/6c/Prienai_district_location.png/270px-Prienai_district_location.pn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3B7E4-E757-441E-A498-E2ABC4B61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16830</Words>
  <Characters>95934</Characters>
  <Application>Microsoft Office Word</Application>
  <DocSecurity>0</DocSecurity>
  <Lines>799</Lines>
  <Paragraphs>225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112539</CharactersWithSpaces>
  <SharedDoc>false</SharedDoc>
  <HLinks>
    <vt:vector size="390" baseType="variant">
      <vt:variant>
        <vt:i4>262228</vt:i4>
      </vt:variant>
      <vt:variant>
        <vt:i4>378</vt:i4>
      </vt:variant>
      <vt:variant>
        <vt:i4>0</vt:i4>
      </vt:variant>
      <vt:variant>
        <vt:i4>5</vt:i4>
      </vt:variant>
      <vt:variant>
        <vt:lpwstr>https://e-seimas.lrs.lt/portal/legalAct/lt/TAD/d57a6e70436511ea983cd4e02103c255?jfwid=-9dzqnu7ek</vt:lpwstr>
      </vt:variant>
      <vt:variant>
        <vt:lpwstr/>
      </vt:variant>
      <vt:variant>
        <vt:i4>262228</vt:i4>
      </vt:variant>
      <vt:variant>
        <vt:i4>375</vt:i4>
      </vt:variant>
      <vt:variant>
        <vt:i4>0</vt:i4>
      </vt:variant>
      <vt:variant>
        <vt:i4>5</vt:i4>
      </vt:variant>
      <vt:variant>
        <vt:lpwstr>https://e-seimas.lrs.lt/portal/legalAct/lt/TAD/d57a6e70436511ea983cd4e02103c255?jfwid=-9dzqnu7ek</vt:lpwstr>
      </vt:variant>
      <vt:variant>
        <vt:lpwstr/>
      </vt:variant>
      <vt:variant>
        <vt:i4>5308436</vt:i4>
      </vt:variant>
      <vt:variant>
        <vt:i4>372</vt:i4>
      </vt:variant>
      <vt:variant>
        <vt:i4>0</vt:i4>
      </vt:variant>
      <vt:variant>
        <vt:i4>5</vt:i4>
      </vt:variant>
      <vt:variant>
        <vt:lpwstr>https://www.e-tar.lt/portal/legalAct.html?documentId=b1fb6cc089d911e397b5c02d3197f382</vt:lpwstr>
      </vt:variant>
      <vt:variant>
        <vt:lpwstr/>
      </vt:variant>
      <vt:variant>
        <vt:i4>4915289</vt:i4>
      </vt:variant>
      <vt:variant>
        <vt:i4>366</vt:i4>
      </vt:variant>
      <vt:variant>
        <vt:i4>0</vt:i4>
      </vt:variant>
      <vt:variant>
        <vt:i4>5</vt:i4>
      </vt:variant>
      <vt:variant>
        <vt:lpwstr>https://www.e-tar.lt/portal/lt/legalAct/TAR. 31A566B1512D/OKkwPNbfzS</vt:lpwstr>
      </vt:variant>
      <vt:variant>
        <vt:lpwstr/>
      </vt:variant>
      <vt:variant>
        <vt:i4>5111837</vt:i4>
      </vt:variant>
      <vt:variant>
        <vt:i4>363</vt:i4>
      </vt:variant>
      <vt:variant>
        <vt:i4>0</vt:i4>
      </vt:variant>
      <vt:variant>
        <vt:i4>5</vt:i4>
      </vt:variant>
      <vt:variant>
        <vt:lpwstr>https://www.e-tar.lt/portal/ lt/legalAct/TAR.5EE74F9648A5</vt:lpwstr>
      </vt:variant>
      <vt:variant>
        <vt:lpwstr/>
      </vt:variant>
      <vt:variant>
        <vt:i4>5308519</vt:i4>
      </vt:variant>
      <vt:variant>
        <vt:i4>360</vt:i4>
      </vt:variant>
      <vt:variant>
        <vt:i4>0</vt:i4>
      </vt:variant>
      <vt:variant>
        <vt:i4>5</vt:i4>
      </vt:variant>
      <vt:variant>
        <vt:lpwstr>http://ec.europa.eu/europe2020/europe-2020-in-a-nutshell/targets/index_lt.htm</vt:lpwstr>
      </vt:variant>
      <vt:variant>
        <vt:lpwstr/>
      </vt:variant>
      <vt:variant>
        <vt:i4>1376316</vt:i4>
      </vt:variant>
      <vt:variant>
        <vt:i4>353</vt:i4>
      </vt:variant>
      <vt:variant>
        <vt:i4>0</vt:i4>
      </vt:variant>
      <vt:variant>
        <vt:i4>5</vt:i4>
      </vt:variant>
      <vt:variant>
        <vt:lpwstr/>
      </vt:variant>
      <vt:variant>
        <vt:lpwstr>_Toc34924521</vt:lpwstr>
      </vt:variant>
      <vt:variant>
        <vt:i4>1310780</vt:i4>
      </vt:variant>
      <vt:variant>
        <vt:i4>347</vt:i4>
      </vt:variant>
      <vt:variant>
        <vt:i4>0</vt:i4>
      </vt:variant>
      <vt:variant>
        <vt:i4>5</vt:i4>
      </vt:variant>
      <vt:variant>
        <vt:lpwstr/>
      </vt:variant>
      <vt:variant>
        <vt:lpwstr>_Toc34924520</vt:lpwstr>
      </vt:variant>
      <vt:variant>
        <vt:i4>1900607</vt:i4>
      </vt:variant>
      <vt:variant>
        <vt:i4>341</vt:i4>
      </vt:variant>
      <vt:variant>
        <vt:i4>0</vt:i4>
      </vt:variant>
      <vt:variant>
        <vt:i4>5</vt:i4>
      </vt:variant>
      <vt:variant>
        <vt:lpwstr/>
      </vt:variant>
      <vt:variant>
        <vt:lpwstr>_Toc34924519</vt:lpwstr>
      </vt:variant>
      <vt:variant>
        <vt:i4>1835071</vt:i4>
      </vt:variant>
      <vt:variant>
        <vt:i4>335</vt:i4>
      </vt:variant>
      <vt:variant>
        <vt:i4>0</vt:i4>
      </vt:variant>
      <vt:variant>
        <vt:i4>5</vt:i4>
      </vt:variant>
      <vt:variant>
        <vt:lpwstr/>
      </vt:variant>
      <vt:variant>
        <vt:lpwstr>_Toc34924518</vt:lpwstr>
      </vt:variant>
      <vt:variant>
        <vt:i4>1245247</vt:i4>
      </vt:variant>
      <vt:variant>
        <vt:i4>329</vt:i4>
      </vt:variant>
      <vt:variant>
        <vt:i4>0</vt:i4>
      </vt:variant>
      <vt:variant>
        <vt:i4>5</vt:i4>
      </vt:variant>
      <vt:variant>
        <vt:lpwstr/>
      </vt:variant>
      <vt:variant>
        <vt:lpwstr>_Toc34924517</vt:lpwstr>
      </vt:variant>
      <vt:variant>
        <vt:i4>1179711</vt:i4>
      </vt:variant>
      <vt:variant>
        <vt:i4>323</vt:i4>
      </vt:variant>
      <vt:variant>
        <vt:i4>0</vt:i4>
      </vt:variant>
      <vt:variant>
        <vt:i4>5</vt:i4>
      </vt:variant>
      <vt:variant>
        <vt:lpwstr/>
      </vt:variant>
      <vt:variant>
        <vt:lpwstr>_Toc34924516</vt:lpwstr>
      </vt:variant>
      <vt:variant>
        <vt:i4>1114175</vt:i4>
      </vt:variant>
      <vt:variant>
        <vt:i4>317</vt:i4>
      </vt:variant>
      <vt:variant>
        <vt:i4>0</vt:i4>
      </vt:variant>
      <vt:variant>
        <vt:i4>5</vt:i4>
      </vt:variant>
      <vt:variant>
        <vt:lpwstr/>
      </vt:variant>
      <vt:variant>
        <vt:lpwstr>_Toc34924515</vt:lpwstr>
      </vt:variant>
      <vt:variant>
        <vt:i4>1048639</vt:i4>
      </vt:variant>
      <vt:variant>
        <vt:i4>311</vt:i4>
      </vt:variant>
      <vt:variant>
        <vt:i4>0</vt:i4>
      </vt:variant>
      <vt:variant>
        <vt:i4>5</vt:i4>
      </vt:variant>
      <vt:variant>
        <vt:lpwstr/>
      </vt:variant>
      <vt:variant>
        <vt:lpwstr>_Toc34924514</vt:lpwstr>
      </vt:variant>
      <vt:variant>
        <vt:i4>1507391</vt:i4>
      </vt:variant>
      <vt:variant>
        <vt:i4>305</vt:i4>
      </vt:variant>
      <vt:variant>
        <vt:i4>0</vt:i4>
      </vt:variant>
      <vt:variant>
        <vt:i4>5</vt:i4>
      </vt:variant>
      <vt:variant>
        <vt:lpwstr/>
      </vt:variant>
      <vt:variant>
        <vt:lpwstr>_Toc34924513</vt:lpwstr>
      </vt:variant>
      <vt:variant>
        <vt:i4>1441855</vt:i4>
      </vt:variant>
      <vt:variant>
        <vt:i4>299</vt:i4>
      </vt:variant>
      <vt:variant>
        <vt:i4>0</vt:i4>
      </vt:variant>
      <vt:variant>
        <vt:i4>5</vt:i4>
      </vt:variant>
      <vt:variant>
        <vt:lpwstr/>
      </vt:variant>
      <vt:variant>
        <vt:lpwstr>_Toc34924512</vt:lpwstr>
      </vt:variant>
      <vt:variant>
        <vt:i4>1376319</vt:i4>
      </vt:variant>
      <vt:variant>
        <vt:i4>293</vt:i4>
      </vt:variant>
      <vt:variant>
        <vt:i4>0</vt:i4>
      </vt:variant>
      <vt:variant>
        <vt:i4>5</vt:i4>
      </vt:variant>
      <vt:variant>
        <vt:lpwstr/>
      </vt:variant>
      <vt:variant>
        <vt:lpwstr>_Toc34924511</vt:lpwstr>
      </vt:variant>
      <vt:variant>
        <vt:i4>1310783</vt:i4>
      </vt:variant>
      <vt:variant>
        <vt:i4>287</vt:i4>
      </vt:variant>
      <vt:variant>
        <vt:i4>0</vt:i4>
      </vt:variant>
      <vt:variant>
        <vt:i4>5</vt:i4>
      </vt:variant>
      <vt:variant>
        <vt:lpwstr/>
      </vt:variant>
      <vt:variant>
        <vt:lpwstr>_Toc34924510</vt:lpwstr>
      </vt:variant>
      <vt:variant>
        <vt:i4>1900606</vt:i4>
      </vt:variant>
      <vt:variant>
        <vt:i4>281</vt:i4>
      </vt:variant>
      <vt:variant>
        <vt:i4>0</vt:i4>
      </vt:variant>
      <vt:variant>
        <vt:i4>5</vt:i4>
      </vt:variant>
      <vt:variant>
        <vt:lpwstr/>
      </vt:variant>
      <vt:variant>
        <vt:lpwstr>_Toc34924509</vt:lpwstr>
      </vt:variant>
      <vt:variant>
        <vt:i4>1835070</vt:i4>
      </vt:variant>
      <vt:variant>
        <vt:i4>275</vt:i4>
      </vt:variant>
      <vt:variant>
        <vt:i4>0</vt:i4>
      </vt:variant>
      <vt:variant>
        <vt:i4>5</vt:i4>
      </vt:variant>
      <vt:variant>
        <vt:lpwstr/>
      </vt:variant>
      <vt:variant>
        <vt:lpwstr>_Toc34924508</vt:lpwstr>
      </vt:variant>
      <vt:variant>
        <vt:i4>1245246</vt:i4>
      </vt:variant>
      <vt:variant>
        <vt:i4>269</vt:i4>
      </vt:variant>
      <vt:variant>
        <vt:i4>0</vt:i4>
      </vt:variant>
      <vt:variant>
        <vt:i4>5</vt:i4>
      </vt:variant>
      <vt:variant>
        <vt:lpwstr/>
      </vt:variant>
      <vt:variant>
        <vt:lpwstr>_Toc34924507</vt:lpwstr>
      </vt:variant>
      <vt:variant>
        <vt:i4>1179710</vt:i4>
      </vt:variant>
      <vt:variant>
        <vt:i4>263</vt:i4>
      </vt:variant>
      <vt:variant>
        <vt:i4>0</vt:i4>
      </vt:variant>
      <vt:variant>
        <vt:i4>5</vt:i4>
      </vt:variant>
      <vt:variant>
        <vt:lpwstr/>
      </vt:variant>
      <vt:variant>
        <vt:lpwstr>_Toc34924506</vt:lpwstr>
      </vt:variant>
      <vt:variant>
        <vt:i4>1114174</vt:i4>
      </vt:variant>
      <vt:variant>
        <vt:i4>257</vt:i4>
      </vt:variant>
      <vt:variant>
        <vt:i4>0</vt:i4>
      </vt:variant>
      <vt:variant>
        <vt:i4>5</vt:i4>
      </vt:variant>
      <vt:variant>
        <vt:lpwstr/>
      </vt:variant>
      <vt:variant>
        <vt:lpwstr>_Toc34924505</vt:lpwstr>
      </vt:variant>
      <vt:variant>
        <vt:i4>1048638</vt:i4>
      </vt:variant>
      <vt:variant>
        <vt:i4>251</vt:i4>
      </vt:variant>
      <vt:variant>
        <vt:i4>0</vt:i4>
      </vt:variant>
      <vt:variant>
        <vt:i4>5</vt:i4>
      </vt:variant>
      <vt:variant>
        <vt:lpwstr/>
      </vt:variant>
      <vt:variant>
        <vt:lpwstr>_Toc34924504</vt:lpwstr>
      </vt:variant>
      <vt:variant>
        <vt:i4>1507390</vt:i4>
      </vt:variant>
      <vt:variant>
        <vt:i4>245</vt:i4>
      </vt:variant>
      <vt:variant>
        <vt:i4>0</vt:i4>
      </vt:variant>
      <vt:variant>
        <vt:i4>5</vt:i4>
      </vt:variant>
      <vt:variant>
        <vt:lpwstr/>
      </vt:variant>
      <vt:variant>
        <vt:lpwstr>_Toc34924503</vt:lpwstr>
      </vt:variant>
      <vt:variant>
        <vt:i4>1441854</vt:i4>
      </vt:variant>
      <vt:variant>
        <vt:i4>239</vt:i4>
      </vt:variant>
      <vt:variant>
        <vt:i4>0</vt:i4>
      </vt:variant>
      <vt:variant>
        <vt:i4>5</vt:i4>
      </vt:variant>
      <vt:variant>
        <vt:lpwstr/>
      </vt:variant>
      <vt:variant>
        <vt:lpwstr>_Toc34924502</vt:lpwstr>
      </vt:variant>
      <vt:variant>
        <vt:i4>1376318</vt:i4>
      </vt:variant>
      <vt:variant>
        <vt:i4>233</vt:i4>
      </vt:variant>
      <vt:variant>
        <vt:i4>0</vt:i4>
      </vt:variant>
      <vt:variant>
        <vt:i4>5</vt:i4>
      </vt:variant>
      <vt:variant>
        <vt:lpwstr/>
      </vt:variant>
      <vt:variant>
        <vt:lpwstr>_Toc34924501</vt:lpwstr>
      </vt:variant>
      <vt:variant>
        <vt:i4>1310782</vt:i4>
      </vt:variant>
      <vt:variant>
        <vt:i4>227</vt:i4>
      </vt:variant>
      <vt:variant>
        <vt:i4>0</vt:i4>
      </vt:variant>
      <vt:variant>
        <vt:i4>5</vt:i4>
      </vt:variant>
      <vt:variant>
        <vt:lpwstr/>
      </vt:variant>
      <vt:variant>
        <vt:lpwstr>_Toc34924500</vt:lpwstr>
      </vt:variant>
      <vt:variant>
        <vt:i4>1835063</vt:i4>
      </vt:variant>
      <vt:variant>
        <vt:i4>221</vt:i4>
      </vt:variant>
      <vt:variant>
        <vt:i4>0</vt:i4>
      </vt:variant>
      <vt:variant>
        <vt:i4>5</vt:i4>
      </vt:variant>
      <vt:variant>
        <vt:lpwstr/>
      </vt:variant>
      <vt:variant>
        <vt:lpwstr>_Toc34924499</vt:lpwstr>
      </vt:variant>
      <vt:variant>
        <vt:i4>1900599</vt:i4>
      </vt:variant>
      <vt:variant>
        <vt:i4>215</vt:i4>
      </vt:variant>
      <vt:variant>
        <vt:i4>0</vt:i4>
      </vt:variant>
      <vt:variant>
        <vt:i4>5</vt:i4>
      </vt:variant>
      <vt:variant>
        <vt:lpwstr/>
      </vt:variant>
      <vt:variant>
        <vt:lpwstr>_Toc34924498</vt:lpwstr>
      </vt:variant>
      <vt:variant>
        <vt:i4>1179703</vt:i4>
      </vt:variant>
      <vt:variant>
        <vt:i4>209</vt:i4>
      </vt:variant>
      <vt:variant>
        <vt:i4>0</vt:i4>
      </vt:variant>
      <vt:variant>
        <vt:i4>5</vt:i4>
      </vt:variant>
      <vt:variant>
        <vt:lpwstr/>
      </vt:variant>
      <vt:variant>
        <vt:lpwstr>_Toc34924497</vt:lpwstr>
      </vt:variant>
      <vt:variant>
        <vt:i4>1245239</vt:i4>
      </vt:variant>
      <vt:variant>
        <vt:i4>203</vt:i4>
      </vt:variant>
      <vt:variant>
        <vt:i4>0</vt:i4>
      </vt:variant>
      <vt:variant>
        <vt:i4>5</vt:i4>
      </vt:variant>
      <vt:variant>
        <vt:lpwstr/>
      </vt:variant>
      <vt:variant>
        <vt:lpwstr>_Toc34924496</vt:lpwstr>
      </vt:variant>
      <vt:variant>
        <vt:i4>1048631</vt:i4>
      </vt:variant>
      <vt:variant>
        <vt:i4>197</vt:i4>
      </vt:variant>
      <vt:variant>
        <vt:i4>0</vt:i4>
      </vt:variant>
      <vt:variant>
        <vt:i4>5</vt:i4>
      </vt:variant>
      <vt:variant>
        <vt:lpwstr/>
      </vt:variant>
      <vt:variant>
        <vt:lpwstr>_Toc34924495</vt:lpwstr>
      </vt:variant>
      <vt:variant>
        <vt:i4>1114167</vt:i4>
      </vt:variant>
      <vt:variant>
        <vt:i4>191</vt:i4>
      </vt:variant>
      <vt:variant>
        <vt:i4>0</vt:i4>
      </vt:variant>
      <vt:variant>
        <vt:i4>5</vt:i4>
      </vt:variant>
      <vt:variant>
        <vt:lpwstr/>
      </vt:variant>
      <vt:variant>
        <vt:lpwstr>_Toc34924494</vt:lpwstr>
      </vt:variant>
      <vt:variant>
        <vt:i4>1441847</vt:i4>
      </vt:variant>
      <vt:variant>
        <vt:i4>185</vt:i4>
      </vt:variant>
      <vt:variant>
        <vt:i4>0</vt:i4>
      </vt:variant>
      <vt:variant>
        <vt:i4>5</vt:i4>
      </vt:variant>
      <vt:variant>
        <vt:lpwstr/>
      </vt:variant>
      <vt:variant>
        <vt:lpwstr>_Toc34924493</vt:lpwstr>
      </vt:variant>
      <vt:variant>
        <vt:i4>1507383</vt:i4>
      </vt:variant>
      <vt:variant>
        <vt:i4>179</vt:i4>
      </vt:variant>
      <vt:variant>
        <vt:i4>0</vt:i4>
      </vt:variant>
      <vt:variant>
        <vt:i4>5</vt:i4>
      </vt:variant>
      <vt:variant>
        <vt:lpwstr/>
      </vt:variant>
      <vt:variant>
        <vt:lpwstr>_Toc34924492</vt:lpwstr>
      </vt:variant>
      <vt:variant>
        <vt:i4>1310775</vt:i4>
      </vt:variant>
      <vt:variant>
        <vt:i4>173</vt:i4>
      </vt:variant>
      <vt:variant>
        <vt:i4>0</vt:i4>
      </vt:variant>
      <vt:variant>
        <vt:i4>5</vt:i4>
      </vt:variant>
      <vt:variant>
        <vt:lpwstr/>
      </vt:variant>
      <vt:variant>
        <vt:lpwstr>_Toc34924491</vt:lpwstr>
      </vt:variant>
      <vt:variant>
        <vt:i4>1376311</vt:i4>
      </vt:variant>
      <vt:variant>
        <vt:i4>167</vt:i4>
      </vt:variant>
      <vt:variant>
        <vt:i4>0</vt:i4>
      </vt:variant>
      <vt:variant>
        <vt:i4>5</vt:i4>
      </vt:variant>
      <vt:variant>
        <vt:lpwstr/>
      </vt:variant>
      <vt:variant>
        <vt:lpwstr>_Toc34924490</vt:lpwstr>
      </vt:variant>
      <vt:variant>
        <vt:i4>1835062</vt:i4>
      </vt:variant>
      <vt:variant>
        <vt:i4>161</vt:i4>
      </vt:variant>
      <vt:variant>
        <vt:i4>0</vt:i4>
      </vt:variant>
      <vt:variant>
        <vt:i4>5</vt:i4>
      </vt:variant>
      <vt:variant>
        <vt:lpwstr/>
      </vt:variant>
      <vt:variant>
        <vt:lpwstr>_Toc34924489</vt:lpwstr>
      </vt:variant>
      <vt:variant>
        <vt:i4>1900598</vt:i4>
      </vt:variant>
      <vt:variant>
        <vt:i4>155</vt:i4>
      </vt:variant>
      <vt:variant>
        <vt:i4>0</vt:i4>
      </vt:variant>
      <vt:variant>
        <vt:i4>5</vt:i4>
      </vt:variant>
      <vt:variant>
        <vt:lpwstr/>
      </vt:variant>
      <vt:variant>
        <vt:lpwstr>_Toc34924488</vt:lpwstr>
      </vt:variant>
      <vt:variant>
        <vt:i4>1179702</vt:i4>
      </vt:variant>
      <vt:variant>
        <vt:i4>149</vt:i4>
      </vt:variant>
      <vt:variant>
        <vt:i4>0</vt:i4>
      </vt:variant>
      <vt:variant>
        <vt:i4>5</vt:i4>
      </vt:variant>
      <vt:variant>
        <vt:lpwstr/>
      </vt:variant>
      <vt:variant>
        <vt:lpwstr>_Toc34924487</vt:lpwstr>
      </vt:variant>
      <vt:variant>
        <vt:i4>1245238</vt:i4>
      </vt:variant>
      <vt:variant>
        <vt:i4>143</vt:i4>
      </vt:variant>
      <vt:variant>
        <vt:i4>0</vt:i4>
      </vt:variant>
      <vt:variant>
        <vt:i4>5</vt:i4>
      </vt:variant>
      <vt:variant>
        <vt:lpwstr/>
      </vt:variant>
      <vt:variant>
        <vt:lpwstr>_Toc34924486</vt:lpwstr>
      </vt:variant>
      <vt:variant>
        <vt:i4>1048630</vt:i4>
      </vt:variant>
      <vt:variant>
        <vt:i4>137</vt:i4>
      </vt:variant>
      <vt:variant>
        <vt:i4>0</vt:i4>
      </vt:variant>
      <vt:variant>
        <vt:i4>5</vt:i4>
      </vt:variant>
      <vt:variant>
        <vt:lpwstr/>
      </vt:variant>
      <vt:variant>
        <vt:lpwstr>_Toc34924485</vt:lpwstr>
      </vt:variant>
      <vt:variant>
        <vt:i4>1114166</vt:i4>
      </vt:variant>
      <vt:variant>
        <vt:i4>131</vt:i4>
      </vt:variant>
      <vt:variant>
        <vt:i4>0</vt:i4>
      </vt:variant>
      <vt:variant>
        <vt:i4>5</vt:i4>
      </vt:variant>
      <vt:variant>
        <vt:lpwstr/>
      </vt:variant>
      <vt:variant>
        <vt:lpwstr>_Toc34924484</vt:lpwstr>
      </vt:variant>
      <vt:variant>
        <vt:i4>1441846</vt:i4>
      </vt:variant>
      <vt:variant>
        <vt:i4>125</vt:i4>
      </vt:variant>
      <vt:variant>
        <vt:i4>0</vt:i4>
      </vt:variant>
      <vt:variant>
        <vt:i4>5</vt:i4>
      </vt:variant>
      <vt:variant>
        <vt:lpwstr/>
      </vt:variant>
      <vt:variant>
        <vt:lpwstr>_Toc34924483</vt:lpwstr>
      </vt:variant>
      <vt:variant>
        <vt:i4>1507382</vt:i4>
      </vt:variant>
      <vt:variant>
        <vt:i4>119</vt:i4>
      </vt:variant>
      <vt:variant>
        <vt:i4>0</vt:i4>
      </vt:variant>
      <vt:variant>
        <vt:i4>5</vt:i4>
      </vt:variant>
      <vt:variant>
        <vt:lpwstr/>
      </vt:variant>
      <vt:variant>
        <vt:lpwstr>_Toc34924482</vt:lpwstr>
      </vt:variant>
      <vt:variant>
        <vt:i4>1310774</vt:i4>
      </vt:variant>
      <vt:variant>
        <vt:i4>113</vt:i4>
      </vt:variant>
      <vt:variant>
        <vt:i4>0</vt:i4>
      </vt:variant>
      <vt:variant>
        <vt:i4>5</vt:i4>
      </vt:variant>
      <vt:variant>
        <vt:lpwstr/>
      </vt:variant>
      <vt:variant>
        <vt:lpwstr>_Toc34924481</vt:lpwstr>
      </vt:variant>
      <vt:variant>
        <vt:i4>1376310</vt:i4>
      </vt:variant>
      <vt:variant>
        <vt:i4>107</vt:i4>
      </vt:variant>
      <vt:variant>
        <vt:i4>0</vt:i4>
      </vt:variant>
      <vt:variant>
        <vt:i4>5</vt:i4>
      </vt:variant>
      <vt:variant>
        <vt:lpwstr/>
      </vt:variant>
      <vt:variant>
        <vt:lpwstr>_Toc34924480</vt:lpwstr>
      </vt:variant>
      <vt:variant>
        <vt:i4>1835065</vt:i4>
      </vt:variant>
      <vt:variant>
        <vt:i4>101</vt:i4>
      </vt:variant>
      <vt:variant>
        <vt:i4>0</vt:i4>
      </vt:variant>
      <vt:variant>
        <vt:i4>5</vt:i4>
      </vt:variant>
      <vt:variant>
        <vt:lpwstr/>
      </vt:variant>
      <vt:variant>
        <vt:lpwstr>_Toc34924479</vt:lpwstr>
      </vt:variant>
      <vt:variant>
        <vt:i4>1179705</vt:i4>
      </vt:variant>
      <vt:variant>
        <vt:i4>95</vt:i4>
      </vt:variant>
      <vt:variant>
        <vt:i4>0</vt:i4>
      </vt:variant>
      <vt:variant>
        <vt:i4>5</vt:i4>
      </vt:variant>
      <vt:variant>
        <vt:lpwstr/>
      </vt:variant>
      <vt:variant>
        <vt:lpwstr>_Toc34924477</vt:lpwstr>
      </vt:variant>
      <vt:variant>
        <vt:i4>1245241</vt:i4>
      </vt:variant>
      <vt:variant>
        <vt:i4>89</vt:i4>
      </vt:variant>
      <vt:variant>
        <vt:i4>0</vt:i4>
      </vt:variant>
      <vt:variant>
        <vt:i4>5</vt:i4>
      </vt:variant>
      <vt:variant>
        <vt:lpwstr/>
      </vt:variant>
      <vt:variant>
        <vt:lpwstr>_Toc34924476</vt:lpwstr>
      </vt:variant>
      <vt:variant>
        <vt:i4>1048633</vt:i4>
      </vt:variant>
      <vt:variant>
        <vt:i4>83</vt:i4>
      </vt:variant>
      <vt:variant>
        <vt:i4>0</vt:i4>
      </vt:variant>
      <vt:variant>
        <vt:i4>5</vt:i4>
      </vt:variant>
      <vt:variant>
        <vt:lpwstr/>
      </vt:variant>
      <vt:variant>
        <vt:lpwstr>_Toc34924475</vt:lpwstr>
      </vt:variant>
      <vt:variant>
        <vt:i4>1114169</vt:i4>
      </vt:variant>
      <vt:variant>
        <vt:i4>77</vt:i4>
      </vt:variant>
      <vt:variant>
        <vt:i4>0</vt:i4>
      </vt:variant>
      <vt:variant>
        <vt:i4>5</vt:i4>
      </vt:variant>
      <vt:variant>
        <vt:lpwstr/>
      </vt:variant>
      <vt:variant>
        <vt:lpwstr>_Toc34924474</vt:lpwstr>
      </vt:variant>
      <vt:variant>
        <vt:i4>1441849</vt:i4>
      </vt:variant>
      <vt:variant>
        <vt:i4>71</vt:i4>
      </vt:variant>
      <vt:variant>
        <vt:i4>0</vt:i4>
      </vt:variant>
      <vt:variant>
        <vt:i4>5</vt:i4>
      </vt:variant>
      <vt:variant>
        <vt:lpwstr/>
      </vt:variant>
      <vt:variant>
        <vt:lpwstr>_Toc34924473</vt:lpwstr>
      </vt:variant>
      <vt:variant>
        <vt:i4>1507385</vt:i4>
      </vt:variant>
      <vt:variant>
        <vt:i4>65</vt:i4>
      </vt:variant>
      <vt:variant>
        <vt:i4>0</vt:i4>
      </vt:variant>
      <vt:variant>
        <vt:i4>5</vt:i4>
      </vt:variant>
      <vt:variant>
        <vt:lpwstr/>
      </vt:variant>
      <vt:variant>
        <vt:lpwstr>_Toc34924472</vt:lpwstr>
      </vt:variant>
      <vt:variant>
        <vt:i4>1310777</vt:i4>
      </vt:variant>
      <vt:variant>
        <vt:i4>59</vt:i4>
      </vt:variant>
      <vt:variant>
        <vt:i4>0</vt:i4>
      </vt:variant>
      <vt:variant>
        <vt:i4>5</vt:i4>
      </vt:variant>
      <vt:variant>
        <vt:lpwstr/>
      </vt:variant>
      <vt:variant>
        <vt:lpwstr>_Toc34924471</vt:lpwstr>
      </vt:variant>
      <vt:variant>
        <vt:i4>1376313</vt:i4>
      </vt:variant>
      <vt:variant>
        <vt:i4>53</vt:i4>
      </vt:variant>
      <vt:variant>
        <vt:i4>0</vt:i4>
      </vt:variant>
      <vt:variant>
        <vt:i4>5</vt:i4>
      </vt:variant>
      <vt:variant>
        <vt:lpwstr/>
      </vt:variant>
      <vt:variant>
        <vt:lpwstr>_Toc34924470</vt:lpwstr>
      </vt:variant>
      <vt:variant>
        <vt:i4>1835064</vt:i4>
      </vt:variant>
      <vt:variant>
        <vt:i4>47</vt:i4>
      </vt:variant>
      <vt:variant>
        <vt:i4>0</vt:i4>
      </vt:variant>
      <vt:variant>
        <vt:i4>5</vt:i4>
      </vt:variant>
      <vt:variant>
        <vt:lpwstr/>
      </vt:variant>
      <vt:variant>
        <vt:lpwstr>_Toc34924469</vt:lpwstr>
      </vt:variant>
      <vt:variant>
        <vt:i4>1900600</vt:i4>
      </vt:variant>
      <vt:variant>
        <vt:i4>41</vt:i4>
      </vt:variant>
      <vt:variant>
        <vt:i4>0</vt:i4>
      </vt:variant>
      <vt:variant>
        <vt:i4>5</vt:i4>
      </vt:variant>
      <vt:variant>
        <vt:lpwstr/>
      </vt:variant>
      <vt:variant>
        <vt:lpwstr>_Toc34924468</vt:lpwstr>
      </vt:variant>
      <vt:variant>
        <vt:i4>1179704</vt:i4>
      </vt:variant>
      <vt:variant>
        <vt:i4>35</vt:i4>
      </vt:variant>
      <vt:variant>
        <vt:i4>0</vt:i4>
      </vt:variant>
      <vt:variant>
        <vt:i4>5</vt:i4>
      </vt:variant>
      <vt:variant>
        <vt:lpwstr/>
      </vt:variant>
      <vt:variant>
        <vt:lpwstr>_Toc34924467</vt:lpwstr>
      </vt:variant>
      <vt:variant>
        <vt:i4>1245240</vt:i4>
      </vt:variant>
      <vt:variant>
        <vt:i4>29</vt:i4>
      </vt:variant>
      <vt:variant>
        <vt:i4>0</vt:i4>
      </vt:variant>
      <vt:variant>
        <vt:i4>5</vt:i4>
      </vt:variant>
      <vt:variant>
        <vt:lpwstr/>
      </vt:variant>
      <vt:variant>
        <vt:lpwstr>_Toc34924466</vt:lpwstr>
      </vt:variant>
      <vt:variant>
        <vt:i4>1048632</vt:i4>
      </vt:variant>
      <vt:variant>
        <vt:i4>23</vt:i4>
      </vt:variant>
      <vt:variant>
        <vt:i4>0</vt:i4>
      </vt:variant>
      <vt:variant>
        <vt:i4>5</vt:i4>
      </vt:variant>
      <vt:variant>
        <vt:lpwstr/>
      </vt:variant>
      <vt:variant>
        <vt:lpwstr>_Toc34924465</vt:lpwstr>
      </vt:variant>
      <vt:variant>
        <vt:i4>1114168</vt:i4>
      </vt:variant>
      <vt:variant>
        <vt:i4>17</vt:i4>
      </vt:variant>
      <vt:variant>
        <vt:i4>0</vt:i4>
      </vt:variant>
      <vt:variant>
        <vt:i4>5</vt:i4>
      </vt:variant>
      <vt:variant>
        <vt:lpwstr/>
      </vt:variant>
      <vt:variant>
        <vt:lpwstr>_Toc34924464</vt:lpwstr>
      </vt:variant>
      <vt:variant>
        <vt:i4>1441848</vt:i4>
      </vt:variant>
      <vt:variant>
        <vt:i4>11</vt:i4>
      </vt:variant>
      <vt:variant>
        <vt:i4>0</vt:i4>
      </vt:variant>
      <vt:variant>
        <vt:i4>5</vt:i4>
      </vt:variant>
      <vt:variant>
        <vt:lpwstr/>
      </vt:variant>
      <vt:variant>
        <vt:lpwstr>_Toc34924463</vt:lpwstr>
      </vt:variant>
      <vt:variant>
        <vt:i4>1507384</vt:i4>
      </vt:variant>
      <vt:variant>
        <vt:i4>5</vt:i4>
      </vt:variant>
      <vt:variant>
        <vt:i4>0</vt:i4>
      </vt:variant>
      <vt:variant>
        <vt:i4>5</vt:i4>
      </vt:variant>
      <vt:variant>
        <vt:lpwstr/>
      </vt:variant>
      <vt:variant>
        <vt:lpwstr>_Toc34924462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BiruteZvi</cp:lastModifiedBy>
  <cp:revision>3</cp:revision>
  <cp:lastPrinted>2017-02-23T12:32:00Z</cp:lastPrinted>
  <dcterms:created xsi:type="dcterms:W3CDTF">2022-08-23T08:33:00Z</dcterms:created>
  <dcterms:modified xsi:type="dcterms:W3CDTF">2022-08-23T08:35:00Z</dcterms:modified>
</cp:coreProperties>
</file>