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Times New Roman" w:hAnsi="Times New Roman" w:cs="Times New Roman"/>
          <w:b/>
          <w:b/>
          <w:bCs/>
          <w:caps/>
          <w:sz w:val="24"/>
          <w:szCs w:val="24"/>
        </w:rPr>
      </w:pPr>
      <w:r>
        <w:rPr>
          <w:rFonts w:cs="Times New Roman" w:ascii="Times New Roman" w:hAnsi="Times New Roman"/>
          <w:b/>
          <w:bCs/>
          <w:caps/>
          <w:sz w:val="24"/>
          <w:szCs w:val="24"/>
        </w:rPr>
        <w:t>Erkių platinamų ligų EPIDEMIOLOGINĖS SITUACIJOS ANALIZĖ KAUNO APSKRITYJE 2023 metais</w:t>
      </w:r>
    </w:p>
    <w:p>
      <w:pPr>
        <w:pStyle w:val="Normal"/>
        <w:jc w:val="center"/>
        <w:rPr>
          <w:rFonts w:ascii="Times New Roman" w:hAnsi="Times New Roman" w:cs="Times New Roman"/>
          <w:sz w:val="24"/>
          <w:szCs w:val="24"/>
        </w:rPr>
      </w:pPr>
      <w:r>
        <w:rPr>
          <w:rFonts w:cs="Times New Roman" w:ascii="Times New Roman" w:hAnsi="Times New Roman"/>
          <w:sz w:val="24"/>
          <w:szCs w:val="24"/>
        </w:rPr>
        <w:t>Kaunas</w:t>
      </w:r>
      <w:r>
        <w:rPr>
          <w:rFonts w:cs="Times New Roman" w:ascii="Times New Roman" w:hAnsi="Times New Roman"/>
          <w:caps/>
          <w:sz w:val="24"/>
          <w:szCs w:val="24"/>
        </w:rPr>
        <w:br/>
        <w:t>2024-04-</w:t>
      </w:r>
      <w:r>
        <w:rPr>
          <w:rFonts w:cs="Times New Roman" w:ascii="Times New Roman" w:hAnsi="Times New Roman"/>
          <w:sz w:val="24"/>
          <w:szCs w:val="24"/>
        </w:rPr>
        <w:t>17</w:t>
      </w:r>
    </w:p>
    <w:p>
      <w:pPr>
        <w:pStyle w:val="ListParagraph"/>
        <w:numPr>
          <w:ilvl w:val="0"/>
          <w:numId w:val="7"/>
        </w:numPr>
        <w:spacing w:lineRule="auto" w:line="240" w:before="0" w:afterAutospacing="1"/>
        <w:contextualSpacing/>
        <w:jc w:val="center"/>
        <w:rPr>
          <w:rFonts w:ascii="Times New Roman" w:hAnsi="Times New Roman" w:cs="Times New Roman"/>
          <w:b/>
          <w:b/>
          <w:bCs/>
          <w:sz w:val="24"/>
          <w:szCs w:val="24"/>
        </w:rPr>
      </w:pPr>
      <w:r>
        <w:rPr>
          <w:rFonts w:cs="Times New Roman" w:ascii="Times New Roman" w:hAnsi="Times New Roman"/>
          <w:b/>
          <w:bCs/>
          <w:sz w:val="24"/>
          <w:szCs w:val="24"/>
        </w:rPr>
        <w:t>Situacijos apžvalga</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Erkių platinamų ligų (toliau – EPL) epidemiologinė priežiūra Nacionalinio visuomenės sveikatos centro prie sveikatos apsaugos ministerijos (NVSC) Kauno departamente vykdoma vadovaujantis Lietuvos Respublikos sveikatos apsaugos ministro (toliau – LR SAM) 2010-06-18 įsakymo Nr. V-575 „Dėl kraujasiurbių nariuotakojų stebėsenos tvarkos aprašo patvirtinimo“, </w:t>
      </w:r>
      <w:hyperlink r:id="rId2">
        <w:r>
          <w:rPr>
            <w:rStyle w:val="Internetosaitas"/>
            <w:rFonts w:cs="Times New Roman" w:ascii="Times New Roman" w:hAnsi="Times New Roman"/>
            <w:color w:val="auto"/>
            <w:sz w:val="24"/>
            <w:szCs w:val="24"/>
            <w:u w:val="none"/>
          </w:rPr>
          <w:t>LR SAM 2002-12-24 įsakymo  Nr. 673 „Dėl Privalomojo epidemiologinio registravimo objektų registravimo ir informacijos apie juos teikimo tvarkos aprašo patvirtinimo</w:t>
        </w:r>
      </w:hyperlink>
      <w:r>
        <w:rPr>
          <w:rFonts w:cs="Times New Roman" w:ascii="Times New Roman" w:hAnsi="Times New Roman"/>
          <w:sz w:val="24"/>
          <w:szCs w:val="24"/>
        </w:rPr>
        <w:t>“ ir kt. teisės aktų nuostatomis.</w:t>
      </w:r>
    </w:p>
    <w:p>
      <w:pPr>
        <w:pStyle w:val="ListParagraph"/>
        <w:numPr>
          <w:ilvl w:val="1"/>
          <w:numId w:val="2"/>
        </w:numPr>
        <w:spacing w:lineRule="auto" w:line="240" w:beforeAutospacing="1" w:afterAutospacing="1"/>
        <w:ind w:left="1077" w:hanging="357"/>
        <w:contextualSpacing/>
        <w:jc w:val="center"/>
        <w:rPr>
          <w:rFonts w:ascii="Times New Roman" w:hAnsi="Times New Roman" w:cs="Times New Roman"/>
          <w:b/>
          <w:b/>
          <w:bCs/>
          <w:sz w:val="24"/>
          <w:szCs w:val="24"/>
        </w:rPr>
      </w:pPr>
      <w:r>
        <w:rPr>
          <w:rFonts w:cs="Times New Roman" w:ascii="Times New Roman" w:hAnsi="Times New Roman"/>
          <w:b/>
          <w:bCs/>
          <w:sz w:val="24"/>
          <w:szCs w:val="24"/>
        </w:rPr>
        <w:t>Erkių gausos stebėsena</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Erkių aktyvumo ir gausos stebėsena vykdoma 4 Kauno apskrities savivaldybių stacionariuose taškuose (toliau – stacionarai): Zuikinės, Kauno marių regioninis miško parko 93 kvartale; Dubravos eksperimentinė mokomoji miškų ūkio urėdijos, Girionių miško 47-48 kvartaluose; Kėdainių urėdijos, Babėnų miško 15 kvartale ir Žvėrinčiaus miško 30 kvartale. Iksodinių erkių stebėsena kasmet vykdoma kovo – lapkričio mėnesiais kas 10 dienų, įvertinant erkių gausą erkių stebėjimo stacionaruose, esančiuose Kauno m., Kauno r., Kėdainių r. ir Prienų r.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Erkių gausa tiesiogiai priklauso nuo meteorologinių sąlygų, todėl kasmet kinta. Didžiausia erkių gausa viename kilometre kasmet nustatoma Kėdainių r. ir Prienų r. 2023 m. trijuose iš keturių stacionarų (Kauno miesto ir rajono bei Kėdainių r.) erkių skaičius viename kilometre buvo didesnis nei 2022 m. bei viršijo iki COVID-19 ligos (koronoviruso infekcijos) pandemijos stebėtą erkių gausos rodiklį (1.1.1 pav.).</w:t>
      </w:r>
    </w:p>
    <w:p>
      <w:pPr>
        <w:pStyle w:val="Normal"/>
        <w:spacing w:lineRule="auto" w:line="240"/>
        <w:rPr/>
      </w:pPr>
      <w:r>
        <w:rPr/>
      </w:r>
    </w:p>
    <w:p>
      <w:pPr>
        <w:pStyle w:val="Normal"/>
        <w:spacing w:lineRule="auto" w:line="240"/>
        <w:rPr/>
      </w:pPr>
      <w:r>
        <w:rPr/>
        <mc:AlternateContent>
          <mc:Choice Requires="wpg">
            <w:drawing>
              <wp:anchor behindDoc="0" distT="3175" distB="3175" distL="3175" distR="3175" simplePos="0" locked="0" layoutInCell="0" allowOverlap="1" relativeHeight="2" wp14:anchorId="1F13DAEE">
                <wp:simplePos x="0" y="0"/>
                <wp:positionH relativeFrom="column">
                  <wp:posOffset>3027045</wp:posOffset>
                </wp:positionH>
                <wp:positionV relativeFrom="paragraph">
                  <wp:posOffset>1703070</wp:posOffset>
                </wp:positionV>
                <wp:extent cx="2543810" cy="335915"/>
                <wp:effectExtent l="0" t="0" r="0" b="7620"/>
                <wp:wrapNone/>
                <wp:docPr id="1" name="Grupė 2"/>
                <a:graphic xmlns:a="http://schemas.openxmlformats.org/drawingml/2006/main">
                  <a:graphicData uri="http://schemas.microsoft.com/office/word/2010/wordprocessingGroup">
                    <wpg:wgp>
                      <wpg:cNvGrpSpPr/>
                      <wpg:grpSpPr>
                        <a:xfrm>
                          <a:off x="0" y="0"/>
                          <a:ext cx="2543040" cy="335160"/>
                          <a:chOff x="3026880" y="1703160"/>
                          <a:chExt cx="2543040" cy="335160"/>
                        </a:xfrm>
                      </wpg:grpSpPr>
                      <wps:wsp>
                        <wps:cNvSpPr/>
                        <wps:spPr>
                          <a:xfrm>
                            <a:off x="0" y="23040"/>
                            <a:ext cx="361440" cy="304920"/>
                          </a:xfrm>
                          <a:prstGeom prst="rect">
                            <a:avLst/>
                          </a:prstGeom>
                          <a:noFill/>
                          <a:ln w="6350">
                            <a:noFill/>
                          </a:ln>
                        </wps:spPr>
                        <wps:style>
                          <a:lnRef idx="0"/>
                          <a:fillRef idx="0"/>
                          <a:effectRef idx="0"/>
                          <a:fontRef idx="minor"/>
                        </wps:style>
                        <wps:txbx>
                          <w:txbxContent>
                            <w:p>
                              <w:pPr>
                                <w:overflowPunct w:val="false"/>
                                <w:spacing w:before="0" w:after="0" w:lineRule="auto" w:line="240"/>
                                <w:jc w:val="left"/>
                                <w:rPr/>
                              </w:pPr>
                              <w:r>
                                <w:rPr>
                                  <w:kern w:val="2"/>
                                  <w:sz w:val="20"/>
                                  <w:b w:val="false"/>
                                  <w:u w:val="none"/>
                                  <w:dstrike w:val="false"/>
                                  <w:strike w:val="false"/>
                                  <w:i w:val="false"/>
                                  <w:vertAlign w:val="baseline"/>
                                  <w:position w:val="0"/>
                                  <w:spacing w:val="0"/>
                                  <w:szCs w:val="20"/>
                                  <w:bCs w:val="false"/>
                                  <w:iCs w:val="false"/>
                                  <w:smallCaps w:val="false"/>
                                  <w:caps w:val="false"/>
                                  <w:rFonts w:asciiTheme="minorHAnsi" w:cstheme="minorBidi" w:eastAsiaTheme="minorHAnsi" w:hAnsiTheme="minorHAnsi" w:ascii="Times New Roman" w:hAnsi="Times New Roman" w:cs="Times New Roman"/>
                                  <w14:ligatures w14:val="standardContextual"/>
                                </w:rPr>
                                <w:t>*</w:t>
                              </w:r>
                            </w:p>
                          </w:txbxContent>
                        </wps:txbx>
                        <wps:bodyPr horzOverflow="overflow" vertOverflow="overflow">
                          <a:noAutofit/>
                        </wps:bodyPr>
                      </wps:wsp>
                      <wps:wsp>
                        <wps:cNvSpPr/>
                        <wps:spPr>
                          <a:xfrm>
                            <a:off x="706680" y="30600"/>
                            <a:ext cx="361440" cy="304920"/>
                          </a:xfrm>
                          <a:prstGeom prst="rect">
                            <a:avLst/>
                          </a:prstGeom>
                          <a:noFill/>
                          <a:ln w="6350">
                            <a:noFill/>
                          </a:ln>
                        </wps:spPr>
                        <wps:style>
                          <a:lnRef idx="0"/>
                          <a:fillRef idx="0"/>
                          <a:effectRef idx="0"/>
                          <a:fontRef idx="minor"/>
                        </wps:style>
                        <wps:txbx>
                          <w:txbxContent>
                            <w:p>
                              <w:pPr>
                                <w:overflowPunct w:val="false"/>
                                <w:spacing w:before="0" w:after="0" w:lineRule="auto" w:line="240"/>
                                <w:jc w:val="left"/>
                                <w:rPr/>
                              </w:pPr>
                              <w:r>
                                <w:rPr>
                                  <w:kern w:val="2"/>
                                  <w:sz w:val="20"/>
                                  <w:b w:val="false"/>
                                  <w:u w:val="none"/>
                                  <w:dstrike w:val="false"/>
                                  <w:strike w:val="false"/>
                                  <w:i w:val="false"/>
                                  <w:vertAlign w:val="baseline"/>
                                  <w:position w:val="0"/>
                                  <w:spacing w:val="0"/>
                                  <w:szCs w:val="20"/>
                                  <w:bCs w:val="false"/>
                                  <w:iCs w:val="false"/>
                                  <w:smallCaps w:val="false"/>
                                  <w:caps w:val="false"/>
                                  <w:rFonts w:asciiTheme="minorHAnsi" w:cstheme="minorBidi" w:eastAsiaTheme="minorHAnsi" w:hAnsiTheme="minorHAnsi" w:ascii="Times New Roman" w:hAnsi="Times New Roman" w:cs="Times New Roman"/>
                                  <w14:ligatures w14:val="standardContextual"/>
                                </w:rPr>
                                <w:t>**</w:t>
                              </w:r>
                            </w:p>
                          </w:txbxContent>
                        </wps:txbx>
                        <wps:bodyPr horzOverflow="overflow" vertOverflow="overflow">
                          <a:noAutofit/>
                        </wps:bodyPr>
                      </wps:wsp>
                      <wps:wsp>
                        <wps:cNvSpPr/>
                        <wps:spPr>
                          <a:xfrm>
                            <a:off x="1359000" y="23040"/>
                            <a:ext cx="361440" cy="304920"/>
                          </a:xfrm>
                          <a:prstGeom prst="rect">
                            <a:avLst/>
                          </a:prstGeom>
                          <a:noFill/>
                          <a:ln w="6350">
                            <a:noFill/>
                          </a:ln>
                        </wps:spPr>
                        <wps:style>
                          <a:lnRef idx="0"/>
                          <a:fillRef idx="0"/>
                          <a:effectRef idx="0"/>
                          <a:fontRef idx="minor"/>
                        </wps:style>
                        <wps:txbx>
                          <w:txbxContent>
                            <w:p>
                              <w:pPr>
                                <w:overflowPunct w:val="false"/>
                                <w:spacing w:before="0" w:after="0" w:lineRule="auto" w:line="240"/>
                                <w:jc w:val="left"/>
                                <w:rPr/>
                              </w:pPr>
                              <w:r>
                                <w:rPr>
                                  <w:kern w:val="2"/>
                                  <w:sz w:val="20"/>
                                  <w:b w:val="false"/>
                                  <w:u w:val="none"/>
                                  <w:dstrike w:val="false"/>
                                  <w:strike w:val="false"/>
                                  <w:i w:val="false"/>
                                  <w:vertAlign w:val="baseline"/>
                                  <w:position w:val="0"/>
                                  <w:spacing w:val="0"/>
                                  <w:szCs w:val="20"/>
                                  <w:bCs w:val="false"/>
                                  <w:iCs w:val="false"/>
                                  <w:smallCaps w:val="false"/>
                                  <w:caps w:val="false"/>
                                  <w:rFonts w:asciiTheme="minorHAnsi" w:cstheme="minorBidi" w:eastAsiaTheme="minorHAnsi" w:hAnsiTheme="minorHAnsi" w:ascii="Times New Roman" w:hAnsi="Times New Roman" w:cs="Times New Roman"/>
                                  <w14:ligatures w14:val="standardContextual"/>
                                </w:rPr>
                                <w:t>**</w:t>
                              </w:r>
                            </w:p>
                          </w:txbxContent>
                        </wps:txbx>
                        <wps:bodyPr horzOverflow="overflow" vertOverflow="overflow">
                          <a:noAutofit/>
                        </wps:bodyPr>
                      </wps:wsp>
                      <wps:wsp>
                        <wps:cNvSpPr/>
                        <wps:spPr>
                          <a:xfrm>
                            <a:off x="2058120" y="0"/>
                            <a:ext cx="485280" cy="304920"/>
                          </a:xfrm>
                          <a:prstGeom prst="rect">
                            <a:avLst/>
                          </a:prstGeom>
                          <a:noFill/>
                          <a:ln w="6350">
                            <a:noFill/>
                          </a:ln>
                        </wps:spPr>
                        <wps:style>
                          <a:lnRef idx="0"/>
                          <a:fillRef idx="0"/>
                          <a:effectRef idx="0"/>
                          <a:fontRef idx="minor"/>
                        </wps:style>
                        <wps:txbx>
                          <w:txbxContent>
                            <w:p>
                              <w:pPr>
                                <w:overflowPunct w:val="false"/>
                                <w:spacing w:before="0" w:after="0" w:lineRule="auto" w:line="240"/>
                                <w:jc w:val="left"/>
                                <w:rPr/>
                              </w:pPr>
                              <w:r>
                                <w:rPr>
                                  <w:kern w:val="2"/>
                                  <w:sz w:val="20"/>
                                  <w:b w:val="false"/>
                                  <w:u w:val="none"/>
                                  <w:dstrike w:val="false"/>
                                  <w:strike w:val="false"/>
                                  <w:i w:val="false"/>
                                  <w:vertAlign w:val="baseline"/>
                                  <w:position w:val="0"/>
                                  <w:spacing w:val="0"/>
                                  <w:szCs w:val="20"/>
                                  <w:bCs w:val="false"/>
                                  <w:iCs w:val="false"/>
                                  <w:smallCaps w:val="false"/>
                                  <w:caps w:val="false"/>
                                  <w:rFonts w:asciiTheme="minorHAnsi" w:cstheme="minorBidi" w:eastAsiaTheme="minorHAnsi" w:hAnsiTheme="minorHAnsi" w:ascii="Times New Roman" w:hAnsi="Times New Roman" w:cs="Times New Roman"/>
                                  <w14:ligatures w14:val="standardContextual"/>
                                </w:rPr>
                                <w:t>***</w:t>
                              </w:r>
                            </w:p>
                          </w:txbxContent>
                        </wps:txbx>
                        <wps:bodyPr horzOverflow="overflow" vertOverflow="overflow">
                          <a:noAutofit/>
                        </wps:bodyPr>
                      </wps:wsp>
                    </wpg:wgp>
                  </a:graphicData>
                </a:graphic>
              </wp:anchor>
            </w:drawing>
          </mc:Choice>
          <mc:Fallback>
            <w:pict>
              <v:group id="shape_0" alt="Grupė 2" style="position:absolute;margin-left:238.35pt;margin-top:134.1pt;width:200.25pt;height:26.45pt" coordorigin="4767,2682" coordsize="4005,529">
                <v:rect id="shape_0" ID="Teksto laukas 1" path="m0,0l-2147483645,0l-2147483645,-2147483646l0,-2147483646xe" stroked="f" style="position:absolute;left:4767;top:2718;width:568;height:479;mso-wrap-style:square;v-text-anchor:top">
                  <v:textbox>
                    <w:txbxContent>
                      <w:p>
                        <w:pPr>
                          <w:overflowPunct w:val="false"/>
                          <w:spacing w:before="0" w:after="0" w:lineRule="auto" w:line="240"/>
                          <w:jc w:val="left"/>
                          <w:rPr/>
                        </w:pPr>
                        <w:r>
                          <w:rPr>
                            <w:kern w:val="2"/>
                            <w:sz w:val="20"/>
                            <w:b w:val="false"/>
                            <w:u w:val="none"/>
                            <w:dstrike w:val="false"/>
                            <w:strike w:val="false"/>
                            <w:i w:val="false"/>
                            <w:vertAlign w:val="baseline"/>
                            <w:position w:val="0"/>
                            <w:spacing w:val="0"/>
                            <w:szCs w:val="20"/>
                            <w:bCs w:val="false"/>
                            <w:iCs w:val="false"/>
                            <w:smallCaps w:val="false"/>
                            <w:caps w:val="false"/>
                            <w:rFonts w:asciiTheme="minorHAnsi" w:cstheme="minorBidi" w:eastAsiaTheme="minorHAnsi" w:hAnsiTheme="minorHAnsi" w:ascii="Times New Roman" w:hAnsi="Times New Roman" w:cs="Times New Roman"/>
                            <w14:ligatures w14:val="standardContextual"/>
                          </w:rPr>
                          <w:t>*</w:t>
                        </w:r>
                      </w:p>
                    </w:txbxContent>
                  </v:textbox>
                  <v:fill o:detectmouseclick="t" on="false"/>
                  <v:stroke color="#3465a4" weight="6480" joinstyle="round" endcap="flat"/>
                  <w10:wrap type="none"/>
                </v:rect>
                <v:rect id="shape_0" ID="Teksto laukas 1" path="m0,0l-2147483645,0l-2147483645,-2147483646l0,-2147483646xe" stroked="f" style="position:absolute;left:5880;top:2730;width:568;height:479;mso-wrap-style:square;v-text-anchor:top">
                  <v:textbox>
                    <w:txbxContent>
                      <w:p>
                        <w:pPr>
                          <w:overflowPunct w:val="false"/>
                          <w:spacing w:before="0" w:after="0" w:lineRule="auto" w:line="240"/>
                          <w:jc w:val="left"/>
                          <w:rPr/>
                        </w:pPr>
                        <w:r>
                          <w:rPr>
                            <w:kern w:val="2"/>
                            <w:sz w:val="20"/>
                            <w:b w:val="false"/>
                            <w:u w:val="none"/>
                            <w:dstrike w:val="false"/>
                            <w:strike w:val="false"/>
                            <w:i w:val="false"/>
                            <w:vertAlign w:val="baseline"/>
                            <w:position w:val="0"/>
                            <w:spacing w:val="0"/>
                            <w:szCs w:val="20"/>
                            <w:bCs w:val="false"/>
                            <w:iCs w:val="false"/>
                            <w:smallCaps w:val="false"/>
                            <w:caps w:val="false"/>
                            <w:rFonts w:asciiTheme="minorHAnsi" w:cstheme="minorBidi" w:eastAsiaTheme="minorHAnsi" w:hAnsiTheme="minorHAnsi" w:ascii="Times New Roman" w:hAnsi="Times New Roman" w:cs="Times New Roman"/>
                            <w14:ligatures w14:val="standardContextual"/>
                          </w:rPr>
                          <w:t>**</w:t>
                        </w:r>
                      </w:p>
                    </w:txbxContent>
                  </v:textbox>
                  <v:fill o:detectmouseclick="t" on="false"/>
                  <v:stroke color="#3465a4" weight="6480" joinstyle="round" endcap="flat"/>
                </v:rect>
                <v:rect id="shape_0" ID="Teksto laukas 1" path="m0,0l-2147483645,0l-2147483645,-2147483646l0,-2147483646xe" stroked="f" style="position:absolute;left:6907;top:2718;width:568;height:479;mso-wrap-style:square;v-text-anchor:top">
                  <v:textbox>
                    <w:txbxContent>
                      <w:p>
                        <w:pPr>
                          <w:overflowPunct w:val="false"/>
                          <w:spacing w:before="0" w:after="0" w:lineRule="auto" w:line="240"/>
                          <w:jc w:val="left"/>
                          <w:rPr/>
                        </w:pPr>
                        <w:r>
                          <w:rPr>
                            <w:kern w:val="2"/>
                            <w:sz w:val="20"/>
                            <w:b w:val="false"/>
                            <w:u w:val="none"/>
                            <w:dstrike w:val="false"/>
                            <w:strike w:val="false"/>
                            <w:i w:val="false"/>
                            <w:vertAlign w:val="baseline"/>
                            <w:position w:val="0"/>
                            <w:spacing w:val="0"/>
                            <w:szCs w:val="20"/>
                            <w:bCs w:val="false"/>
                            <w:iCs w:val="false"/>
                            <w:smallCaps w:val="false"/>
                            <w:caps w:val="false"/>
                            <w:rFonts w:asciiTheme="minorHAnsi" w:cstheme="minorBidi" w:eastAsiaTheme="minorHAnsi" w:hAnsiTheme="minorHAnsi" w:ascii="Times New Roman" w:hAnsi="Times New Roman" w:cs="Times New Roman"/>
                            <w14:ligatures w14:val="standardContextual"/>
                          </w:rPr>
                          <w:t>**</w:t>
                        </w:r>
                      </w:p>
                    </w:txbxContent>
                  </v:textbox>
                  <v:fill o:detectmouseclick="t" on="false"/>
                  <v:stroke color="#3465a4" weight="6480" joinstyle="round" endcap="flat"/>
                </v:rect>
                <v:rect id="shape_0" ID="Teksto laukas 1" path="m0,0l-2147483645,0l-2147483645,-2147483646l0,-2147483646xe" stroked="f" style="position:absolute;left:8008;top:2682;width:763;height:479;mso-wrap-style:square;v-text-anchor:top">
                  <v:textbox>
                    <w:txbxContent>
                      <w:p>
                        <w:pPr>
                          <w:overflowPunct w:val="false"/>
                          <w:spacing w:before="0" w:after="0" w:lineRule="auto" w:line="240"/>
                          <w:jc w:val="left"/>
                          <w:rPr/>
                        </w:pPr>
                        <w:r>
                          <w:rPr>
                            <w:kern w:val="2"/>
                            <w:sz w:val="20"/>
                            <w:b w:val="false"/>
                            <w:u w:val="none"/>
                            <w:dstrike w:val="false"/>
                            <w:strike w:val="false"/>
                            <w:i w:val="false"/>
                            <w:vertAlign w:val="baseline"/>
                            <w:position w:val="0"/>
                            <w:spacing w:val="0"/>
                            <w:szCs w:val="20"/>
                            <w:bCs w:val="false"/>
                            <w:iCs w:val="false"/>
                            <w:smallCaps w:val="false"/>
                            <w:caps w:val="false"/>
                            <w:rFonts w:asciiTheme="minorHAnsi" w:cstheme="minorBidi" w:eastAsiaTheme="minorHAnsi" w:hAnsiTheme="minorHAnsi" w:ascii="Times New Roman" w:hAnsi="Times New Roman" w:cs="Times New Roman"/>
                            <w14:ligatures w14:val="standardContextual"/>
                          </w:rPr>
                          <w:t>***</w:t>
                        </w:r>
                      </w:p>
                    </w:txbxContent>
                  </v:textbox>
                  <v:fill o:detectmouseclick="t" on="false"/>
                  <v:stroke color="#3465a4" weight="6480" joinstyle="round" endcap="flat"/>
                </v:rect>
              </v:group>
            </w:pict>
          </mc:Fallback>
        </mc:AlternateContent>
        <w:drawing>
          <wp:inline distT="0" distB="0" distL="0" distR="0">
            <wp:extent cx="6179820" cy="2887980"/>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Normal"/>
        <w:spacing w:lineRule="auto" w:line="240" w:before="0" w:after="0"/>
        <w:ind w:left="720" w:hanging="0"/>
        <w:jc w:val="both"/>
        <w:rPr>
          <w:rFonts w:ascii="Times New Roman" w:hAnsi="Times New Roman" w:cs="Times New Roman"/>
          <w:sz w:val="20"/>
          <w:szCs w:val="20"/>
        </w:rPr>
      </w:pPr>
      <w:r>
        <w:rPr>
          <w:rFonts w:cs="Times New Roman" w:ascii="Times New Roman" w:hAnsi="Times New Roman"/>
          <w:sz w:val="20"/>
          <w:szCs w:val="20"/>
        </w:rPr>
        <w:t>*- dėl nepalankios tymų epidemiologinės situacijos vykdyta mažiau stebėjimų;</w:t>
      </w:r>
    </w:p>
    <w:p>
      <w:pPr>
        <w:pStyle w:val="Normal"/>
        <w:spacing w:lineRule="auto" w:line="240" w:before="0" w:after="0"/>
        <w:ind w:left="720" w:hanging="0"/>
        <w:jc w:val="both"/>
        <w:rPr>
          <w:rFonts w:ascii="Times New Roman" w:hAnsi="Times New Roman" w:cs="Times New Roman"/>
          <w:sz w:val="20"/>
          <w:szCs w:val="20"/>
        </w:rPr>
      </w:pPr>
      <w:r>
        <w:rPr>
          <w:rFonts w:cs="Times New Roman" w:ascii="Times New Roman" w:hAnsi="Times New Roman"/>
          <w:sz w:val="20"/>
          <w:szCs w:val="20"/>
        </w:rPr>
        <w:t>**- dėl COVID-19 ligos (koronaviruso infekcijos) pandemijos veikla nevykdyta;</w:t>
      </w:r>
    </w:p>
    <w:p>
      <w:pPr>
        <w:pStyle w:val="Normal"/>
        <w:spacing w:lineRule="auto" w:line="240" w:before="0" w:after="0"/>
        <w:ind w:left="720" w:hanging="0"/>
        <w:jc w:val="both"/>
        <w:rPr>
          <w:rFonts w:ascii="Times New Roman" w:hAnsi="Times New Roman" w:cs="Times New Roman"/>
          <w:sz w:val="20"/>
          <w:szCs w:val="20"/>
        </w:rPr>
      </w:pPr>
      <w:r>
        <w:rPr>
          <w:rFonts w:cs="Times New Roman" w:ascii="Times New Roman" w:hAnsi="Times New Roman"/>
          <w:sz w:val="20"/>
          <w:szCs w:val="20"/>
        </w:rPr>
        <w:t>***- pateikti vieno stebėjimo duomenys Kėdainių r. stacionare;</w:t>
      </w:r>
    </w:p>
    <w:p>
      <w:pPr>
        <w:pStyle w:val="Normal"/>
        <w:spacing w:lineRule="auto" w:line="240" w:before="0" w:after="0"/>
        <w:ind w:left="72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jc w:val="center"/>
        <w:rPr>
          <w:rFonts w:ascii="Times New Roman" w:hAnsi="Times New Roman" w:cs="Times New Roman"/>
          <w:b/>
          <w:b/>
          <w:bCs/>
          <w:i/>
          <w:i/>
          <w:iCs/>
          <w:sz w:val="24"/>
          <w:szCs w:val="24"/>
        </w:rPr>
      </w:pPr>
      <w:r>
        <w:rPr>
          <w:rFonts w:cs="Times New Roman" w:ascii="Times New Roman" w:hAnsi="Times New Roman"/>
          <w:b/>
          <w:bCs/>
          <w:i/>
          <w:iCs/>
          <w:sz w:val="24"/>
          <w:szCs w:val="24"/>
        </w:rPr>
        <w:t>1.1.1 pav. Erkių gausos dinamika Kauno apskrities stebėjimo stacionaruose 2017-2023 m.</w:t>
      </w:r>
    </w:p>
    <w:p>
      <w:pPr>
        <w:pStyle w:val="ListParagraph"/>
        <w:numPr>
          <w:ilvl w:val="1"/>
          <w:numId w:val="1"/>
        </w:numPr>
        <w:spacing w:lineRule="auto" w:line="240" w:before="0" w:afterAutospacing="1"/>
        <w:ind w:left="420" w:hanging="420"/>
        <w:contextualSpacing/>
        <w:jc w:val="center"/>
        <w:rPr>
          <w:rFonts w:ascii="Times New Roman" w:hAnsi="Times New Roman" w:cs="Times New Roman"/>
          <w:b/>
          <w:b/>
          <w:bCs/>
          <w:sz w:val="24"/>
          <w:szCs w:val="24"/>
        </w:rPr>
      </w:pPr>
      <w:r>
        <w:rPr>
          <w:rFonts w:cs="Times New Roman" w:ascii="Times New Roman" w:hAnsi="Times New Roman"/>
          <w:b/>
          <w:bCs/>
          <w:sz w:val="24"/>
          <w:szCs w:val="24"/>
        </w:rPr>
        <w:t>Sergamumas erkių platinamomis ligomis Kauno apskrityje</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Sergamumas EPL tiesiogiai siejasi su erkių aktyvumu ir gausa. Sergamumas Kauno apskrityje Laimo liga (toliau – LL) vidutiniškai 5-6 kartus didesnis nei erkiniu encefalitu (toliau – EE). Sergamumas EE 2023 m. lyginant su 2022 m. padidėjo 41 proc., o LL – 5 proc. 2023 m. sergamumas tiek EE, tiek LL Kauno apskrityje buvo didesnis nei Lietuvoje (1.2.1 ir 1.2.2 pav.).</w:t>
      </w:r>
    </w:p>
    <w:p>
      <w:pPr>
        <w:pStyle w:val="Normal"/>
        <w:spacing w:lineRule="auto" w:line="240"/>
        <w:rPr/>
      </w:pPr>
      <w:r>
        <w:rPr/>
      </w:r>
    </w:p>
    <w:p>
      <w:pPr>
        <w:pStyle w:val="Normal"/>
        <w:spacing w:lineRule="auto" w:line="240"/>
        <w:jc w:val="center"/>
        <w:rPr/>
      </w:pPr>
      <w:r>
        <w:rPr/>
        <w:drawing>
          <wp:inline distT="0" distB="0" distL="0" distR="0">
            <wp:extent cx="5429250" cy="3343275"/>
            <wp:effectExtent l="0" t="0" r="0" b="0"/>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spacing w:lineRule="auto" w:line="240"/>
        <w:jc w:val="center"/>
        <w:rPr>
          <w:rFonts w:ascii="Times New Roman" w:hAnsi="Times New Roman" w:cs="Times New Roman"/>
          <w:b/>
          <w:b/>
          <w:bCs/>
          <w:i/>
          <w:i/>
          <w:iCs/>
          <w:sz w:val="24"/>
          <w:szCs w:val="24"/>
        </w:rPr>
      </w:pPr>
      <w:r>
        <w:rPr>
          <w:rFonts w:cs="Times New Roman" w:ascii="Times New Roman" w:hAnsi="Times New Roman"/>
          <w:b/>
          <w:bCs/>
          <w:i/>
          <w:iCs/>
          <w:sz w:val="24"/>
          <w:szCs w:val="24"/>
        </w:rPr>
        <w:t xml:space="preserve">1.2.1 pav. </w:t>
      </w:r>
      <w:bookmarkStart w:id="0" w:name="_Hlk161833514"/>
      <w:r>
        <w:rPr>
          <w:rFonts w:cs="Times New Roman" w:ascii="Times New Roman" w:hAnsi="Times New Roman"/>
          <w:b/>
          <w:bCs/>
          <w:i/>
          <w:iCs/>
          <w:sz w:val="24"/>
          <w:szCs w:val="24"/>
        </w:rPr>
        <w:t>Sergamumo EE dinamika Kauno apskrityje ir Lietuvoje 2017-2023 m</w:t>
      </w:r>
      <w:bookmarkEnd w:id="0"/>
      <w:r>
        <w:rPr>
          <w:rFonts w:cs="Times New Roman" w:ascii="Times New Roman" w:hAnsi="Times New Roman"/>
          <w:b/>
          <w:bCs/>
          <w:i/>
          <w:iCs/>
          <w:sz w:val="24"/>
          <w:szCs w:val="24"/>
        </w:rPr>
        <w:t>.</w:t>
      </w:r>
    </w:p>
    <w:p>
      <w:pPr>
        <w:pStyle w:val="Normal"/>
        <w:spacing w:lineRule="auto" w:line="240"/>
        <w:rPr/>
      </w:pPr>
      <w:r>
        <w:rPr/>
      </w:r>
    </w:p>
    <w:p>
      <w:pPr>
        <w:pStyle w:val="Normal"/>
        <w:spacing w:lineRule="auto" w:line="240"/>
        <w:jc w:val="center"/>
        <w:rPr/>
      </w:pPr>
      <w:r>
        <w:rPr/>
        <w:drawing>
          <wp:inline distT="0" distB="0" distL="0" distR="0">
            <wp:extent cx="5467350" cy="3533775"/>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Normal"/>
        <w:spacing w:lineRule="auto" w:line="240"/>
        <w:jc w:val="center"/>
        <w:rPr>
          <w:rFonts w:ascii="Times New Roman" w:hAnsi="Times New Roman" w:cs="Times New Roman"/>
          <w:b/>
          <w:b/>
          <w:bCs/>
          <w:i/>
          <w:i/>
          <w:iCs/>
          <w:sz w:val="24"/>
          <w:szCs w:val="24"/>
        </w:rPr>
      </w:pPr>
      <w:r>
        <w:rPr>
          <w:rFonts w:cs="Times New Roman" w:ascii="Times New Roman" w:hAnsi="Times New Roman"/>
          <w:b/>
          <w:bCs/>
          <w:i/>
          <w:iCs/>
          <w:sz w:val="24"/>
          <w:szCs w:val="24"/>
        </w:rPr>
        <w:t>1.2.2 pav. Sergamumo LL dinamika Kauno apskrityje ir Lietuvoje 2017-2023 m</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Sergamumas EE ir LL 2017-2023 m. Kauno apskrities savivaldybėse bei jo pokyčiai pateikti 1.2.1 ir 1.2.2 lentelėse. 2023 m. vienas didžiausių sergamumo rodiklių EE Kauno apskrities teritorijoje nustatytas Raseinių r. ir Kaišiadorių r. savivaldybėse. Vertinant sergamumą LL – didžiausias Birštono sav. ir net 2-4 kartus viršija sergamumą kitose Kauno apskrities savivaldybėse.</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Visose Kauno apskrities savivaldybėse, išskyrus Kėdainių r., 2023 m. stebėtas sergamumo EE didėjimas. Sergamumas LL didėjo 5 savivaldybėse iš 8, Raseinių r. net 83,7 proc., lyginant su 2022 m.</w:t>
      </w:r>
    </w:p>
    <w:p>
      <w:pPr>
        <w:pStyle w:val="Normal"/>
        <w:spacing w:lineRule="auto" w:line="240" w:before="0" w:after="0"/>
        <w:ind w:firstLine="720"/>
        <w:jc w:val="both"/>
        <w:rPr>
          <w:rFonts w:ascii="Times New Roman" w:hAnsi="Times New Roman" w:cs="Times New Roman"/>
          <w:b/>
          <w:b/>
          <w:bCs/>
          <w:i/>
          <w:i/>
          <w:iCs/>
          <w:sz w:val="24"/>
          <w:szCs w:val="24"/>
        </w:rPr>
      </w:pPr>
      <w:r>
        <w:rPr>
          <w:rFonts w:cs="Times New Roman" w:ascii="Times New Roman" w:hAnsi="Times New Roman"/>
          <w:b/>
          <w:bCs/>
          <w:i/>
          <w:iCs/>
          <w:sz w:val="24"/>
          <w:szCs w:val="24"/>
        </w:rPr>
      </w:r>
    </w:p>
    <w:p>
      <w:pPr>
        <w:pStyle w:val="Normal"/>
        <w:spacing w:lineRule="auto" w:line="240" w:before="0" w:afterAutospacing="1"/>
        <w:ind w:left="720" w:hanging="0"/>
        <w:jc w:val="center"/>
        <w:rPr>
          <w:rFonts w:ascii="Times New Roman" w:hAnsi="Times New Roman" w:cs="Times New Roman"/>
          <w:b/>
          <w:b/>
          <w:bCs/>
          <w:i/>
          <w:i/>
          <w:iCs/>
          <w:sz w:val="20"/>
          <w:szCs w:val="20"/>
        </w:rPr>
      </w:pPr>
      <w:r>
        <w:rPr>
          <w:rFonts w:cs="Times New Roman" w:ascii="Times New Roman" w:hAnsi="Times New Roman"/>
          <w:b/>
          <w:bCs/>
          <w:i/>
          <w:iCs/>
          <w:sz w:val="24"/>
          <w:szCs w:val="24"/>
        </w:rPr>
        <w:t xml:space="preserve">1.2.1 lentelė. Sergamumas EE Kauno apskrities savivaldybėse 2017-2023 m. </w:t>
        <w:br/>
      </w:r>
      <w:r>
        <w:rPr>
          <w:rFonts w:cs="Times New Roman" w:ascii="Times New Roman" w:hAnsi="Times New Roman"/>
          <w:b/>
          <w:bCs/>
          <w:i/>
          <w:iCs/>
          <w:sz w:val="20"/>
          <w:szCs w:val="20"/>
        </w:rPr>
        <w:t>(atv. sk. / 10 tūkst. gyv.)</w:t>
      </w:r>
    </w:p>
    <w:tbl>
      <w:tblPr>
        <w:tblStyle w:val="Lentelstinklelis"/>
        <w:tblW w:w="891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84"/>
        <w:gridCol w:w="726"/>
        <w:gridCol w:w="725"/>
        <w:gridCol w:w="727"/>
        <w:gridCol w:w="726"/>
        <w:gridCol w:w="725"/>
        <w:gridCol w:w="727"/>
        <w:gridCol w:w="1032"/>
        <w:gridCol w:w="1841"/>
      </w:tblGrid>
      <w:tr>
        <w:trPr/>
        <w:tc>
          <w:tcPr>
            <w:tcW w:w="1684" w:type="dxa"/>
            <w:tcBorders/>
            <w:shd w:color="auto" w:fill="D78972"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Savivaldybė</w:t>
            </w:r>
          </w:p>
        </w:tc>
        <w:tc>
          <w:tcPr>
            <w:tcW w:w="726" w:type="dxa"/>
            <w:tcBorders/>
            <w:shd w:color="auto" w:fill="D78972"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2017</w:t>
            </w:r>
          </w:p>
        </w:tc>
        <w:tc>
          <w:tcPr>
            <w:tcW w:w="725" w:type="dxa"/>
            <w:tcBorders/>
            <w:shd w:color="auto" w:fill="D78972"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2018</w:t>
            </w:r>
          </w:p>
        </w:tc>
        <w:tc>
          <w:tcPr>
            <w:tcW w:w="727" w:type="dxa"/>
            <w:tcBorders/>
            <w:shd w:color="auto" w:fill="D78972"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2019</w:t>
            </w:r>
          </w:p>
        </w:tc>
        <w:tc>
          <w:tcPr>
            <w:tcW w:w="726" w:type="dxa"/>
            <w:tcBorders/>
            <w:shd w:color="auto" w:fill="D78972"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2020</w:t>
            </w:r>
          </w:p>
        </w:tc>
        <w:tc>
          <w:tcPr>
            <w:tcW w:w="725" w:type="dxa"/>
            <w:tcBorders/>
            <w:shd w:color="auto" w:fill="D78972"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2021</w:t>
            </w:r>
          </w:p>
        </w:tc>
        <w:tc>
          <w:tcPr>
            <w:tcW w:w="727" w:type="dxa"/>
            <w:tcBorders/>
            <w:shd w:color="auto" w:fill="D78972"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2022</w:t>
            </w:r>
          </w:p>
        </w:tc>
        <w:tc>
          <w:tcPr>
            <w:tcW w:w="1032" w:type="dxa"/>
            <w:tcBorders/>
            <w:shd w:color="auto" w:fill="D78972"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2023</w:t>
            </w:r>
          </w:p>
        </w:tc>
        <w:tc>
          <w:tcPr>
            <w:tcW w:w="1841" w:type="dxa"/>
            <w:tcBorders/>
            <w:shd w:color="auto" w:fill="D78972" w:val="clea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Pokytis 2022/2023 m. (proc. / kartais)</w:t>
            </w:r>
          </w:p>
        </w:tc>
      </w:tr>
      <w:tr>
        <w:trPr/>
        <w:tc>
          <w:tcPr>
            <w:tcW w:w="1684" w:type="dxa"/>
            <w:tcBorders/>
            <w:shd w:color="auto" w:fill="F3DCD5"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Kauno m.</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2,50</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1,90</w:t>
            </w:r>
          </w:p>
        </w:tc>
        <w:tc>
          <w:tcPr>
            <w:tcW w:w="72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1,70</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2,02</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0,83</w:t>
            </w:r>
          </w:p>
        </w:tc>
        <w:tc>
          <w:tcPr>
            <w:tcW w:w="727"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0,93</w:t>
            </w:r>
          </w:p>
        </w:tc>
        <w:tc>
          <w:tcPr>
            <w:tcW w:w="1032" w:type="dxa"/>
            <w:tcBorders/>
            <w:shd w:color="auto" w:fill="auto" w:val="clear"/>
            <w:vAlign w:val="bottom"/>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1,64</w:t>
            </w:r>
          </w:p>
        </w:tc>
        <w:tc>
          <w:tcPr>
            <w:tcW w:w="1841" w:type="dxa"/>
            <w:tcBorders/>
            <w:vAlign w:val="center"/>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+76,6 proc.</w:t>
            </w:r>
          </w:p>
        </w:tc>
      </w:tr>
      <w:tr>
        <w:trPr/>
        <w:tc>
          <w:tcPr>
            <w:tcW w:w="1684" w:type="dxa"/>
            <w:tcBorders/>
            <w:shd w:color="auto" w:fill="F3DCD5"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Kauno r.</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2,70</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1,90</w:t>
            </w:r>
          </w:p>
        </w:tc>
        <w:tc>
          <w:tcPr>
            <w:tcW w:w="72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1,60</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2,24</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1,28</w:t>
            </w:r>
          </w:p>
        </w:tc>
        <w:tc>
          <w:tcPr>
            <w:tcW w:w="727"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1,34</w:t>
            </w:r>
          </w:p>
        </w:tc>
        <w:tc>
          <w:tcPr>
            <w:tcW w:w="1032" w:type="dxa"/>
            <w:tcBorders>
              <w:top w:val="nil"/>
            </w:tcBorders>
            <w:shd w:color="auto" w:fill="auto" w:val="clear"/>
            <w:vAlign w:val="bottom"/>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2,90</w:t>
            </w:r>
          </w:p>
        </w:tc>
        <w:tc>
          <w:tcPr>
            <w:tcW w:w="1841" w:type="dxa"/>
            <w:tcBorders/>
            <w:vAlign w:val="center"/>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+2,2 karto</w:t>
            </w:r>
          </w:p>
        </w:tc>
      </w:tr>
      <w:tr>
        <w:trPr/>
        <w:tc>
          <w:tcPr>
            <w:tcW w:w="1684" w:type="dxa"/>
            <w:tcBorders/>
            <w:shd w:color="auto" w:fill="F3DCD5"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Kėdainių r.</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2,30</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1,70</w:t>
            </w:r>
          </w:p>
        </w:tc>
        <w:tc>
          <w:tcPr>
            <w:tcW w:w="72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0,43</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1,73</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0,43</w:t>
            </w:r>
          </w:p>
        </w:tc>
        <w:tc>
          <w:tcPr>
            <w:tcW w:w="727"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3,05</w:t>
            </w:r>
          </w:p>
        </w:tc>
        <w:tc>
          <w:tcPr>
            <w:tcW w:w="1032" w:type="dxa"/>
            <w:tcBorders/>
            <w:shd w:color="auto" w:fill="auto" w:val="clea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1,95</w:t>
            </w:r>
          </w:p>
        </w:tc>
        <w:tc>
          <w:tcPr>
            <w:tcW w:w="1841" w:type="dxa"/>
            <w:tcBorders/>
            <w:vAlign w:val="center"/>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-36,1 proc.</w:t>
            </w:r>
          </w:p>
        </w:tc>
      </w:tr>
      <w:tr>
        <w:trPr/>
        <w:tc>
          <w:tcPr>
            <w:tcW w:w="1684" w:type="dxa"/>
            <w:tcBorders/>
            <w:shd w:color="auto" w:fill="F3DCD5"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Jonavos r.</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3,70</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2,60</w:t>
            </w:r>
          </w:p>
        </w:tc>
        <w:tc>
          <w:tcPr>
            <w:tcW w:w="72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1,70</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3,59</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1,67</w:t>
            </w:r>
          </w:p>
        </w:tc>
        <w:tc>
          <w:tcPr>
            <w:tcW w:w="727"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0,97</w:t>
            </w:r>
          </w:p>
        </w:tc>
        <w:tc>
          <w:tcPr>
            <w:tcW w:w="1032" w:type="dxa"/>
            <w:tcBorders/>
            <w:shd w:color="auto" w:fill="auto" w:val="clear"/>
            <w:vAlign w:val="bottom"/>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2,17</w:t>
            </w:r>
          </w:p>
        </w:tc>
        <w:tc>
          <w:tcPr>
            <w:tcW w:w="1841" w:type="dxa"/>
            <w:tcBorders/>
            <w:vAlign w:val="center"/>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+2,2 karto</w:t>
            </w:r>
          </w:p>
        </w:tc>
      </w:tr>
      <w:tr>
        <w:trPr/>
        <w:tc>
          <w:tcPr>
            <w:tcW w:w="1684" w:type="dxa"/>
            <w:tcBorders/>
            <w:shd w:color="auto" w:fill="F3DCD5"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Kaišiadorių r.</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4,20</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2,30</w:t>
            </w:r>
          </w:p>
        </w:tc>
        <w:tc>
          <w:tcPr>
            <w:tcW w:w="72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1,30</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3,99</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1,66</w:t>
            </w:r>
          </w:p>
        </w:tc>
        <w:tc>
          <w:tcPr>
            <w:tcW w:w="727"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3,42</w:t>
            </w:r>
          </w:p>
        </w:tc>
        <w:tc>
          <w:tcPr>
            <w:tcW w:w="1032" w:type="dxa"/>
            <w:tcBorders>
              <w:top w:val="nil"/>
            </w:tcBorders>
            <w:shd w:color="auto" w:fill="auto" w:val="clear"/>
            <w:vAlign w:val="bottom"/>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5,18</w:t>
            </w:r>
          </w:p>
        </w:tc>
        <w:tc>
          <w:tcPr>
            <w:tcW w:w="1841" w:type="dxa"/>
            <w:tcBorders/>
            <w:vAlign w:val="center"/>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+51,6 proc.</w:t>
            </w:r>
          </w:p>
        </w:tc>
      </w:tr>
      <w:tr>
        <w:trPr/>
        <w:tc>
          <w:tcPr>
            <w:tcW w:w="1684" w:type="dxa"/>
            <w:tcBorders/>
            <w:shd w:color="auto" w:fill="F3DCD5"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Birštono sav.</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2,30</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0,00</w:t>
            </w:r>
          </w:p>
        </w:tc>
        <w:tc>
          <w:tcPr>
            <w:tcW w:w="72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0,00</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0,00</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0,00</w:t>
            </w:r>
          </w:p>
        </w:tc>
        <w:tc>
          <w:tcPr>
            <w:tcW w:w="727"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2,42</w:t>
            </w:r>
          </w:p>
        </w:tc>
        <w:tc>
          <w:tcPr>
            <w:tcW w:w="1032" w:type="dxa"/>
            <w:tcBorders/>
            <w:shd w:color="auto" w:fill="auto" w:val="clea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2,45</w:t>
            </w:r>
          </w:p>
        </w:tc>
        <w:tc>
          <w:tcPr>
            <w:tcW w:w="1841" w:type="dxa"/>
            <w:tcBorders/>
            <w:vAlign w:val="center"/>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+1,1 proc.</w:t>
            </w:r>
          </w:p>
        </w:tc>
      </w:tr>
      <w:tr>
        <w:trPr/>
        <w:tc>
          <w:tcPr>
            <w:tcW w:w="1684" w:type="dxa"/>
            <w:tcBorders/>
            <w:shd w:color="auto" w:fill="F3DCD5"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Prienų r.</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1,10</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2,60</w:t>
            </w:r>
          </w:p>
        </w:tc>
        <w:tc>
          <w:tcPr>
            <w:tcW w:w="72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0,80</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4,94</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0,38</w:t>
            </w:r>
          </w:p>
        </w:tc>
        <w:tc>
          <w:tcPr>
            <w:tcW w:w="727"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3,20</w:t>
            </w:r>
          </w:p>
        </w:tc>
        <w:tc>
          <w:tcPr>
            <w:tcW w:w="1032" w:type="dxa"/>
            <w:tcBorders/>
            <w:shd w:color="auto" w:fill="auto" w:val="clear"/>
            <w:vAlign w:val="bottom"/>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3,63</w:t>
            </w:r>
          </w:p>
        </w:tc>
        <w:tc>
          <w:tcPr>
            <w:tcW w:w="1841" w:type="dxa"/>
            <w:tcBorders/>
            <w:vAlign w:val="center"/>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+13,4 proc.</w:t>
            </w:r>
          </w:p>
        </w:tc>
      </w:tr>
      <w:tr>
        <w:trPr/>
        <w:tc>
          <w:tcPr>
            <w:tcW w:w="1684" w:type="dxa"/>
            <w:tcBorders/>
            <w:shd w:color="auto" w:fill="F3DCD5"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Raseinių r.</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4,10</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1,50</w:t>
            </w:r>
          </w:p>
        </w:tc>
        <w:tc>
          <w:tcPr>
            <w:tcW w:w="72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1,60</w:t>
            </w:r>
          </w:p>
        </w:tc>
        <w:tc>
          <w:tcPr>
            <w:tcW w:w="7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2,17</w:t>
            </w:r>
          </w:p>
        </w:tc>
        <w:tc>
          <w:tcPr>
            <w:tcW w:w="7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1,86</w:t>
            </w:r>
          </w:p>
        </w:tc>
        <w:tc>
          <w:tcPr>
            <w:tcW w:w="727"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5,93</w:t>
            </w:r>
          </w:p>
        </w:tc>
        <w:tc>
          <w:tcPr>
            <w:tcW w:w="1032" w:type="dxa"/>
            <w:tcBorders>
              <w:top w:val="nil"/>
            </w:tcBorders>
            <w:shd w:color="auto" w:fill="auto" w:val="clear"/>
            <w:vAlign w:val="bottom"/>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5,96</w:t>
            </w:r>
          </w:p>
        </w:tc>
        <w:tc>
          <w:tcPr>
            <w:tcW w:w="1841" w:type="dxa"/>
            <w:tcBorders/>
            <w:vAlign w:val="center"/>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+0,5 proc.</w:t>
            </w:r>
            <w:bookmarkStart w:id="1" w:name="_Hlk71287287"/>
            <w:bookmarkEnd w:id="1"/>
          </w:p>
        </w:tc>
      </w:tr>
    </w:tbl>
    <w:p>
      <w:pPr>
        <w:pStyle w:val="Normal"/>
        <w:spacing w:lineRule="auto" w:line="240" w:before="0" w:after="0"/>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0"/>
        <w:jc w:val="center"/>
        <w:rPr>
          <w:rFonts w:ascii="Times New Roman" w:hAnsi="Times New Roman" w:cs="Times New Roman"/>
          <w:b/>
          <w:b/>
          <w:bCs/>
          <w:i/>
          <w:i/>
          <w:iCs/>
          <w:sz w:val="20"/>
          <w:szCs w:val="20"/>
        </w:rPr>
      </w:pPr>
      <w:r>
        <w:rPr>
          <w:rFonts w:cs="Times New Roman" w:ascii="Times New Roman" w:hAnsi="Times New Roman"/>
          <w:b/>
          <w:bCs/>
          <w:i/>
          <w:iCs/>
          <w:sz w:val="24"/>
          <w:szCs w:val="24"/>
        </w:rPr>
        <w:t xml:space="preserve">1.2.2 lentelė. Sergamumas LL Kauno apskrities savivaldybėse 2017-2023 m. </w:t>
        <w:br/>
      </w:r>
      <w:r>
        <w:rPr>
          <w:rFonts w:cs="Times New Roman" w:ascii="Times New Roman" w:hAnsi="Times New Roman"/>
          <w:b/>
          <w:bCs/>
          <w:i/>
          <w:iCs/>
          <w:sz w:val="20"/>
          <w:szCs w:val="20"/>
        </w:rPr>
        <w:t>(atv. sk. / 10 tūkst. gyv.)</w:t>
        <w:br/>
      </w:r>
    </w:p>
    <w:tbl>
      <w:tblPr>
        <w:tblStyle w:val="Lentelstinklelis"/>
        <w:tblW w:w="891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82"/>
        <w:gridCol w:w="727"/>
        <w:gridCol w:w="725"/>
        <w:gridCol w:w="727"/>
        <w:gridCol w:w="725"/>
        <w:gridCol w:w="727"/>
        <w:gridCol w:w="725"/>
        <w:gridCol w:w="1032"/>
        <w:gridCol w:w="1842"/>
      </w:tblGrid>
      <w:tr>
        <w:trPr/>
        <w:tc>
          <w:tcPr>
            <w:tcW w:w="1682" w:type="dxa"/>
            <w:tcBorders/>
            <w:shd w:color="auto" w:fill="79826F"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Savivaldybė</w:t>
            </w:r>
          </w:p>
        </w:tc>
        <w:tc>
          <w:tcPr>
            <w:tcW w:w="727" w:type="dxa"/>
            <w:tcBorders/>
            <w:shd w:color="auto" w:fill="79826F"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2017</w:t>
            </w:r>
          </w:p>
        </w:tc>
        <w:tc>
          <w:tcPr>
            <w:tcW w:w="725" w:type="dxa"/>
            <w:tcBorders/>
            <w:shd w:color="auto" w:fill="79826F"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2018</w:t>
            </w:r>
          </w:p>
        </w:tc>
        <w:tc>
          <w:tcPr>
            <w:tcW w:w="727" w:type="dxa"/>
            <w:tcBorders/>
            <w:shd w:color="auto" w:fill="79826F"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2019</w:t>
            </w:r>
          </w:p>
        </w:tc>
        <w:tc>
          <w:tcPr>
            <w:tcW w:w="725" w:type="dxa"/>
            <w:tcBorders/>
            <w:shd w:color="auto" w:fill="79826F"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2020</w:t>
            </w:r>
          </w:p>
        </w:tc>
        <w:tc>
          <w:tcPr>
            <w:tcW w:w="727" w:type="dxa"/>
            <w:tcBorders/>
            <w:shd w:color="auto" w:fill="79826F"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2021</w:t>
            </w:r>
          </w:p>
        </w:tc>
        <w:tc>
          <w:tcPr>
            <w:tcW w:w="725" w:type="dxa"/>
            <w:tcBorders/>
            <w:shd w:color="auto" w:fill="79826F"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2022</w:t>
            </w:r>
          </w:p>
        </w:tc>
        <w:tc>
          <w:tcPr>
            <w:tcW w:w="1032" w:type="dxa"/>
            <w:tcBorders/>
            <w:shd w:color="auto" w:fill="79826F"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2023</w:t>
            </w:r>
          </w:p>
        </w:tc>
        <w:tc>
          <w:tcPr>
            <w:tcW w:w="1842" w:type="dxa"/>
            <w:tcBorders/>
            <w:shd w:color="auto" w:fill="79826F" w:val="clear"/>
            <w:vAlign w:val="center"/>
          </w:tcPr>
          <w:p>
            <w:pPr>
              <w:pStyle w:val="Normal"/>
              <w:widowContro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sz w:val="24"/>
                <w:szCs w:val="24"/>
                <w:lang w:val="lt-LT" w:eastAsia="en-US" w:bidi="ar-SA"/>
              </w:rPr>
              <w:t>Pokytis 2022/2023m. (proc.)</w:t>
            </w:r>
          </w:p>
        </w:tc>
      </w:tr>
      <w:tr>
        <w:trPr/>
        <w:tc>
          <w:tcPr>
            <w:tcW w:w="1682" w:type="dxa"/>
            <w:tcBorders/>
            <w:shd w:color="auto" w:fill="D1D5CD"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Kauno m.</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15,8</w:t>
            </w:r>
          </w:p>
        </w:tc>
        <w:tc>
          <w:tcPr>
            <w:tcW w:w="725" w:type="dxa"/>
            <w:tcBorders/>
          </w:tcPr>
          <w:p>
            <w:pPr>
              <w:pStyle w:val="Normal"/>
              <w:widowControl/>
              <w:tabs>
                <w:tab w:val="clear" w:pos="1296"/>
                <w:tab w:val="decimal" w:pos="24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13,0</w:t>
            </w:r>
          </w:p>
        </w:tc>
        <w:tc>
          <w:tcPr>
            <w:tcW w:w="727" w:type="dxa"/>
            <w:tcBorders/>
          </w:tcPr>
          <w:p>
            <w:pPr>
              <w:pStyle w:val="Normal"/>
              <w:widowControl/>
              <w:tabs>
                <w:tab w:val="clear" w:pos="1296"/>
                <w:tab w:val="decimal" w:pos="21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9,9</w:t>
            </w:r>
          </w:p>
        </w:tc>
        <w:tc>
          <w:tcPr>
            <w:tcW w:w="725" w:type="dxa"/>
            <w:tcBorders/>
          </w:tcPr>
          <w:p>
            <w:pPr>
              <w:pStyle w:val="Normal"/>
              <w:widowControl/>
              <w:tabs>
                <w:tab w:val="clear" w:pos="1296"/>
                <w:tab w:val="decimal" w:pos="27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11,7</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7,6</w:t>
            </w:r>
          </w:p>
        </w:tc>
        <w:tc>
          <w:tcPr>
            <w:tcW w:w="725" w:type="dxa"/>
            <w:tcBorders/>
          </w:tcPr>
          <w:p>
            <w:pPr>
              <w:pStyle w:val="Normal"/>
              <w:widowControl/>
              <w:tabs>
                <w:tab w:val="clear" w:pos="1296"/>
                <w:tab w:val="decimal" w:pos="226" w:leader="none"/>
              </w:tabs>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10,4</w:t>
            </w:r>
          </w:p>
        </w:tc>
        <w:tc>
          <w:tcPr>
            <w:tcW w:w="1032" w:type="dxa"/>
            <w:tcBorders/>
            <w:vAlign w:val="bottom"/>
          </w:tcPr>
          <w:p>
            <w:pPr>
              <w:pStyle w:val="Normal"/>
              <w:widowControl/>
              <w:tabs>
                <w:tab w:val="clear" w:pos="1296"/>
                <w:tab w:val="decimal" w:pos="421" w:leader="none"/>
              </w:tabs>
              <w:spacing w:lineRule="auto" w:line="240" w:before="0" w:after="0"/>
              <w:jc w:val="left"/>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10,1</w:t>
            </w:r>
          </w:p>
        </w:tc>
        <w:tc>
          <w:tcPr>
            <w:tcW w:w="1842" w:type="dxa"/>
            <w:tcBorders/>
            <w:vAlign w:val="bottom"/>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-2,7 proc.</w:t>
            </w:r>
          </w:p>
        </w:tc>
      </w:tr>
      <w:tr>
        <w:trPr/>
        <w:tc>
          <w:tcPr>
            <w:tcW w:w="1682" w:type="dxa"/>
            <w:tcBorders/>
            <w:shd w:color="auto" w:fill="D1D5CD"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Kauno r.</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12,2</w:t>
            </w:r>
          </w:p>
        </w:tc>
        <w:tc>
          <w:tcPr>
            <w:tcW w:w="725" w:type="dxa"/>
            <w:tcBorders/>
          </w:tcPr>
          <w:p>
            <w:pPr>
              <w:pStyle w:val="Normal"/>
              <w:widowControl/>
              <w:tabs>
                <w:tab w:val="clear" w:pos="1296"/>
                <w:tab w:val="decimal" w:pos="24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8,3</w:t>
            </w:r>
          </w:p>
        </w:tc>
        <w:tc>
          <w:tcPr>
            <w:tcW w:w="727" w:type="dxa"/>
            <w:tcBorders/>
          </w:tcPr>
          <w:p>
            <w:pPr>
              <w:pStyle w:val="Normal"/>
              <w:widowControl/>
              <w:tabs>
                <w:tab w:val="clear" w:pos="1296"/>
                <w:tab w:val="decimal" w:pos="21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9,7</w:t>
            </w:r>
          </w:p>
        </w:tc>
        <w:tc>
          <w:tcPr>
            <w:tcW w:w="725" w:type="dxa"/>
            <w:tcBorders/>
          </w:tcPr>
          <w:p>
            <w:pPr>
              <w:pStyle w:val="Normal"/>
              <w:widowControl/>
              <w:tabs>
                <w:tab w:val="clear" w:pos="1296"/>
                <w:tab w:val="decimal" w:pos="27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10,2</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7,2</w:t>
            </w:r>
          </w:p>
        </w:tc>
        <w:tc>
          <w:tcPr>
            <w:tcW w:w="725" w:type="dxa"/>
            <w:tcBorders/>
          </w:tcPr>
          <w:p>
            <w:pPr>
              <w:pStyle w:val="Normal"/>
              <w:widowControl/>
              <w:tabs>
                <w:tab w:val="clear" w:pos="1296"/>
                <w:tab w:val="decimal" w:pos="226" w:leader="none"/>
              </w:tabs>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10,4</w:t>
            </w:r>
          </w:p>
        </w:tc>
        <w:tc>
          <w:tcPr>
            <w:tcW w:w="1032" w:type="dxa"/>
            <w:tcBorders/>
            <w:vAlign w:val="bottom"/>
          </w:tcPr>
          <w:p>
            <w:pPr>
              <w:pStyle w:val="Normal"/>
              <w:widowControl/>
              <w:tabs>
                <w:tab w:val="clear" w:pos="1296"/>
                <w:tab w:val="decimal" w:pos="421" w:leader="none"/>
              </w:tabs>
              <w:spacing w:lineRule="auto" w:line="240" w:before="0" w:after="0"/>
              <w:jc w:val="left"/>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9,8</w:t>
            </w:r>
          </w:p>
        </w:tc>
        <w:tc>
          <w:tcPr>
            <w:tcW w:w="1842" w:type="dxa"/>
            <w:tcBorders/>
            <w:vAlign w:val="bottom"/>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-6,2 proc.</w:t>
            </w:r>
          </w:p>
        </w:tc>
      </w:tr>
      <w:tr>
        <w:trPr/>
        <w:tc>
          <w:tcPr>
            <w:tcW w:w="1682" w:type="dxa"/>
            <w:tcBorders/>
            <w:shd w:color="auto" w:fill="D1D5CD"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Kėdainių r.</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9,9</w:t>
            </w:r>
          </w:p>
        </w:tc>
        <w:tc>
          <w:tcPr>
            <w:tcW w:w="725" w:type="dxa"/>
            <w:tcBorders/>
          </w:tcPr>
          <w:p>
            <w:pPr>
              <w:pStyle w:val="Normal"/>
              <w:widowControl/>
              <w:tabs>
                <w:tab w:val="clear" w:pos="1296"/>
                <w:tab w:val="decimal" w:pos="24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6,4</w:t>
            </w:r>
          </w:p>
        </w:tc>
        <w:tc>
          <w:tcPr>
            <w:tcW w:w="727" w:type="dxa"/>
            <w:tcBorders/>
          </w:tcPr>
          <w:p>
            <w:pPr>
              <w:pStyle w:val="Normal"/>
              <w:widowControl/>
              <w:tabs>
                <w:tab w:val="clear" w:pos="1296"/>
                <w:tab w:val="decimal" w:pos="21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2,6</w:t>
            </w:r>
          </w:p>
        </w:tc>
        <w:tc>
          <w:tcPr>
            <w:tcW w:w="725" w:type="dxa"/>
            <w:tcBorders/>
          </w:tcPr>
          <w:p>
            <w:pPr>
              <w:pStyle w:val="Normal"/>
              <w:widowControl/>
              <w:tabs>
                <w:tab w:val="clear" w:pos="1296"/>
                <w:tab w:val="decimal" w:pos="27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10,8</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5,4</w:t>
            </w:r>
          </w:p>
        </w:tc>
        <w:tc>
          <w:tcPr>
            <w:tcW w:w="725" w:type="dxa"/>
            <w:tcBorders/>
          </w:tcPr>
          <w:p>
            <w:pPr>
              <w:pStyle w:val="Normal"/>
              <w:widowControl/>
              <w:tabs>
                <w:tab w:val="clear" w:pos="1296"/>
                <w:tab w:val="decimal" w:pos="226" w:leader="none"/>
              </w:tabs>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8,7</w:t>
            </w:r>
          </w:p>
        </w:tc>
        <w:tc>
          <w:tcPr>
            <w:tcW w:w="1032" w:type="dxa"/>
            <w:tcBorders/>
          </w:tcPr>
          <w:p>
            <w:pPr>
              <w:pStyle w:val="Normal"/>
              <w:widowControl/>
              <w:tabs>
                <w:tab w:val="clear" w:pos="1296"/>
                <w:tab w:val="decimal" w:pos="421" w:leader="none"/>
              </w:tabs>
              <w:spacing w:lineRule="auto" w:line="240" w:before="0" w:after="0"/>
              <w:jc w:val="left"/>
              <w:rPr>
                <w:rFonts w:ascii="Times New Roman" w:hAnsi="Times New Roman" w:cs="Times New Roman"/>
                <w:b/>
                <w:b/>
                <w:bCs/>
                <w:color w:val="000000"/>
                <w:sz w:val="24"/>
                <w:szCs w:val="24"/>
              </w:rPr>
            </w:pPr>
            <w:r>
              <w:rPr>
                <w:rFonts w:eastAsia="Calibri" w:cs="Times New Roman" w:ascii="Times New Roman" w:hAnsi="Times New Roman"/>
                <w:b/>
                <w:bCs/>
                <w:color w:val="000000"/>
                <w:sz w:val="24"/>
                <w:szCs w:val="24"/>
                <w:lang w:val="lt-LT" w:eastAsia="en-US" w:bidi="ar-SA"/>
              </w:rPr>
              <w:t>10,6</w:t>
            </w:r>
          </w:p>
        </w:tc>
        <w:tc>
          <w:tcPr>
            <w:tcW w:w="1842" w:type="dxa"/>
            <w:tcBorders/>
          </w:tcPr>
          <w:p>
            <w:pPr>
              <w:pStyle w:val="Normal"/>
              <w:widowControl/>
              <w:tabs>
                <w:tab w:val="clear" w:pos="1296"/>
                <w:tab w:val="decimal" w:pos="601" w:leader="none"/>
              </w:tabs>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sz w:val="24"/>
                <w:szCs w:val="24"/>
                <w:lang w:val="lt-LT" w:eastAsia="en-US" w:bidi="ar-SA"/>
              </w:rPr>
              <w:t>+21,7 proc.</w:t>
            </w:r>
          </w:p>
        </w:tc>
      </w:tr>
      <w:tr>
        <w:trPr/>
        <w:tc>
          <w:tcPr>
            <w:tcW w:w="1682" w:type="dxa"/>
            <w:tcBorders/>
            <w:shd w:color="auto" w:fill="D1D5CD"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Jonavos r.</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12,6</w:t>
            </w:r>
          </w:p>
        </w:tc>
        <w:tc>
          <w:tcPr>
            <w:tcW w:w="725" w:type="dxa"/>
            <w:tcBorders/>
          </w:tcPr>
          <w:p>
            <w:pPr>
              <w:pStyle w:val="Normal"/>
              <w:widowControl/>
              <w:tabs>
                <w:tab w:val="clear" w:pos="1296"/>
                <w:tab w:val="decimal" w:pos="24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9,5</w:t>
            </w:r>
          </w:p>
        </w:tc>
        <w:tc>
          <w:tcPr>
            <w:tcW w:w="727" w:type="dxa"/>
            <w:tcBorders/>
          </w:tcPr>
          <w:p>
            <w:pPr>
              <w:pStyle w:val="Normal"/>
              <w:widowControl/>
              <w:tabs>
                <w:tab w:val="clear" w:pos="1296"/>
                <w:tab w:val="decimal" w:pos="21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12,7</w:t>
            </w:r>
          </w:p>
        </w:tc>
        <w:tc>
          <w:tcPr>
            <w:tcW w:w="725" w:type="dxa"/>
            <w:tcBorders/>
          </w:tcPr>
          <w:p>
            <w:pPr>
              <w:pStyle w:val="Normal"/>
              <w:widowControl/>
              <w:tabs>
                <w:tab w:val="clear" w:pos="1296"/>
                <w:tab w:val="decimal" w:pos="27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20,6</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11,7</w:t>
            </w:r>
          </w:p>
        </w:tc>
        <w:tc>
          <w:tcPr>
            <w:tcW w:w="725" w:type="dxa"/>
            <w:tcBorders/>
          </w:tcPr>
          <w:p>
            <w:pPr>
              <w:pStyle w:val="Normal"/>
              <w:widowControl/>
              <w:tabs>
                <w:tab w:val="clear" w:pos="1296"/>
                <w:tab w:val="decimal" w:pos="226" w:leader="none"/>
              </w:tabs>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14,1</w:t>
            </w:r>
          </w:p>
        </w:tc>
        <w:tc>
          <w:tcPr>
            <w:tcW w:w="1032" w:type="dxa"/>
            <w:tcBorders/>
            <w:vAlign w:val="bottom"/>
          </w:tcPr>
          <w:p>
            <w:pPr>
              <w:pStyle w:val="Normal"/>
              <w:widowControl/>
              <w:tabs>
                <w:tab w:val="clear" w:pos="1296"/>
                <w:tab w:val="decimal" w:pos="421" w:leader="none"/>
              </w:tabs>
              <w:spacing w:lineRule="auto" w:line="240" w:before="0" w:after="0"/>
              <w:jc w:val="left"/>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11,3</w:t>
            </w:r>
          </w:p>
        </w:tc>
        <w:tc>
          <w:tcPr>
            <w:tcW w:w="1842" w:type="dxa"/>
            <w:tcBorders/>
            <w:vAlign w:val="bottom"/>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-19,6 proc.</w:t>
            </w:r>
          </w:p>
        </w:tc>
      </w:tr>
      <w:tr>
        <w:trPr/>
        <w:tc>
          <w:tcPr>
            <w:tcW w:w="1682" w:type="dxa"/>
            <w:tcBorders/>
            <w:shd w:color="auto" w:fill="D1D5CD"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Kaišiadorių r.</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14,8</w:t>
            </w:r>
          </w:p>
        </w:tc>
        <w:tc>
          <w:tcPr>
            <w:tcW w:w="725" w:type="dxa"/>
            <w:tcBorders/>
          </w:tcPr>
          <w:p>
            <w:pPr>
              <w:pStyle w:val="Normal"/>
              <w:widowControl/>
              <w:tabs>
                <w:tab w:val="clear" w:pos="1296"/>
                <w:tab w:val="decimal" w:pos="24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8,5</w:t>
            </w:r>
          </w:p>
        </w:tc>
        <w:tc>
          <w:tcPr>
            <w:tcW w:w="727" w:type="dxa"/>
            <w:tcBorders/>
          </w:tcPr>
          <w:p>
            <w:pPr>
              <w:pStyle w:val="Normal"/>
              <w:widowControl/>
              <w:tabs>
                <w:tab w:val="clear" w:pos="1296"/>
                <w:tab w:val="decimal" w:pos="21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4,7</w:t>
            </w:r>
          </w:p>
        </w:tc>
        <w:tc>
          <w:tcPr>
            <w:tcW w:w="725" w:type="dxa"/>
            <w:tcBorders/>
          </w:tcPr>
          <w:p>
            <w:pPr>
              <w:pStyle w:val="Normal"/>
              <w:widowControl/>
              <w:tabs>
                <w:tab w:val="clear" w:pos="1296"/>
                <w:tab w:val="decimal" w:pos="27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13,9</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6,3</w:t>
            </w:r>
          </w:p>
        </w:tc>
        <w:tc>
          <w:tcPr>
            <w:tcW w:w="725" w:type="dxa"/>
            <w:tcBorders/>
          </w:tcPr>
          <w:p>
            <w:pPr>
              <w:pStyle w:val="Normal"/>
              <w:widowControl/>
              <w:tabs>
                <w:tab w:val="clear" w:pos="1296"/>
                <w:tab w:val="decimal" w:pos="226" w:leader="none"/>
              </w:tabs>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9,6</w:t>
            </w:r>
          </w:p>
        </w:tc>
        <w:tc>
          <w:tcPr>
            <w:tcW w:w="1032" w:type="dxa"/>
            <w:tcBorders/>
            <w:vAlign w:val="bottom"/>
          </w:tcPr>
          <w:p>
            <w:pPr>
              <w:pStyle w:val="Normal"/>
              <w:widowControl/>
              <w:tabs>
                <w:tab w:val="clear" w:pos="1296"/>
                <w:tab w:val="decimal" w:pos="421" w:leader="none"/>
              </w:tabs>
              <w:spacing w:lineRule="auto" w:line="240" w:before="0" w:after="0"/>
              <w:jc w:val="left"/>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14,2</w:t>
            </w:r>
          </w:p>
        </w:tc>
        <w:tc>
          <w:tcPr>
            <w:tcW w:w="1842" w:type="dxa"/>
            <w:tcBorders/>
            <w:vAlign w:val="bottom"/>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+47,9 proc.</w:t>
            </w:r>
          </w:p>
        </w:tc>
      </w:tr>
      <w:tr>
        <w:trPr/>
        <w:tc>
          <w:tcPr>
            <w:tcW w:w="1682" w:type="dxa"/>
            <w:tcBorders/>
            <w:shd w:color="auto" w:fill="D1D5CD"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Birštono sav.</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38,6</w:t>
            </w:r>
          </w:p>
        </w:tc>
        <w:tc>
          <w:tcPr>
            <w:tcW w:w="725" w:type="dxa"/>
            <w:tcBorders/>
          </w:tcPr>
          <w:p>
            <w:pPr>
              <w:pStyle w:val="Normal"/>
              <w:widowControl/>
              <w:tabs>
                <w:tab w:val="clear" w:pos="1296"/>
                <w:tab w:val="decimal" w:pos="24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28,4</w:t>
            </w:r>
          </w:p>
        </w:tc>
        <w:tc>
          <w:tcPr>
            <w:tcW w:w="727" w:type="dxa"/>
            <w:tcBorders/>
          </w:tcPr>
          <w:p>
            <w:pPr>
              <w:pStyle w:val="Normal"/>
              <w:widowControl/>
              <w:tabs>
                <w:tab w:val="clear" w:pos="1296"/>
                <w:tab w:val="decimal" w:pos="21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24,1</w:t>
            </w:r>
          </w:p>
        </w:tc>
        <w:tc>
          <w:tcPr>
            <w:tcW w:w="725" w:type="dxa"/>
            <w:tcBorders/>
          </w:tcPr>
          <w:p>
            <w:pPr>
              <w:pStyle w:val="Normal"/>
              <w:widowControl/>
              <w:tabs>
                <w:tab w:val="clear" w:pos="1296"/>
                <w:tab w:val="decimal" w:pos="27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31,3</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24,1</w:t>
            </w:r>
          </w:p>
        </w:tc>
        <w:tc>
          <w:tcPr>
            <w:tcW w:w="725" w:type="dxa"/>
            <w:tcBorders/>
          </w:tcPr>
          <w:p>
            <w:pPr>
              <w:pStyle w:val="Normal"/>
              <w:widowControl/>
              <w:tabs>
                <w:tab w:val="clear" w:pos="1296"/>
                <w:tab w:val="decimal" w:pos="226" w:leader="none"/>
              </w:tabs>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26,7</w:t>
            </w:r>
          </w:p>
        </w:tc>
        <w:tc>
          <w:tcPr>
            <w:tcW w:w="1032" w:type="dxa"/>
            <w:tcBorders/>
          </w:tcPr>
          <w:p>
            <w:pPr>
              <w:pStyle w:val="Normal"/>
              <w:widowControl/>
              <w:tabs>
                <w:tab w:val="clear" w:pos="1296"/>
                <w:tab w:val="decimal" w:pos="421" w:leader="none"/>
              </w:tabs>
              <w:spacing w:lineRule="auto" w:line="240" w:before="0" w:after="0"/>
              <w:jc w:val="left"/>
              <w:rPr>
                <w:rFonts w:ascii="Times New Roman" w:hAnsi="Times New Roman" w:cs="Times New Roman"/>
                <w:b/>
                <w:b/>
                <w:bCs/>
                <w:color w:val="000000"/>
                <w:sz w:val="24"/>
                <w:szCs w:val="24"/>
              </w:rPr>
            </w:pPr>
            <w:r>
              <w:rPr>
                <w:rFonts w:eastAsia="Calibri" w:cs="Times New Roman" w:ascii="Times New Roman" w:hAnsi="Times New Roman"/>
                <w:b/>
                <w:bCs/>
                <w:color w:val="000000"/>
                <w:sz w:val="24"/>
                <w:szCs w:val="24"/>
                <w:lang w:val="lt-LT" w:eastAsia="en-US" w:bidi="ar-SA"/>
              </w:rPr>
              <w:t>41,6</w:t>
            </w:r>
          </w:p>
        </w:tc>
        <w:tc>
          <w:tcPr>
            <w:tcW w:w="1842" w:type="dxa"/>
            <w:tcBorders/>
          </w:tcPr>
          <w:p>
            <w:pPr>
              <w:pStyle w:val="Normal"/>
              <w:widowControl/>
              <w:tabs>
                <w:tab w:val="clear" w:pos="1296"/>
                <w:tab w:val="decimal" w:pos="601" w:leader="none"/>
              </w:tabs>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sz w:val="24"/>
                <w:szCs w:val="24"/>
                <w:lang w:val="lt-LT" w:eastAsia="en-US" w:bidi="ar-SA"/>
              </w:rPr>
              <w:t>+56,1 proc.</w:t>
            </w:r>
          </w:p>
        </w:tc>
      </w:tr>
      <w:tr>
        <w:trPr/>
        <w:tc>
          <w:tcPr>
            <w:tcW w:w="1682" w:type="dxa"/>
            <w:tcBorders/>
            <w:shd w:color="auto" w:fill="D1D5CD"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Prienų r.</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9,5</w:t>
            </w:r>
          </w:p>
        </w:tc>
        <w:tc>
          <w:tcPr>
            <w:tcW w:w="725" w:type="dxa"/>
            <w:tcBorders/>
          </w:tcPr>
          <w:p>
            <w:pPr>
              <w:pStyle w:val="Normal"/>
              <w:widowControl/>
              <w:tabs>
                <w:tab w:val="clear" w:pos="1296"/>
                <w:tab w:val="decimal" w:pos="24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6,7</w:t>
            </w:r>
          </w:p>
        </w:tc>
        <w:tc>
          <w:tcPr>
            <w:tcW w:w="727" w:type="dxa"/>
            <w:tcBorders/>
          </w:tcPr>
          <w:p>
            <w:pPr>
              <w:pStyle w:val="Normal"/>
              <w:widowControl/>
              <w:tabs>
                <w:tab w:val="clear" w:pos="1296"/>
                <w:tab w:val="decimal" w:pos="21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8,8</w:t>
            </w:r>
          </w:p>
        </w:tc>
        <w:tc>
          <w:tcPr>
            <w:tcW w:w="725" w:type="dxa"/>
            <w:tcBorders/>
          </w:tcPr>
          <w:p>
            <w:pPr>
              <w:pStyle w:val="Normal"/>
              <w:widowControl/>
              <w:tabs>
                <w:tab w:val="clear" w:pos="1296"/>
                <w:tab w:val="decimal" w:pos="27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9,9</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4,2</w:t>
            </w:r>
          </w:p>
        </w:tc>
        <w:tc>
          <w:tcPr>
            <w:tcW w:w="725" w:type="dxa"/>
            <w:tcBorders/>
          </w:tcPr>
          <w:p>
            <w:pPr>
              <w:pStyle w:val="Normal"/>
              <w:widowControl/>
              <w:tabs>
                <w:tab w:val="clear" w:pos="1296"/>
                <w:tab w:val="decimal" w:pos="226" w:leader="none"/>
              </w:tabs>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11,2</w:t>
            </w:r>
          </w:p>
        </w:tc>
        <w:tc>
          <w:tcPr>
            <w:tcW w:w="1032" w:type="dxa"/>
            <w:tcBorders/>
            <w:vAlign w:val="bottom"/>
          </w:tcPr>
          <w:p>
            <w:pPr>
              <w:pStyle w:val="Normal"/>
              <w:widowControl/>
              <w:tabs>
                <w:tab w:val="clear" w:pos="1296"/>
                <w:tab w:val="decimal" w:pos="421" w:leader="none"/>
              </w:tabs>
              <w:spacing w:lineRule="auto" w:line="240" w:before="0" w:after="0"/>
              <w:jc w:val="left"/>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15,7</w:t>
            </w:r>
          </w:p>
        </w:tc>
        <w:tc>
          <w:tcPr>
            <w:tcW w:w="1842" w:type="dxa"/>
            <w:tcBorders/>
            <w:vAlign w:val="bottom"/>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+40,3 proc.</w:t>
            </w:r>
          </w:p>
        </w:tc>
      </w:tr>
      <w:tr>
        <w:trPr/>
        <w:tc>
          <w:tcPr>
            <w:tcW w:w="1682" w:type="dxa"/>
            <w:tcBorders/>
            <w:shd w:color="auto" w:fill="D1D5CD"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val="lt-LT" w:eastAsia="en-US" w:bidi="ar-SA"/>
              </w:rPr>
              <w:t>Raseinių r.</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10,6</w:t>
            </w:r>
          </w:p>
        </w:tc>
        <w:tc>
          <w:tcPr>
            <w:tcW w:w="725" w:type="dxa"/>
            <w:tcBorders/>
          </w:tcPr>
          <w:p>
            <w:pPr>
              <w:pStyle w:val="Normal"/>
              <w:widowControl/>
              <w:tabs>
                <w:tab w:val="clear" w:pos="1296"/>
                <w:tab w:val="decimal" w:pos="24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6,9</w:t>
            </w:r>
          </w:p>
        </w:tc>
        <w:tc>
          <w:tcPr>
            <w:tcW w:w="727" w:type="dxa"/>
            <w:tcBorders/>
          </w:tcPr>
          <w:p>
            <w:pPr>
              <w:pStyle w:val="Normal"/>
              <w:widowControl/>
              <w:tabs>
                <w:tab w:val="clear" w:pos="1296"/>
                <w:tab w:val="decimal" w:pos="21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4,9</w:t>
            </w:r>
          </w:p>
        </w:tc>
        <w:tc>
          <w:tcPr>
            <w:tcW w:w="725" w:type="dxa"/>
            <w:tcBorders/>
          </w:tcPr>
          <w:p>
            <w:pPr>
              <w:pStyle w:val="Normal"/>
              <w:widowControl/>
              <w:tabs>
                <w:tab w:val="clear" w:pos="1296"/>
                <w:tab w:val="decimal" w:pos="27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10,6</w:t>
            </w:r>
          </w:p>
        </w:tc>
        <w:tc>
          <w:tcPr>
            <w:tcW w:w="727" w:type="dxa"/>
            <w:tcBorders/>
          </w:tcPr>
          <w:p>
            <w:pPr>
              <w:pStyle w:val="Normal"/>
              <w:widowControl/>
              <w:tabs>
                <w:tab w:val="clear" w:pos="1296"/>
                <w:tab w:val="decimal" w:pos="256"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sz w:val="24"/>
                <w:szCs w:val="24"/>
                <w:lang w:val="lt-LT" w:eastAsia="en-US" w:bidi="ar-SA"/>
              </w:rPr>
              <w:t>6,2</w:t>
            </w:r>
          </w:p>
        </w:tc>
        <w:tc>
          <w:tcPr>
            <w:tcW w:w="725" w:type="dxa"/>
            <w:tcBorders/>
          </w:tcPr>
          <w:p>
            <w:pPr>
              <w:pStyle w:val="Normal"/>
              <w:widowControl/>
              <w:tabs>
                <w:tab w:val="clear" w:pos="1296"/>
                <w:tab w:val="decimal" w:pos="226" w:leader="none"/>
              </w:tabs>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sz w:val="24"/>
                <w:szCs w:val="24"/>
                <w:lang w:val="lt-LT" w:eastAsia="en-US" w:bidi="ar-SA"/>
              </w:rPr>
              <w:t>9,6</w:t>
            </w:r>
          </w:p>
        </w:tc>
        <w:tc>
          <w:tcPr>
            <w:tcW w:w="1032" w:type="dxa"/>
            <w:tcBorders/>
            <w:vAlign w:val="bottom"/>
          </w:tcPr>
          <w:p>
            <w:pPr>
              <w:pStyle w:val="Normal"/>
              <w:widowControl/>
              <w:tabs>
                <w:tab w:val="clear" w:pos="1296"/>
                <w:tab w:val="decimal" w:pos="421" w:leader="none"/>
              </w:tabs>
              <w:spacing w:lineRule="auto" w:line="240" w:before="0" w:after="0"/>
              <w:jc w:val="left"/>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17,5</w:t>
            </w:r>
          </w:p>
        </w:tc>
        <w:tc>
          <w:tcPr>
            <w:tcW w:w="1842" w:type="dxa"/>
            <w:tcBorders/>
            <w:vAlign w:val="bottom"/>
          </w:tcPr>
          <w:p>
            <w:pPr>
              <w:pStyle w:val="Normal"/>
              <w:widowControl/>
              <w:tabs>
                <w:tab w:val="clear" w:pos="1296"/>
                <w:tab w:val="decimal" w:pos="601" w:leader="none"/>
              </w:tabs>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+83,7 proc.</w:t>
            </w:r>
            <w:bookmarkStart w:id="2" w:name="_Hlk71287512"/>
            <w:bookmarkEnd w:id="2"/>
          </w:p>
        </w:tc>
      </w:tr>
    </w:tbl>
    <w:p>
      <w:pPr>
        <w:pStyle w:val="Normal"/>
        <w:spacing w:lineRule="auto" w:line="240"/>
        <w:rPr/>
      </w:pPr>
      <w:r>
        <w:rPr/>
      </w:r>
    </w:p>
    <w:p>
      <w:pPr>
        <w:pStyle w:val="ListParagraph"/>
        <w:numPr>
          <w:ilvl w:val="1"/>
          <w:numId w:val="1"/>
        </w:numPr>
        <w:spacing w:lineRule="auto" w:line="240" w:beforeAutospacing="1" w:afterAutospacing="1"/>
        <w:contextualSpacing/>
        <w:jc w:val="center"/>
        <w:rPr>
          <w:rFonts w:ascii="Times New Roman" w:hAnsi="Times New Roman" w:cs="Times New Roman"/>
          <w:b/>
          <w:b/>
          <w:bCs/>
          <w:sz w:val="24"/>
          <w:szCs w:val="24"/>
        </w:rPr>
      </w:pPr>
      <w:r>
        <w:rPr>
          <w:rFonts w:cs="Times New Roman" w:ascii="Times New Roman" w:hAnsi="Times New Roman"/>
          <w:b/>
          <w:bCs/>
          <w:sz w:val="24"/>
          <w:szCs w:val="24"/>
        </w:rPr>
        <w:t>EPL sezoniškumas</w:t>
      </w:r>
    </w:p>
    <w:p>
      <w:pPr>
        <w:pStyle w:val="Normal"/>
        <w:spacing w:lineRule="auto" w:line="240" w:before="0" w:after="0"/>
        <w:ind w:firstLine="567"/>
        <w:jc w:val="both"/>
        <w:rPr>
          <w:rFonts w:ascii="Times New Roman" w:hAnsi="Times New Roman" w:cs="Times New Roman"/>
          <w:sz w:val="24"/>
          <w:szCs w:val="24"/>
          <w:highlight w:val="yellow"/>
        </w:rPr>
      </w:pPr>
      <w:r>
        <w:rPr>
          <w:rFonts w:cs="Times New Roman" w:ascii="Times New Roman" w:hAnsi="Times New Roman"/>
          <w:sz w:val="24"/>
          <w:szCs w:val="24"/>
        </w:rPr>
        <w:t>EPL būdingas sezoniškumas. 2023 m. EE atvejai registruoti balandžio – gruodžio mėn. Antrasis sergamumo EE pikas buvo žymiai didesnis nei pirmasis užfiksuotas rugpjūčio mėn. (atitinkamai 39 ir 24 EE atvejai) (1.3.1 pav.).</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rFonts w:ascii="Times New Roman" w:hAnsi="Times New Roman" w:cs="Times New Roman"/>
          <w:sz w:val="24"/>
          <w:szCs w:val="24"/>
        </w:rPr>
      </w:pPr>
      <w:r>
        <w:rPr/>
        <w:drawing>
          <wp:inline distT="0" distB="0" distL="0" distR="0">
            <wp:extent cx="5686425" cy="3324225"/>
            <wp:effectExtent l="0" t="0" r="0" b="0"/>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ListParagraph"/>
        <w:numPr>
          <w:ilvl w:val="2"/>
          <w:numId w:val="3"/>
        </w:numPr>
        <w:spacing w:lineRule="auto" w:line="240"/>
        <w:jc w:val="center"/>
        <w:rPr>
          <w:rFonts w:ascii="Times New Roman" w:hAnsi="Times New Roman" w:cs="Times New Roman"/>
          <w:b/>
          <w:b/>
          <w:bCs/>
          <w:i/>
          <w:i/>
          <w:iCs/>
          <w:sz w:val="24"/>
          <w:szCs w:val="24"/>
        </w:rPr>
      </w:pPr>
      <w:r>
        <w:rPr>
          <w:rFonts w:cs="Times New Roman" w:ascii="Times New Roman" w:hAnsi="Times New Roman"/>
          <w:b/>
          <w:bCs/>
          <w:i/>
          <w:iCs/>
          <w:sz w:val="24"/>
          <w:szCs w:val="24"/>
        </w:rPr>
        <w:t>pav. Sergamumo EE sezoniškumas Kauno apskrityje 2023 m.</w:t>
      </w:r>
    </w:p>
    <w:p>
      <w:pPr>
        <w:pStyle w:val="ListParagraph"/>
        <w:spacing w:lineRule="auto" w:line="240"/>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240" w:before="0" w:after="0"/>
        <w:ind w:firstLine="567"/>
        <w:jc w:val="both"/>
        <w:rPr>
          <w:rFonts w:ascii="Times New Roman" w:hAnsi="Times New Roman" w:cs="Times New Roman"/>
          <w:b/>
          <w:b/>
          <w:bCs/>
          <w:i/>
          <w:i/>
          <w:iCs/>
          <w:sz w:val="24"/>
          <w:szCs w:val="24"/>
        </w:rPr>
      </w:pPr>
      <w:r>
        <w:rPr>
          <w:rFonts w:cs="Times New Roman" w:ascii="Times New Roman" w:hAnsi="Times New Roman"/>
          <w:sz w:val="24"/>
          <w:szCs w:val="24"/>
        </w:rPr>
        <w:t xml:space="preserve">LL sergama ištisus metus, sausio-vasario mėn. dažniausiai registruojami uždelsti, pavėluotai diagnozuoti LL atvejai, susiję su užsikrėtimu erkių aktyvumo sezono metu. </w:t>
      </w:r>
      <w:r>
        <w:rPr>
          <w:rFonts w:cs="Times New Roman" w:ascii="Times New Roman" w:hAnsi="Times New Roman"/>
        </w:rPr>
        <w:t>2023 m</w:t>
      </w:r>
      <w:r>
        <w:rPr>
          <w:rFonts w:cs="Times New Roman" w:ascii="Times New Roman" w:hAnsi="Times New Roman"/>
          <w:sz w:val="24"/>
          <w:szCs w:val="24"/>
        </w:rPr>
        <w:t>. daugiausia LL atvejų registruota liepos ir rugpjūčio mėnesiais, taip pat žymus padidėjimas užfiksuotas spalio mėnesį (1.3.2 pav.). Panaši situacija buvo ir 2022 m. kuomet buvo nustatyti du sergamumo LL pikai – rugpjūčio ir spalio mėnesiais, nors dvibangis sezoniškumas dažniau būdingas EE, nei LL.</w:t>
      </w:r>
    </w:p>
    <w:p>
      <w:pPr>
        <w:pStyle w:val="Normal"/>
        <w:spacing w:lineRule="auto" w:line="240"/>
        <w:jc w:val="center"/>
        <w:rPr>
          <w:rFonts w:ascii="Times New Roman" w:hAnsi="Times New Roman" w:cs="Times New Roman"/>
          <w:b/>
          <w:b/>
          <w:bCs/>
          <w:i/>
          <w:i/>
          <w:iCs/>
          <w:sz w:val="24"/>
          <w:szCs w:val="24"/>
        </w:rPr>
      </w:pPr>
      <w:r>
        <w:rPr>
          <w:rFonts w:cs="Times New Roman" w:ascii="Times New Roman" w:hAnsi="Times New Roman"/>
          <w:b/>
          <w:bCs/>
          <w:i/>
          <w:iCs/>
          <w:sz w:val="24"/>
          <w:szCs w:val="24"/>
        </w:rPr>
      </w:r>
    </w:p>
    <w:p>
      <w:pPr>
        <w:pStyle w:val="Normal"/>
        <w:spacing w:lineRule="auto" w:line="240"/>
        <w:jc w:val="center"/>
        <w:rPr>
          <w:rFonts w:ascii="Times New Roman" w:hAnsi="Times New Roman" w:cs="Times New Roman"/>
          <w:b/>
          <w:b/>
          <w:bCs/>
          <w:i/>
          <w:i/>
          <w:iCs/>
          <w:sz w:val="24"/>
          <w:szCs w:val="24"/>
        </w:rPr>
      </w:pPr>
      <w:r>
        <w:rPr/>
        <w:drawing>
          <wp:inline distT="0" distB="0" distL="0" distR="0">
            <wp:extent cx="5572125" cy="3248025"/>
            <wp:effectExtent l="0" t="0" r="0" b="0"/>
            <wp:docPr id="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ListParagraph"/>
        <w:spacing w:lineRule="auto" w:line="240"/>
        <w:jc w:val="center"/>
        <w:rPr>
          <w:rFonts w:ascii="Times New Roman" w:hAnsi="Times New Roman" w:cs="Times New Roman"/>
          <w:b/>
          <w:b/>
          <w:bCs/>
          <w:i/>
          <w:i/>
          <w:iCs/>
          <w:sz w:val="24"/>
          <w:szCs w:val="24"/>
        </w:rPr>
      </w:pPr>
      <w:r>
        <w:rPr>
          <w:rFonts w:cs="Times New Roman" w:ascii="Times New Roman" w:hAnsi="Times New Roman"/>
          <w:b/>
          <w:bCs/>
          <w:i/>
          <w:iCs/>
          <w:sz w:val="24"/>
          <w:szCs w:val="24"/>
        </w:rPr>
        <w:t>1.3.2 pav. Sergamumo LL sezoniškumas Kauno apskrityje 2023 m.</w:t>
        <w:br/>
      </w:r>
      <w:r>
        <w:br w:type="page"/>
      </w:r>
    </w:p>
    <w:p>
      <w:pPr>
        <w:pStyle w:val="ListParagraph"/>
        <w:spacing w:lineRule="auto" w:line="240"/>
        <w:jc w:val="center"/>
        <w:rPr>
          <w:rFonts w:ascii="Times New Roman" w:hAnsi="Times New Roman" w:cs="Times New Roman"/>
          <w:b/>
          <w:b/>
          <w:bCs/>
          <w:i/>
          <w:i/>
          <w:iCs/>
          <w:sz w:val="24"/>
          <w:szCs w:val="24"/>
        </w:rPr>
      </w:pPr>
      <w:r>
        <w:rPr>
          <w:rFonts w:cs="Times New Roman" w:ascii="Times New Roman" w:hAnsi="Times New Roman"/>
          <w:b/>
          <w:bCs/>
          <w:i/>
          <w:iCs/>
          <w:sz w:val="24"/>
          <w:szCs w:val="24"/>
        </w:rPr>
      </w:r>
    </w:p>
    <w:p>
      <w:pPr>
        <w:pStyle w:val="ListParagraph"/>
        <w:numPr>
          <w:ilvl w:val="1"/>
          <w:numId w:val="1"/>
        </w:numPr>
        <w:spacing w:lineRule="auto" w:line="240" w:beforeAutospacing="1" w:afterAutospacing="1"/>
        <w:contextualSpacing/>
        <w:jc w:val="center"/>
        <w:rPr>
          <w:rFonts w:ascii="Times New Roman" w:hAnsi="Times New Roman" w:cs="Times New Roman"/>
          <w:b/>
          <w:b/>
          <w:bCs/>
          <w:sz w:val="24"/>
          <w:szCs w:val="24"/>
        </w:rPr>
      </w:pPr>
      <w:r>
        <w:rPr>
          <w:rFonts w:cs="Times New Roman" w:ascii="Times New Roman" w:hAnsi="Times New Roman"/>
          <w:b/>
          <w:bCs/>
          <w:sz w:val="24"/>
          <w:szCs w:val="24"/>
        </w:rPr>
        <w:t>Kiti EPL rodikliai</w:t>
      </w:r>
    </w:p>
    <w:p>
      <w:pPr>
        <w:pStyle w:val="ListParagraph"/>
        <w:spacing w:lineRule="auto" w:line="240" w:beforeAutospacing="1" w:afterAutospacing="1"/>
        <w:ind w:left="1140" w:hanging="0"/>
        <w:contextualSpacing/>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40" w:beforeAutospacing="1" w:afterAutospacing="1"/>
        <w:ind w:left="0" w:firstLine="567"/>
        <w:contextualSpacing/>
        <w:jc w:val="both"/>
        <w:rPr/>
      </w:pPr>
      <w:r>
        <w:rPr>
          <w:rFonts w:cs="Times New Roman" w:ascii="Times New Roman" w:hAnsi="Times New Roman"/>
          <w:sz w:val="24"/>
          <w:szCs w:val="24"/>
        </w:rPr>
        <w:t>EPL sukėlėjo specifika, klinikinė eiga lemia ligos gydymo taktiką. 91,4 proc. visų EE atvejų, registruotų 2023 m. buvo hospitalizuoti stacionarines paslaugas teikiančiose asmens sveikatos priežiūros įstaigose. Lyginant su 2022 m. sergančiųjų EE hospitalizacija sumažėjo 0,3 proc. Mirčių nuo EE Kauno apskrityje 2023 m. nebuvo registruota (1.4.1 pav.). 96,9 proc. susirgusiųjų LL 2023 m. buvo taikomas ambulatorinis gydymas, o hospitalizuota tik 20 LL atvejų Kauno apskrityje.</w:t>
      </w:r>
      <w:r>
        <w:rPr/>
        <w:drawing>
          <wp:inline distT="0" distB="0" distL="0" distR="0">
            <wp:extent cx="6153150" cy="3076575"/>
            <wp:effectExtent l="0" t="0" r="0" b="0"/>
            <wp:docPr id="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spacing w:lineRule="auto" w:line="240"/>
        <w:jc w:val="center"/>
        <w:rPr>
          <w:rFonts w:ascii="Times New Roman" w:hAnsi="Times New Roman" w:cs="Times New Roman"/>
          <w:b/>
          <w:b/>
          <w:bCs/>
          <w:i/>
          <w:i/>
          <w:iCs/>
          <w:sz w:val="24"/>
          <w:szCs w:val="24"/>
        </w:rPr>
      </w:pPr>
      <w:r>
        <w:rPr>
          <w:rFonts w:cs="Times New Roman" w:ascii="Times New Roman" w:hAnsi="Times New Roman"/>
          <w:b/>
          <w:bCs/>
          <w:i/>
          <w:iCs/>
          <w:sz w:val="24"/>
          <w:szCs w:val="24"/>
        </w:rPr>
        <w:t>1.4.1 pav. Sergančių EE gydymo pobūdis Kauno apskrityje 2023 m.</w:t>
        <w:b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EPL serga tiek vaikai, tiek suaugusieji. 2023 m. vienerių metų amžiaus grupėje registruotas 1 LL atvejis (Kauno m.), o vyriausi asmenys susirgę EPL buvo du 91 m. amžiaus Kauno r. (LL) ir Kaišiadorių r. (EE) gyventojai. 2023 m. EPL susirgo 62 vaikai iki 18 m. amžiaus, iš jų 17 EE ir 45 LL. Daugiausia sergančiųjų EPL registruota darbingo 45-64 m. amžiaus asmenų grupėje. 16 proc. susirgusiųjų buvo vyresni nei 65 m. amžiaus (1.4.2 pav.).</w:t>
      </w:r>
    </w:p>
    <w:p>
      <w:pPr>
        <w:pStyle w:val="Normal"/>
        <w:spacing w:lineRule="auto" w:line="240"/>
        <w:jc w:val="center"/>
        <w:rPr>
          <w:rFonts w:ascii="Times New Roman" w:hAnsi="Times New Roman" w:cs="Times New Roman"/>
          <w:b/>
          <w:b/>
          <w:bCs/>
          <w:i/>
          <w:i/>
          <w:iCs/>
          <w:sz w:val="24"/>
          <w:szCs w:val="24"/>
        </w:rPr>
      </w:pPr>
      <w:r>
        <w:rPr/>
        <w:drawing>
          <wp:inline distT="0" distB="0" distL="0" distR="0">
            <wp:extent cx="4829175" cy="2981325"/>
            <wp:effectExtent l="0" t="0" r="0" b="0"/>
            <wp:docPr id="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spacing w:lineRule="auto" w:line="240"/>
        <w:jc w:val="center"/>
        <w:rPr>
          <w:rFonts w:ascii="Times New Roman" w:hAnsi="Times New Roman" w:cs="Times New Roman"/>
          <w:b/>
          <w:b/>
          <w:bCs/>
          <w:i/>
          <w:i/>
          <w:iCs/>
          <w:sz w:val="24"/>
          <w:szCs w:val="24"/>
        </w:rPr>
      </w:pPr>
      <w:r>
        <w:rPr>
          <w:rFonts w:cs="Times New Roman" w:ascii="Times New Roman" w:hAnsi="Times New Roman"/>
          <w:b/>
          <w:bCs/>
          <w:i/>
          <w:iCs/>
          <w:sz w:val="24"/>
          <w:szCs w:val="24"/>
        </w:rPr>
        <w:t>1.4.2 pav. Susirgusiųjų EPL amžiaus struktūra Kauno apskrityje 2022 m.</w:t>
        <w:b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2023 m. Kauno apskrityje 49 proc. EPL užsikrėtė poilsiaujant, būnat gamtoje, parke, miške. Užsikrėtusiųjų gyvenamojoje vietoje, namų ūkyje, sodyboje dalis siekė 40 proc. Neišvengta užsikrėtimo EPL ir darbo vietoje: 4 asmenys nurodė užsikrėtę LL darbe. 2023 m. 4 asmenys EPL užsikrėtė užsienyje: 1 EE atv. – Lenkijoje; 3 LL ligos atvejai: 1 atv. – Lenkijoje, 1 atv. – Norvegijoje, 1 atv. – Latvijoje. 78 Kauno apskrities gyventojai nežinojo užsikrėtimo EPL vietovės ir aplinkybių (1.4.3 pav.).</w:t>
      </w:r>
    </w:p>
    <w:p>
      <w:pPr>
        <w:pStyle w:val="Normal"/>
        <w:spacing w:lineRule="auto" w:line="240" w:before="0" w:after="0"/>
        <w:ind w:firstLine="72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20"/>
        <w:jc w:val="center"/>
        <w:rPr>
          <w:rFonts w:ascii="Times New Roman" w:hAnsi="Times New Roman" w:cs="Times New Roman"/>
          <w:b/>
          <w:b/>
          <w:bCs/>
          <w:sz w:val="24"/>
          <w:szCs w:val="24"/>
        </w:rPr>
      </w:pPr>
      <w:r>
        <w:rPr/>
        <w:drawing>
          <wp:inline distT="0" distB="0" distL="0" distR="0">
            <wp:extent cx="5231130" cy="3263900"/>
            <wp:effectExtent l="0" t="0" r="0" b="0"/>
            <wp:docPr id="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Normal"/>
        <w:spacing w:lineRule="auto" w:line="240"/>
        <w:jc w:val="center"/>
        <w:rPr>
          <w:rFonts w:ascii="Times New Roman" w:hAnsi="Times New Roman" w:cs="Times New Roman"/>
          <w:b/>
          <w:b/>
          <w:bCs/>
          <w:i/>
          <w:i/>
          <w:iCs/>
          <w:sz w:val="24"/>
          <w:szCs w:val="24"/>
        </w:rPr>
      </w:pPr>
      <w:r>
        <w:rPr>
          <w:rFonts w:cs="Times New Roman" w:ascii="Times New Roman" w:hAnsi="Times New Roman"/>
          <w:b/>
          <w:bCs/>
          <w:i/>
          <w:iCs/>
          <w:sz w:val="24"/>
          <w:szCs w:val="24"/>
        </w:rPr>
        <w:t>1.4.3 pav. Užsikrėtimo EPL vieta Kauno apskrityje 2023 m.</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Kauno apskrities vietoves, kuriose dažniausiai užsikrečiama EPL galima rasti NVSC tinklalapyje: </w:t>
      </w:r>
      <w:hyperlink r:id="rId11">
        <w:r>
          <w:rPr>
            <w:rStyle w:val="Internetosaitas"/>
            <w:rFonts w:cs="Times New Roman" w:ascii="Times New Roman" w:hAnsi="Times New Roman"/>
            <w:sz w:val="24"/>
            <w:szCs w:val="24"/>
          </w:rPr>
          <w:t>https://nvsc.lrv.lt/lt/uzkreciamuju-ligu-valdymas/erkiu-pernesamos-ligos/lietuvos-vietoviu-kuriose-uzsikreciama-erkiu-platinamomis-ligomis-zemelapis</w:t>
        </w:r>
      </w:hyperlink>
      <w:r>
        <w:rPr>
          <w:rStyle w:val="Internetosaitas"/>
          <w:rFonts w:cs="Times New Roman" w:ascii="Times New Roman" w:hAnsi="Times New Roman"/>
          <w:sz w:val="24"/>
          <w:szCs w:val="24"/>
        </w:rPr>
        <w:t>.</w:t>
      </w:r>
    </w:p>
    <w:p>
      <w:pPr>
        <w:pStyle w:val="ListParagraph"/>
        <w:numPr>
          <w:ilvl w:val="1"/>
          <w:numId w:val="1"/>
        </w:numPr>
        <w:spacing w:lineRule="auto" w:line="240" w:beforeAutospacing="1" w:after="0"/>
        <w:contextualSpacing/>
        <w:jc w:val="center"/>
        <w:rPr>
          <w:rFonts w:ascii="Times New Roman" w:hAnsi="Times New Roman" w:cs="Times New Roman"/>
          <w:b/>
          <w:b/>
          <w:bCs/>
          <w:sz w:val="24"/>
          <w:szCs w:val="24"/>
        </w:rPr>
      </w:pPr>
      <w:r>
        <w:rPr>
          <w:rFonts w:cs="Times New Roman" w:ascii="Times New Roman" w:hAnsi="Times New Roman"/>
          <w:b/>
          <w:bCs/>
          <w:sz w:val="24"/>
          <w:szCs w:val="24"/>
        </w:rPr>
        <w:t>EE imunoprofilaktika</w:t>
      </w:r>
    </w:p>
    <w:p>
      <w:pPr>
        <w:pStyle w:val="ListParagraph"/>
        <w:spacing w:lineRule="auto" w:line="240" w:beforeAutospacing="1" w:after="0"/>
        <w:ind w:left="1140" w:hanging="0"/>
        <w:contextualSpacing/>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2023 m. Kauno apskrityje iš viso buvo įskiepytos 87 190 EE vakcinos dozės, 12,1 proc. daugiau lyginant su 2022 m. Skiepijimai EE vakcina mažėjo 2-ose iš 8-ių administracinių Kauno apskrities teritorijų – Kėdainių r. ir Raseinių r. Skiepijimus pradėjo (I dozė) 23 614 gyventojai, iš jų 5 348 vaikai iki 18 m. amžiaus. 2023 m. pilnai paskiepytas ar paskiepytas sustiprinančiąja EE doze 40 161 asmuo, iš jų 8 425 vaikai iki 18 m. (1.5.1 lentelė).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rFonts w:ascii="Times New Roman" w:hAnsi="Times New Roman" w:cs="Times New Roman"/>
          <w:b/>
          <w:b/>
          <w:bCs/>
          <w:i/>
          <w:i/>
          <w:iCs/>
          <w:sz w:val="24"/>
          <w:szCs w:val="24"/>
        </w:rPr>
      </w:pPr>
      <w:r>
        <w:rPr>
          <w:rFonts w:cs="Times New Roman" w:ascii="Times New Roman" w:hAnsi="Times New Roman"/>
          <w:b/>
          <w:bCs/>
          <w:i/>
          <w:iCs/>
          <w:sz w:val="24"/>
          <w:szCs w:val="24"/>
        </w:rPr>
        <w:t>1.5.1 lentelė. Vakcinacija nuo EE Kauno apskrities savivaldybėse 2022-2023 m.</w:t>
      </w:r>
    </w:p>
    <w:p>
      <w:pPr>
        <w:pStyle w:val="Normal"/>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r>
    </w:p>
    <w:tbl>
      <w:tblPr>
        <w:tblStyle w:val="Lentelstinklelis"/>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07"/>
        <w:gridCol w:w="1571"/>
        <w:gridCol w:w="1261"/>
        <w:gridCol w:w="1574"/>
        <w:gridCol w:w="1499"/>
        <w:gridCol w:w="1815"/>
      </w:tblGrid>
      <w:tr>
        <w:trPr/>
        <w:tc>
          <w:tcPr>
            <w:tcW w:w="1907" w:type="dxa"/>
            <w:vMerge w:val="restart"/>
            <w:tcBorders/>
            <w:shd w:color="auto" w:fill="D78972"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Savivaldybė</w:t>
            </w:r>
          </w:p>
        </w:tc>
        <w:tc>
          <w:tcPr>
            <w:tcW w:w="2832" w:type="dxa"/>
            <w:gridSpan w:val="2"/>
            <w:tcBorders/>
            <w:shd w:color="auto" w:fill="D78972" w:val="clear"/>
            <w:vAlign w:val="center"/>
          </w:tcPr>
          <w:p>
            <w:pPr>
              <w:pStyle w:val="Normal"/>
              <w:widowControl/>
              <w:spacing w:lineRule="auto" w:line="240" w:before="0" w:after="0"/>
              <w:jc w:val="center"/>
              <w:rPr>
                <w:rFonts w:ascii="Times New Roman" w:hAnsi="Times New Roman" w:cs="Times New Roman"/>
                <w:b/>
                <w:b/>
                <w:bCs/>
                <w:color w:val="000000"/>
                <w:sz w:val="24"/>
                <w:szCs w:val="24"/>
              </w:rPr>
            </w:pPr>
            <w:r>
              <w:rPr>
                <w:rFonts w:eastAsia="Calibri" w:cs="Times New Roman" w:ascii="Times New Roman" w:hAnsi="Times New Roman"/>
                <w:b/>
                <w:bCs/>
                <w:color w:val="000000"/>
                <w:sz w:val="24"/>
                <w:szCs w:val="24"/>
                <w:lang w:val="lt-LT" w:eastAsia="en-US" w:bidi="ar-SA"/>
              </w:rPr>
              <w:t>2022</w:t>
            </w:r>
          </w:p>
        </w:tc>
        <w:tc>
          <w:tcPr>
            <w:tcW w:w="3073" w:type="dxa"/>
            <w:gridSpan w:val="2"/>
            <w:tcBorders/>
            <w:shd w:color="auto" w:fill="D78972"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2023</w:t>
            </w:r>
          </w:p>
        </w:tc>
        <w:tc>
          <w:tcPr>
            <w:tcW w:w="1815" w:type="dxa"/>
            <w:vMerge w:val="restart"/>
            <w:tcBorders/>
            <w:shd w:color="auto" w:fill="D78972" w:val="clear"/>
            <w:vAlign w:val="bottom"/>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Bendros EE vakcinacijos pokytis</w:t>
            </w:r>
          </w:p>
        </w:tc>
      </w:tr>
      <w:tr>
        <w:trPr/>
        <w:tc>
          <w:tcPr>
            <w:tcW w:w="1907" w:type="dxa"/>
            <w:vMerge w:val="continue"/>
            <w:tcBorders/>
            <w:shd w:color="auto" w:fill="D78972" w:val="clear"/>
            <w:vAlign w:val="bottom"/>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2"/>
                <w:szCs w:val="22"/>
                <w:lang w:val="lt-LT" w:eastAsia="en-US" w:bidi="ar-SA"/>
              </w:rPr>
            </w:r>
          </w:p>
        </w:tc>
        <w:tc>
          <w:tcPr>
            <w:tcW w:w="1571" w:type="dxa"/>
            <w:tcBorders/>
            <w:shd w:color="auto" w:fill="D78972" w:val="clear"/>
            <w:vAlign w:val="center"/>
          </w:tcPr>
          <w:p>
            <w:pPr>
              <w:pStyle w:val="Normal"/>
              <w:widowControl/>
              <w:spacing w:lineRule="auto" w:line="240" w:before="0" w:after="0"/>
              <w:jc w:val="center"/>
              <w:rPr>
                <w:rFonts w:ascii="Times New Roman" w:hAnsi="Times New Roman" w:cs="Times New Roman"/>
                <w:b/>
                <w:b/>
                <w:bCs/>
                <w:color w:val="000000"/>
                <w:sz w:val="24"/>
                <w:szCs w:val="24"/>
              </w:rPr>
            </w:pPr>
            <w:r>
              <w:rPr>
                <w:rFonts w:eastAsia="Calibri" w:cs="Times New Roman" w:ascii="Times New Roman" w:hAnsi="Times New Roman"/>
                <w:b/>
                <w:bCs/>
                <w:color w:val="000000"/>
                <w:sz w:val="24"/>
                <w:szCs w:val="24"/>
                <w:lang w:val="lt-LT" w:eastAsia="en-US" w:bidi="ar-SA"/>
              </w:rPr>
              <w:t>Iš viso</w:t>
            </w:r>
          </w:p>
        </w:tc>
        <w:tc>
          <w:tcPr>
            <w:tcW w:w="1261" w:type="dxa"/>
            <w:tcBorders/>
            <w:shd w:color="auto" w:fill="D78972" w:val="clear"/>
            <w:vAlign w:val="center"/>
          </w:tcPr>
          <w:p>
            <w:pPr>
              <w:pStyle w:val="Normal"/>
              <w:widowControl/>
              <w:spacing w:lineRule="auto" w:line="240" w:before="0" w:after="0"/>
              <w:jc w:val="center"/>
              <w:rPr>
                <w:rFonts w:ascii="Times New Roman" w:hAnsi="Times New Roman" w:cs="Times New Roman"/>
                <w:b/>
                <w:b/>
                <w:bCs/>
                <w:color w:val="000000"/>
                <w:sz w:val="24"/>
                <w:szCs w:val="24"/>
              </w:rPr>
            </w:pPr>
            <w:r>
              <w:rPr>
                <w:rFonts w:eastAsia="Calibri" w:cs="Times New Roman" w:ascii="Times New Roman" w:hAnsi="Times New Roman"/>
                <w:b/>
                <w:bCs/>
                <w:color w:val="000000"/>
                <w:sz w:val="24"/>
                <w:szCs w:val="24"/>
                <w:lang w:val="lt-LT" w:eastAsia="en-US" w:bidi="ar-SA"/>
              </w:rPr>
              <w:t>I dozė</w:t>
            </w:r>
          </w:p>
        </w:tc>
        <w:tc>
          <w:tcPr>
            <w:tcW w:w="1574" w:type="dxa"/>
            <w:tcBorders/>
            <w:shd w:color="auto" w:fill="D78972" w:val="clear"/>
            <w:vAlign w:val="center"/>
          </w:tcPr>
          <w:p>
            <w:pPr>
              <w:pStyle w:val="Normal"/>
              <w:widowControl/>
              <w:spacing w:lineRule="auto" w:line="240" w:before="0" w:after="0"/>
              <w:jc w:val="center"/>
              <w:rPr>
                <w:rFonts w:ascii="Times New Roman" w:hAnsi="Times New Roman" w:cs="Times New Roman"/>
                <w:b/>
                <w:b/>
                <w:bCs/>
                <w:color w:val="000000"/>
                <w:sz w:val="24"/>
                <w:szCs w:val="24"/>
              </w:rPr>
            </w:pPr>
            <w:r>
              <w:rPr>
                <w:rFonts w:eastAsia="Calibri" w:cs="Times New Roman" w:ascii="Times New Roman" w:hAnsi="Times New Roman"/>
                <w:b/>
                <w:bCs/>
                <w:color w:val="000000"/>
                <w:sz w:val="24"/>
                <w:szCs w:val="24"/>
                <w:lang w:val="lt-LT" w:eastAsia="en-US" w:bidi="ar-SA"/>
              </w:rPr>
              <w:t>Iš viso</w:t>
            </w:r>
          </w:p>
        </w:tc>
        <w:tc>
          <w:tcPr>
            <w:tcW w:w="1499" w:type="dxa"/>
            <w:tcBorders/>
            <w:shd w:color="auto" w:fill="D78972"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I dozė</w:t>
            </w:r>
          </w:p>
        </w:tc>
        <w:tc>
          <w:tcPr>
            <w:tcW w:w="1815" w:type="dxa"/>
            <w:vMerge w:val="continue"/>
            <w:tcBorders/>
            <w:shd w:color="auto" w:fill="D78972" w:val="clear"/>
            <w:vAlign w:val="bottom"/>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2"/>
                <w:szCs w:val="22"/>
                <w:lang w:val="lt-LT" w:eastAsia="en-US" w:bidi="ar-SA"/>
              </w:rPr>
            </w:r>
          </w:p>
        </w:tc>
      </w:tr>
      <w:tr>
        <w:trPr/>
        <w:tc>
          <w:tcPr>
            <w:tcW w:w="1907" w:type="dxa"/>
            <w:tcBorders/>
            <w:shd w:color="auto" w:fill="E7E6E6" w:themeFill="background2" w:val="clear"/>
            <w:vAlign w:val="bottom"/>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Kauno apskritis</w:t>
            </w:r>
          </w:p>
        </w:tc>
        <w:tc>
          <w:tcPr>
            <w:tcW w:w="1571" w:type="dxa"/>
            <w:tcBorders/>
            <w:shd w:color="auto" w:fill="E7E6E6" w:themeFill="background2" w:val="clear"/>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76628</w:t>
            </w:r>
          </w:p>
        </w:tc>
        <w:tc>
          <w:tcPr>
            <w:tcW w:w="1261" w:type="dxa"/>
            <w:tcBorders/>
            <w:shd w:color="auto" w:fill="E7E6E6" w:themeFill="background2" w:val="clear"/>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21539</w:t>
            </w:r>
          </w:p>
        </w:tc>
        <w:tc>
          <w:tcPr>
            <w:tcW w:w="1574" w:type="dxa"/>
            <w:tcBorders/>
            <w:shd w:color="auto" w:fill="E7E6E6" w:themeFill="background2" w:val="clear"/>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87190</w:t>
            </w:r>
          </w:p>
        </w:tc>
        <w:tc>
          <w:tcPr>
            <w:tcW w:w="1499" w:type="dxa"/>
            <w:tcBorders/>
            <w:shd w:color="auto" w:fill="E7E6E6" w:themeFill="background2" w:val="clear"/>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23614</w:t>
            </w:r>
          </w:p>
        </w:tc>
        <w:tc>
          <w:tcPr>
            <w:tcW w:w="1815" w:type="dxa"/>
            <w:tcBorders/>
            <w:shd w:color="auto" w:fill="E7E6E6" w:themeFill="background2" w:val="clear"/>
            <w:vAlign w:val="center"/>
          </w:tcPr>
          <w:p>
            <w:pPr>
              <w:pStyle w:val="Normal"/>
              <w:widowControl/>
              <w:tabs>
                <w:tab w:val="clear" w:pos="1296"/>
                <w:tab w:val="decimal" w:pos="445" w:leader="none"/>
              </w:tabs>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+13,8 proc.</w:t>
            </w:r>
            <w:bookmarkStart w:id="3" w:name="_Hlk164148379"/>
            <w:bookmarkEnd w:id="3"/>
          </w:p>
        </w:tc>
      </w:tr>
      <w:tr>
        <w:trPr/>
        <w:tc>
          <w:tcPr>
            <w:tcW w:w="1907" w:type="dxa"/>
            <w:tcBorders/>
            <w:shd w:color="auto" w:fill="F3DCD5" w:val="clear"/>
            <w:vAlign w:val="bottom"/>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Kauno m.</w:t>
            </w:r>
          </w:p>
        </w:tc>
        <w:tc>
          <w:tcPr>
            <w:tcW w:w="157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55111</w:t>
            </w:r>
          </w:p>
        </w:tc>
        <w:tc>
          <w:tcPr>
            <w:tcW w:w="126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15138</w:t>
            </w:r>
          </w:p>
        </w:tc>
        <w:tc>
          <w:tcPr>
            <w:tcW w:w="1574"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63062</w:t>
            </w:r>
          </w:p>
        </w:tc>
        <w:tc>
          <w:tcPr>
            <w:tcW w:w="149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16861</w:t>
            </w:r>
          </w:p>
        </w:tc>
        <w:tc>
          <w:tcPr>
            <w:tcW w:w="1815" w:type="dxa"/>
            <w:tcBorders/>
            <w:vAlign w:val="center"/>
          </w:tcPr>
          <w:p>
            <w:pPr>
              <w:pStyle w:val="Normal"/>
              <w:widowControl/>
              <w:tabs>
                <w:tab w:val="clear" w:pos="1296"/>
                <w:tab w:val="decimal" w:pos="445" w:leader="none"/>
              </w:tabs>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+14,4 proc.</w:t>
            </w:r>
          </w:p>
        </w:tc>
      </w:tr>
      <w:tr>
        <w:trPr/>
        <w:tc>
          <w:tcPr>
            <w:tcW w:w="1907" w:type="dxa"/>
            <w:tcBorders/>
            <w:shd w:color="auto" w:fill="F3DCD5" w:val="clear"/>
            <w:vAlign w:val="bottom"/>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Kauno r.</w:t>
            </w:r>
          </w:p>
        </w:tc>
        <w:tc>
          <w:tcPr>
            <w:tcW w:w="157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5308</w:t>
            </w:r>
          </w:p>
        </w:tc>
        <w:tc>
          <w:tcPr>
            <w:tcW w:w="126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1655</w:t>
            </w:r>
          </w:p>
        </w:tc>
        <w:tc>
          <w:tcPr>
            <w:tcW w:w="1574"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6347</w:t>
            </w:r>
          </w:p>
        </w:tc>
        <w:tc>
          <w:tcPr>
            <w:tcW w:w="149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1731</w:t>
            </w:r>
          </w:p>
        </w:tc>
        <w:tc>
          <w:tcPr>
            <w:tcW w:w="1815" w:type="dxa"/>
            <w:tcBorders/>
            <w:vAlign w:val="center"/>
          </w:tcPr>
          <w:p>
            <w:pPr>
              <w:pStyle w:val="Normal"/>
              <w:widowControl/>
              <w:tabs>
                <w:tab w:val="clear" w:pos="1296"/>
                <w:tab w:val="decimal" w:pos="445" w:leader="none"/>
              </w:tabs>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+19,6 proc.</w:t>
            </w:r>
          </w:p>
        </w:tc>
      </w:tr>
      <w:tr>
        <w:trPr/>
        <w:tc>
          <w:tcPr>
            <w:tcW w:w="1907" w:type="dxa"/>
            <w:tcBorders/>
            <w:shd w:color="auto" w:fill="F3DCD5" w:val="clear"/>
            <w:vAlign w:val="bottom"/>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Jonavos r.</w:t>
            </w:r>
          </w:p>
        </w:tc>
        <w:tc>
          <w:tcPr>
            <w:tcW w:w="157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5215</w:t>
            </w:r>
          </w:p>
        </w:tc>
        <w:tc>
          <w:tcPr>
            <w:tcW w:w="126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1567</w:t>
            </w:r>
          </w:p>
        </w:tc>
        <w:tc>
          <w:tcPr>
            <w:tcW w:w="1574"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6346</w:t>
            </w:r>
          </w:p>
        </w:tc>
        <w:tc>
          <w:tcPr>
            <w:tcW w:w="149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2118</w:t>
            </w:r>
          </w:p>
        </w:tc>
        <w:tc>
          <w:tcPr>
            <w:tcW w:w="1815" w:type="dxa"/>
            <w:tcBorders/>
            <w:vAlign w:val="center"/>
          </w:tcPr>
          <w:p>
            <w:pPr>
              <w:pStyle w:val="Normal"/>
              <w:widowControl/>
              <w:tabs>
                <w:tab w:val="clear" w:pos="1296"/>
                <w:tab w:val="decimal" w:pos="445" w:leader="none"/>
              </w:tabs>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+21,7 proc.</w:t>
            </w:r>
          </w:p>
        </w:tc>
      </w:tr>
      <w:tr>
        <w:trPr/>
        <w:tc>
          <w:tcPr>
            <w:tcW w:w="1907" w:type="dxa"/>
            <w:tcBorders/>
            <w:shd w:color="auto" w:fill="F3DCD5" w:val="clear"/>
            <w:vAlign w:val="bottom"/>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Kėdainių r.</w:t>
            </w:r>
          </w:p>
        </w:tc>
        <w:tc>
          <w:tcPr>
            <w:tcW w:w="157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4078</w:t>
            </w:r>
          </w:p>
        </w:tc>
        <w:tc>
          <w:tcPr>
            <w:tcW w:w="126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1099</w:t>
            </w:r>
          </w:p>
        </w:tc>
        <w:tc>
          <w:tcPr>
            <w:tcW w:w="1574"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3850</w:t>
            </w:r>
          </w:p>
        </w:tc>
        <w:tc>
          <w:tcPr>
            <w:tcW w:w="149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866</w:t>
            </w:r>
          </w:p>
        </w:tc>
        <w:tc>
          <w:tcPr>
            <w:tcW w:w="1815" w:type="dxa"/>
            <w:tcBorders/>
            <w:vAlign w:val="center"/>
          </w:tcPr>
          <w:p>
            <w:pPr>
              <w:pStyle w:val="Normal"/>
              <w:widowControl/>
              <w:tabs>
                <w:tab w:val="clear" w:pos="1296"/>
                <w:tab w:val="decimal" w:pos="445" w:leader="none"/>
              </w:tabs>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-5,6 proc.</w:t>
            </w:r>
          </w:p>
        </w:tc>
      </w:tr>
    </w:tbl>
    <w:p>
      <w:pPr>
        <w:pStyle w:val="Normal"/>
        <w:spacing w:lineRule="auto" w:line="240" w:before="0" w:after="0"/>
        <w:ind w:firstLine="567"/>
        <w:jc w:val="both"/>
        <w:rPr>
          <w:rFonts w:ascii="Times New Roman" w:hAnsi="Times New Roman" w:cs="Times New Roman"/>
          <w:b/>
          <w:b/>
          <w:bCs/>
          <w:i/>
          <w:i/>
          <w:iCs/>
          <w:sz w:val="24"/>
          <w:szCs w:val="24"/>
        </w:rPr>
      </w:pPr>
      <w:r>
        <w:rPr>
          <w:rFonts w:cs="Times New Roman" w:ascii="Times New Roman" w:hAnsi="Times New Roman"/>
          <w:b/>
          <w:bCs/>
          <w:i/>
          <w:iCs/>
          <w:sz w:val="24"/>
          <w:szCs w:val="24"/>
        </w:rPr>
        <w:t>1.5.1 lentelės tęsinys. Vakcinacija nuo EE Kauno apskrities savivaldybėse 2022-2023 m.</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tbl>
      <w:tblPr>
        <w:tblStyle w:val="Lentelstinklelis"/>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07"/>
        <w:gridCol w:w="1571"/>
        <w:gridCol w:w="1261"/>
        <w:gridCol w:w="1574"/>
        <w:gridCol w:w="1499"/>
        <w:gridCol w:w="1815"/>
      </w:tblGrid>
      <w:tr>
        <w:trPr/>
        <w:tc>
          <w:tcPr>
            <w:tcW w:w="1907" w:type="dxa"/>
            <w:vMerge w:val="restart"/>
            <w:tcBorders/>
            <w:shd w:color="auto" w:fill="D78972"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Savivaldybė</w:t>
            </w:r>
          </w:p>
        </w:tc>
        <w:tc>
          <w:tcPr>
            <w:tcW w:w="2832" w:type="dxa"/>
            <w:gridSpan w:val="2"/>
            <w:tcBorders/>
            <w:shd w:color="auto" w:fill="D78972" w:val="clear"/>
            <w:vAlign w:val="center"/>
          </w:tcPr>
          <w:p>
            <w:pPr>
              <w:pStyle w:val="Normal"/>
              <w:widowControl/>
              <w:spacing w:lineRule="auto" w:line="240" w:before="0" w:after="0"/>
              <w:jc w:val="center"/>
              <w:rPr>
                <w:rFonts w:ascii="Times New Roman" w:hAnsi="Times New Roman" w:cs="Times New Roman"/>
                <w:b/>
                <w:b/>
                <w:bCs/>
                <w:color w:val="000000"/>
                <w:sz w:val="24"/>
                <w:szCs w:val="24"/>
              </w:rPr>
            </w:pPr>
            <w:r>
              <w:rPr>
                <w:rFonts w:eastAsia="Calibri" w:cs="Times New Roman" w:ascii="Times New Roman" w:hAnsi="Times New Roman"/>
                <w:b/>
                <w:bCs/>
                <w:color w:val="000000"/>
                <w:sz w:val="24"/>
                <w:szCs w:val="24"/>
                <w:lang w:val="lt-LT" w:eastAsia="en-US" w:bidi="ar-SA"/>
              </w:rPr>
              <w:t>2022</w:t>
            </w:r>
          </w:p>
        </w:tc>
        <w:tc>
          <w:tcPr>
            <w:tcW w:w="3073" w:type="dxa"/>
            <w:gridSpan w:val="2"/>
            <w:tcBorders/>
            <w:shd w:color="auto" w:fill="D78972"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2023</w:t>
            </w:r>
          </w:p>
        </w:tc>
        <w:tc>
          <w:tcPr>
            <w:tcW w:w="1815" w:type="dxa"/>
            <w:vMerge w:val="restart"/>
            <w:tcBorders/>
            <w:shd w:color="auto" w:fill="D78972" w:val="clear"/>
            <w:vAlign w:val="bottom"/>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4"/>
                <w:szCs w:val="24"/>
                <w:lang w:val="lt-LT" w:eastAsia="en-US" w:bidi="ar-SA"/>
              </w:rPr>
              <w:t>Bendros EE vakcinacijos pokytis</w:t>
            </w:r>
          </w:p>
        </w:tc>
      </w:tr>
      <w:tr>
        <w:trPr/>
        <w:tc>
          <w:tcPr>
            <w:tcW w:w="1907" w:type="dxa"/>
            <w:vMerge w:val="continue"/>
            <w:tcBorders/>
            <w:shd w:color="auto" w:fill="D78972" w:val="clear"/>
            <w:vAlign w:val="bottom"/>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2"/>
                <w:szCs w:val="22"/>
                <w:lang w:val="lt-LT" w:eastAsia="en-US" w:bidi="ar-SA"/>
              </w:rPr>
            </w:r>
          </w:p>
        </w:tc>
        <w:tc>
          <w:tcPr>
            <w:tcW w:w="1571" w:type="dxa"/>
            <w:tcBorders/>
            <w:shd w:color="auto" w:fill="D78972" w:val="clear"/>
            <w:vAlign w:val="center"/>
          </w:tcPr>
          <w:p>
            <w:pPr>
              <w:pStyle w:val="Normal"/>
              <w:widowControl/>
              <w:spacing w:lineRule="auto" w:line="240" w:before="0" w:after="0"/>
              <w:jc w:val="center"/>
              <w:rPr>
                <w:rFonts w:ascii="Times New Roman" w:hAnsi="Times New Roman" w:cs="Times New Roman"/>
                <w:b/>
                <w:b/>
                <w:bCs/>
                <w:color w:val="000000"/>
                <w:sz w:val="24"/>
                <w:szCs w:val="24"/>
              </w:rPr>
            </w:pPr>
            <w:r>
              <w:rPr>
                <w:rFonts w:eastAsia="Calibri" w:cs="Times New Roman" w:ascii="Times New Roman" w:hAnsi="Times New Roman"/>
                <w:b/>
                <w:bCs/>
                <w:color w:val="000000"/>
                <w:sz w:val="24"/>
                <w:szCs w:val="24"/>
                <w:lang w:val="lt-LT" w:eastAsia="en-US" w:bidi="ar-SA"/>
              </w:rPr>
              <w:t>Iš viso</w:t>
            </w:r>
          </w:p>
        </w:tc>
        <w:tc>
          <w:tcPr>
            <w:tcW w:w="1261" w:type="dxa"/>
            <w:tcBorders/>
            <w:shd w:color="auto" w:fill="D78972" w:val="clear"/>
            <w:vAlign w:val="center"/>
          </w:tcPr>
          <w:p>
            <w:pPr>
              <w:pStyle w:val="Normal"/>
              <w:widowControl/>
              <w:spacing w:lineRule="auto" w:line="240" w:before="0" w:after="0"/>
              <w:jc w:val="center"/>
              <w:rPr>
                <w:rFonts w:ascii="Times New Roman" w:hAnsi="Times New Roman" w:cs="Times New Roman"/>
                <w:b/>
                <w:b/>
                <w:bCs/>
                <w:color w:val="000000"/>
                <w:sz w:val="24"/>
                <w:szCs w:val="24"/>
              </w:rPr>
            </w:pPr>
            <w:r>
              <w:rPr>
                <w:rFonts w:eastAsia="Calibri" w:cs="Times New Roman" w:ascii="Times New Roman" w:hAnsi="Times New Roman"/>
                <w:b/>
                <w:bCs/>
                <w:color w:val="000000"/>
                <w:sz w:val="24"/>
                <w:szCs w:val="24"/>
                <w:lang w:val="lt-LT" w:eastAsia="en-US" w:bidi="ar-SA"/>
              </w:rPr>
              <w:t>I dozė</w:t>
            </w:r>
          </w:p>
        </w:tc>
        <w:tc>
          <w:tcPr>
            <w:tcW w:w="1574" w:type="dxa"/>
            <w:tcBorders/>
            <w:shd w:color="auto" w:fill="D78972" w:val="clear"/>
            <w:vAlign w:val="center"/>
          </w:tcPr>
          <w:p>
            <w:pPr>
              <w:pStyle w:val="Normal"/>
              <w:widowControl/>
              <w:spacing w:lineRule="auto" w:line="240" w:before="0" w:after="0"/>
              <w:jc w:val="center"/>
              <w:rPr>
                <w:rFonts w:ascii="Times New Roman" w:hAnsi="Times New Roman" w:cs="Times New Roman"/>
                <w:b/>
                <w:b/>
                <w:bCs/>
                <w:color w:val="000000"/>
                <w:sz w:val="24"/>
                <w:szCs w:val="24"/>
              </w:rPr>
            </w:pPr>
            <w:r>
              <w:rPr>
                <w:rFonts w:eastAsia="Calibri" w:cs="Times New Roman" w:ascii="Times New Roman" w:hAnsi="Times New Roman"/>
                <w:b/>
                <w:bCs/>
                <w:color w:val="000000"/>
                <w:sz w:val="24"/>
                <w:szCs w:val="24"/>
                <w:lang w:val="lt-LT" w:eastAsia="en-US" w:bidi="ar-SA"/>
              </w:rPr>
              <w:t>Iš viso</w:t>
            </w:r>
          </w:p>
        </w:tc>
        <w:tc>
          <w:tcPr>
            <w:tcW w:w="1499" w:type="dxa"/>
            <w:tcBorders/>
            <w:shd w:color="auto" w:fill="D78972"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I dozė</w:t>
            </w:r>
          </w:p>
        </w:tc>
        <w:tc>
          <w:tcPr>
            <w:tcW w:w="1815" w:type="dxa"/>
            <w:vMerge w:val="continue"/>
            <w:tcBorders/>
            <w:shd w:color="auto" w:fill="D78972" w:val="clear"/>
            <w:vAlign w:val="bottom"/>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sz w:val="22"/>
                <w:szCs w:val="22"/>
                <w:lang w:val="lt-LT" w:eastAsia="en-US" w:bidi="ar-SA"/>
              </w:rPr>
            </w:r>
          </w:p>
        </w:tc>
      </w:tr>
      <w:tr>
        <w:trPr/>
        <w:tc>
          <w:tcPr>
            <w:tcW w:w="1907" w:type="dxa"/>
            <w:tcBorders/>
            <w:shd w:color="auto" w:fill="F3DCD5" w:val="clear"/>
            <w:vAlign w:val="bottom"/>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Raseinių r.</w:t>
            </w:r>
          </w:p>
        </w:tc>
        <w:tc>
          <w:tcPr>
            <w:tcW w:w="157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2561</w:t>
            </w:r>
          </w:p>
        </w:tc>
        <w:tc>
          <w:tcPr>
            <w:tcW w:w="126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806</w:t>
            </w:r>
          </w:p>
        </w:tc>
        <w:tc>
          <w:tcPr>
            <w:tcW w:w="1574"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2514</w:t>
            </w:r>
          </w:p>
        </w:tc>
        <w:tc>
          <w:tcPr>
            <w:tcW w:w="149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659</w:t>
            </w:r>
          </w:p>
        </w:tc>
        <w:tc>
          <w:tcPr>
            <w:tcW w:w="1815" w:type="dxa"/>
            <w:tcBorders/>
            <w:vAlign w:val="center"/>
          </w:tcPr>
          <w:p>
            <w:pPr>
              <w:pStyle w:val="Normal"/>
              <w:widowControl/>
              <w:tabs>
                <w:tab w:val="clear" w:pos="1296"/>
                <w:tab w:val="decimal" w:pos="445" w:leader="none"/>
              </w:tabs>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-1,8 proc.</w:t>
            </w:r>
          </w:p>
        </w:tc>
      </w:tr>
      <w:tr>
        <w:trPr/>
        <w:tc>
          <w:tcPr>
            <w:tcW w:w="1907" w:type="dxa"/>
            <w:tcBorders/>
            <w:shd w:color="auto" w:fill="F3DCD5" w:val="clear"/>
            <w:vAlign w:val="bottom"/>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Prienų r.</w:t>
            </w:r>
          </w:p>
        </w:tc>
        <w:tc>
          <w:tcPr>
            <w:tcW w:w="157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2429</w:t>
            </w:r>
          </w:p>
        </w:tc>
        <w:tc>
          <w:tcPr>
            <w:tcW w:w="126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747</w:t>
            </w:r>
          </w:p>
        </w:tc>
        <w:tc>
          <w:tcPr>
            <w:tcW w:w="1574"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2955</w:t>
            </w:r>
          </w:p>
        </w:tc>
        <w:tc>
          <w:tcPr>
            <w:tcW w:w="149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844</w:t>
            </w:r>
          </w:p>
        </w:tc>
        <w:tc>
          <w:tcPr>
            <w:tcW w:w="1815" w:type="dxa"/>
            <w:tcBorders/>
            <w:vAlign w:val="center"/>
          </w:tcPr>
          <w:p>
            <w:pPr>
              <w:pStyle w:val="Normal"/>
              <w:widowControl/>
              <w:tabs>
                <w:tab w:val="clear" w:pos="1296"/>
                <w:tab w:val="decimal" w:pos="445" w:leader="none"/>
              </w:tabs>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+21,7 proc.</w:t>
            </w:r>
          </w:p>
        </w:tc>
      </w:tr>
      <w:tr>
        <w:trPr>
          <w:trHeight w:val="70" w:hRule="atLeast"/>
        </w:trPr>
        <w:tc>
          <w:tcPr>
            <w:tcW w:w="1907" w:type="dxa"/>
            <w:tcBorders/>
            <w:shd w:color="auto" w:fill="F3DCD5" w:val="clear"/>
            <w:vAlign w:val="bottom"/>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color w:val="000000"/>
                <w:sz w:val="24"/>
                <w:szCs w:val="24"/>
                <w:lang w:val="lt-LT" w:eastAsia="en-US" w:bidi="ar-SA"/>
              </w:rPr>
              <w:t>Kaišiadorių r.</w:t>
            </w:r>
          </w:p>
        </w:tc>
        <w:tc>
          <w:tcPr>
            <w:tcW w:w="157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1779</w:t>
            </w:r>
          </w:p>
        </w:tc>
        <w:tc>
          <w:tcPr>
            <w:tcW w:w="126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487</w:t>
            </w:r>
          </w:p>
        </w:tc>
        <w:tc>
          <w:tcPr>
            <w:tcW w:w="1574"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1890</w:t>
            </w:r>
          </w:p>
        </w:tc>
        <w:tc>
          <w:tcPr>
            <w:tcW w:w="149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484</w:t>
            </w:r>
          </w:p>
        </w:tc>
        <w:tc>
          <w:tcPr>
            <w:tcW w:w="1815" w:type="dxa"/>
            <w:tcBorders/>
            <w:vAlign w:val="center"/>
          </w:tcPr>
          <w:p>
            <w:pPr>
              <w:pStyle w:val="Normal"/>
              <w:widowControl/>
              <w:tabs>
                <w:tab w:val="clear" w:pos="1296"/>
                <w:tab w:val="decimal" w:pos="445" w:leader="none"/>
              </w:tabs>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color w:val="000000"/>
                <w:sz w:val="24"/>
                <w:szCs w:val="24"/>
                <w:lang w:val="lt-LT" w:eastAsia="en-US" w:bidi="ar-SA"/>
              </w:rPr>
              <w:t>+6,2 proc.</w:t>
            </w:r>
          </w:p>
        </w:tc>
      </w:tr>
      <w:tr>
        <w:trPr>
          <w:trHeight w:val="70" w:hRule="atLeast"/>
        </w:trPr>
        <w:tc>
          <w:tcPr>
            <w:tcW w:w="1907" w:type="dxa"/>
            <w:tcBorders/>
            <w:shd w:color="auto" w:fill="F3DCD5" w:val="clear"/>
            <w:vAlign w:val="bottom"/>
          </w:tcPr>
          <w:p>
            <w:pPr>
              <w:pStyle w:val="Normal"/>
              <w:widowControl/>
              <w:spacing w:lineRule="auto" w:line="240" w:before="0" w:after="0"/>
              <w:jc w:val="both"/>
              <w:rPr>
                <w:rFonts w:ascii="Times New Roman" w:hAnsi="Times New Roman" w:cs="Times New Roman"/>
                <w:color w:val="000000"/>
                <w:sz w:val="24"/>
                <w:szCs w:val="24"/>
              </w:rPr>
            </w:pPr>
            <w:r>
              <w:rPr>
                <w:rFonts w:eastAsia="Calibri" w:cs="Times New Roman" w:ascii="Times New Roman" w:hAnsi="Times New Roman"/>
                <w:color w:val="000000"/>
                <w:sz w:val="24"/>
                <w:szCs w:val="24"/>
                <w:lang w:val="lt-LT" w:eastAsia="en-US" w:bidi="ar-SA"/>
              </w:rPr>
              <w:t>Birštono sav.</w:t>
            </w:r>
          </w:p>
        </w:tc>
        <w:tc>
          <w:tcPr>
            <w:tcW w:w="157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147</w:t>
            </w:r>
          </w:p>
        </w:tc>
        <w:tc>
          <w:tcPr>
            <w:tcW w:w="1261"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40</w:t>
            </w:r>
          </w:p>
        </w:tc>
        <w:tc>
          <w:tcPr>
            <w:tcW w:w="1574"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226</w:t>
            </w:r>
          </w:p>
        </w:tc>
        <w:tc>
          <w:tcPr>
            <w:tcW w:w="149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lang w:val="lt-LT" w:eastAsia="en-US" w:bidi="ar-SA"/>
              </w:rPr>
              <w:t>51</w:t>
            </w:r>
          </w:p>
        </w:tc>
        <w:tc>
          <w:tcPr>
            <w:tcW w:w="1815" w:type="dxa"/>
            <w:tcBorders/>
            <w:vAlign w:val="center"/>
          </w:tcPr>
          <w:p>
            <w:pPr>
              <w:pStyle w:val="Normal"/>
              <w:widowControl/>
              <w:tabs>
                <w:tab w:val="clear" w:pos="1296"/>
                <w:tab w:val="decimal" w:pos="445" w:leader="none"/>
              </w:tabs>
              <w:spacing w:lineRule="auto" w:line="240" w:before="0" w:after="0"/>
              <w:jc w:val="center"/>
              <w:rPr>
                <w:rFonts w:ascii="Times New Roman" w:hAnsi="Times New Roman" w:cs="Times New Roman"/>
                <w:b/>
                <w:b/>
                <w:bCs/>
                <w:color w:val="000000"/>
                <w:sz w:val="24"/>
                <w:szCs w:val="24"/>
              </w:rPr>
            </w:pPr>
            <w:r>
              <w:rPr>
                <w:rFonts w:eastAsia="Calibri" w:cs="Times New Roman" w:ascii="Times New Roman" w:hAnsi="Times New Roman"/>
                <w:b/>
                <w:bCs/>
                <w:color w:val="000000"/>
                <w:sz w:val="24"/>
                <w:szCs w:val="24"/>
                <w:lang w:val="lt-LT" w:eastAsia="en-US" w:bidi="ar-SA"/>
              </w:rPr>
              <w:t>+53,7 proc.</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Norint įvertinti skiepijimo nuo EE aprėptis, būtina sutelkti dėmesį į trečiąją ir sustiprinančiąją EE vakcinos dozę gavusių asmenų skaičius. Tai atspindi visišką imunizaciją ir ilgalaikę apsaugą nuo EE, nes patikimiausią ir ilgiausią apsaugą nuo EE garantuoja 3 EE skiepų dozės – apie 99 proc. paskiepytųjų įgyja atsparumą erkiniam encefalitui 3-5 metams, o sustiprinančioji dozė (priklausomai nuo amžiaus kartojama kas 3-5 m.) – palaiko imunitetą. Apskaičiavus apimtis, galima tiksliai įvertinti skiepijimo veiksmingumą, visuomenės sveikatos strategijų, skatinančių užbaigti skiepijimo kursą poveikį ir imunizacijos spragas.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Lyginant su 2022 m. Kauno apskrities gyventojų įgijusiųjų pakankamą apsaugą (pasiskiepijo trimis EE vakcinos dozėmis arba sustiprinančiąja EE doze) nuo EE padidėjo 16,8 proc. Didžiausios EE skiepijimų apimtys fiksuojamos Kauno m. (9,7 proc.), mažiausios – Kauno r. (2,8 proc.). 2023 m. visose Kauno apskrities teritorijose, išskyrus Jonavos r., skiepijimo apimtys lyginant su 2022 m. padidėjo (1.5.1 pav.).</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5325" w:leader="none"/>
        </w:tabs>
        <w:spacing w:lineRule="auto" w:line="240"/>
        <w:rPr>
          <w14:ligatures w14:val="standardContextual"/>
        </w:rPr>
      </w:pPr>
      <w:r>
        <w:rPr/>
        <w:drawing>
          <wp:inline distT="0" distB="0" distL="0" distR="0">
            <wp:extent cx="6283960" cy="2880995"/>
            <wp:effectExtent l="0" t="0" r="0" b="0"/>
            <wp:docPr id="1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Normal"/>
        <w:spacing w:lineRule="auto" w:line="240"/>
        <w:jc w:val="center"/>
        <w:rPr>
          <w:rFonts w:ascii="Times New Roman" w:hAnsi="Times New Roman" w:cs="Times New Roman"/>
          <w:b/>
          <w:b/>
          <w:bCs/>
          <w:i/>
          <w:i/>
          <w:iCs/>
          <w:sz w:val="20"/>
          <w:szCs w:val="20"/>
        </w:rPr>
      </w:pPr>
      <w:r>
        <w:rPr>
          <w:rFonts w:cs="Times New Roman" w:ascii="Times New Roman" w:hAnsi="Times New Roman"/>
          <w:b/>
          <w:bCs/>
          <w:i/>
          <w:iCs/>
          <w:sz w:val="24"/>
          <w:szCs w:val="24"/>
        </w:rPr>
        <w:t>1.5.1 pav. Skiepijimo nuo EE apimčių pokyčiai Kauno apskrities savivaldybėse 2022-2023 m.</w:t>
        <w:br/>
      </w:r>
      <w:r>
        <w:rPr>
          <w:rFonts w:cs="Times New Roman" w:ascii="Times New Roman" w:hAnsi="Times New Roman"/>
          <w:b/>
          <w:bCs/>
          <w:i/>
          <w:iCs/>
          <w:sz w:val="20"/>
          <w:szCs w:val="20"/>
        </w:rPr>
        <w:t>(III EE dozė + sustiprinančioji dozė)</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Gerinant imunoprofilaktikos prieinamumą nuo 2021 m. kovo 1 d. nuo EE ir kitų ligų (gripo, pneumokokinės infekcijos) galima pasiskiepyti ne tik asmens sveikatos priežiūros įstaigose, bet ir vaistinėse. Sveikatos apsaugos ministerijai patvirtinus Nacionalinę imunoprofilaktikos programą 2024-2028 metams, numatyta, kad nuo 2024 m. rugsėjo 1 d. valstybės lėšomis nuo EE galės pasiskiepyti 50-55 m. amžiaus gyventojai.</w:t>
      </w:r>
    </w:p>
    <w:p>
      <w:pPr>
        <w:pStyle w:val="Normal"/>
        <w:tabs>
          <w:tab w:val="clear" w:pos="1296"/>
          <w:tab w:val="left" w:pos="5325" w:leader="none"/>
        </w:tabs>
        <w:spacing w:lineRule="auto" w:line="240"/>
        <w:rPr/>
      </w:pPr>
      <w:r>
        <w:rPr/>
      </w:r>
    </w:p>
    <w:p>
      <w:pPr>
        <w:pStyle w:val="Normal"/>
        <w:tabs>
          <w:tab w:val="clear" w:pos="1296"/>
          <w:tab w:val="left" w:pos="5325" w:leader="none"/>
        </w:tabs>
        <w:spacing w:lineRule="auto" w:line="240"/>
        <w:rPr/>
      </w:pPr>
      <w:r>
        <w:rPr/>
      </w:r>
    </w:p>
    <w:p>
      <w:pPr>
        <w:pStyle w:val="Normal"/>
        <w:tabs>
          <w:tab w:val="clear" w:pos="1296"/>
          <w:tab w:val="left" w:pos="5325" w:leader="none"/>
        </w:tabs>
        <w:spacing w:lineRule="auto" w:line="240"/>
        <w:rPr/>
      </w:pPr>
      <w:r>
        <w:rPr/>
      </w:r>
    </w:p>
    <w:p>
      <w:pPr>
        <w:pStyle w:val="Normal"/>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t>Išvados:</w:t>
      </w:r>
    </w:p>
    <w:p>
      <w:pPr>
        <w:pStyle w:val="Normal"/>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8"/>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Kauno apskritis kaip ir Lietuva išlieka endeminė EPL teritorija. 2023 m. Kauno apskrityje registruoti 140 EE atvejai ir 651 LL atvejai. 2022 m. Kauno apskrityje sergamumas erkių platinamomis ligomis padidėjo: EE sergamumas siekė 2,41 atv./10 tūkst. gyventojų ir buvo 43 proc. didesnis nei 2022 m., o LL sergamumas siekė 11,22 atv./ 10 tūkst. gyventojų ir padidėjo 5 proc. lyginant su 2022 m. </w:t>
      </w:r>
    </w:p>
    <w:p>
      <w:pPr>
        <w:pStyle w:val="ListParagraph"/>
        <w:numPr>
          <w:ilvl w:val="0"/>
          <w:numId w:val="8"/>
        </w:numPr>
        <w:spacing w:lineRule="auto" w:line="240" w:before="0" w:after="0"/>
        <w:contextualSpacing/>
        <w:jc w:val="both"/>
        <w:rPr>
          <w:rFonts w:ascii="Times New Roman" w:hAnsi="Times New Roman" w:cs="Times New Roman"/>
          <w:b/>
          <w:b/>
          <w:bCs/>
          <w:sz w:val="24"/>
          <w:szCs w:val="24"/>
        </w:rPr>
      </w:pPr>
      <w:r>
        <w:rPr>
          <w:rFonts w:cs="Times New Roman" w:ascii="Times New Roman" w:hAnsi="Times New Roman"/>
          <w:sz w:val="24"/>
          <w:szCs w:val="24"/>
        </w:rPr>
        <w:t>2023 m. skiepijimo nuo EE apimtys Kauno apskrityje padidėjo 16,8 proc. lyginant su 2022 m. ir siekė 6,9 proc. Skiepijimo nuo EE apimtys padidėjo visose Kauno apskrities administracinėse teritorijose, išskyrus Jonavos r. Nepaisant teigiamų pokyčių, skiepijimo nuo EE apimtys ir toliau išlieka nepakankamos.</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20"/>
        <w:jc w:val="both"/>
        <w:rPr>
          <w:rFonts w:ascii="Times New Roman" w:hAnsi="Times New Roman" w:cs="Times New Roman"/>
          <w:b/>
          <w:b/>
          <w:bCs/>
          <w:sz w:val="24"/>
          <w:szCs w:val="24"/>
        </w:rPr>
      </w:pPr>
      <w:r>
        <w:rPr>
          <w:rFonts w:cs="Times New Roman" w:ascii="Times New Roman" w:hAnsi="Times New Roman"/>
          <w:b/>
          <w:bCs/>
          <w:sz w:val="24"/>
          <w:szCs w:val="24"/>
        </w:rPr>
        <w:t>Siūlymai:</w:t>
      </w:r>
    </w:p>
    <w:p>
      <w:pPr>
        <w:pStyle w:val="Normal"/>
        <w:spacing w:lineRule="auto" w:line="240" w:before="0" w:after="0"/>
        <w:ind w:firstLine="72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t>1. ASPĮ:</w:t>
      </w:r>
    </w:p>
    <w:p>
      <w:pPr>
        <w:pStyle w:val="Normal"/>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1.1. aktyviai inicijuoti skiepijimus nuo erkinio encefalito, ypač šių rizikos grupių asmenims:</w:t>
      </w:r>
    </w:p>
    <w:p>
      <w:pPr>
        <w:pStyle w:val="ListParagraph"/>
        <w:numPr>
          <w:ilvl w:val="0"/>
          <w:numId w:val="6"/>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nepriklausomai nuo amžiaus visiems, kurių bet kokia veikla susijusi su buvimu lauke;</w:t>
      </w:r>
    </w:p>
    <w:p>
      <w:pPr>
        <w:pStyle w:val="ListParagraph"/>
        <w:numPr>
          <w:ilvl w:val="0"/>
          <w:numId w:val="6"/>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nepriklausomai nuo amžiaus, visiems asmenims sergantiems lėtinėmis ligomis;</w:t>
      </w:r>
    </w:p>
    <w:p>
      <w:pPr>
        <w:pStyle w:val="ListParagraph"/>
        <w:numPr>
          <w:ilvl w:val="0"/>
          <w:numId w:val="6"/>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vyresniems nei 65 m. amžiaus asmenims.</w:t>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1.2. Kiekvienu atveju sudaryti skiepijimo nuo EE planą, bei jo griežtai laikytis. Esant poreikiui aktyviai informuoti apie skiepijimą telefonu, trumpąja žinute, el. paštu.</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1.3. Vaikų profilaktinių apžiūrų, skiepijimų metu priminti apie EE riziką ir imunoprofilaktikos galimybes bei paskiepyti visus pageidaujančius.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1.4. Informuoti pacientus, priklausančius tikslinei 50-55 m. amžiaus grupei, apie nuo š. m. rugsėjo 1 d. atsirandančią galimybę skiepytis nuo EE nemokamai, t. y. valstybės lėšomis – pradėti vakcinaciją ar pabaigti kursą.</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t>2. Savivaldybių administracijoms:</w:t>
      </w:r>
    </w:p>
    <w:p>
      <w:pPr>
        <w:pStyle w:val="Normal"/>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2.1. Kauno apskrities savivaldybių administracijoms pavaldžių įmonių, įstaigų vadovams užtikrinti, teisės aktų nustatyta tvarka, darbuotojams, užsiimantiems bet kokia veikla, susijusia su darbu gamtoje (pvz. miškininkams ir kt.), galimybę pasiskiepyti nuo EE darbdavio lėšomis.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2.2. Tikslinių visuomenės grupių informavimo užtikrinimas. Vadovaujantis Europos ligų prevencijos ir kontrolės centro rekomendacijomis EPL endeminėse teritorijose tikslinės visuomenės informavimo apie EPL profilaktines priemones grupės:</w:t>
      </w:r>
    </w:p>
    <w:p>
      <w:pPr>
        <w:pStyle w:val="ListParagraph"/>
        <w:numPr>
          <w:ilvl w:val="0"/>
          <w:numId w:val="4"/>
        </w:numPr>
        <w:spacing w:lineRule="auto" w:line="240" w:before="0" w:after="0"/>
        <w:contextualSpacing/>
        <w:jc w:val="both"/>
        <w:rPr>
          <w:rFonts w:ascii="Times New Roman" w:hAnsi="Times New Roman" w:cs="Times New Roman"/>
          <w:sz w:val="24"/>
          <w:szCs w:val="24"/>
        </w:rPr>
      </w:pPr>
      <w:r>
        <w:rPr>
          <w:rFonts w:cs="Times New Roman" w:ascii="Times New Roman" w:hAnsi="Times New Roman"/>
          <w:bCs/>
          <w:sz w:val="24"/>
          <w:szCs w:val="24"/>
        </w:rPr>
        <w:t>Sveikatos priežiūros specialistai.</w:t>
      </w:r>
      <w:r>
        <w:rPr>
          <w:rFonts w:cs="Times New Roman" w:ascii="Times New Roman" w:hAnsi="Times New Roman"/>
          <w:sz w:val="24"/>
          <w:szCs w:val="24"/>
        </w:rPr>
        <w:t xml:space="preserve"> Sveikatos priežiūros specialistams skirtos komunikacijos tikslas – užtikrinti teisingą ir savalaikį EPL diagnozavimą, didinant jų supratimą apie simptomus ir diagnozavimo, gydymo galimybes bei skatinant aktyviai teikti informaciją gyventojams apie EPL profilaktiką.</w:t>
      </w:r>
    </w:p>
    <w:p>
      <w:pPr>
        <w:pStyle w:val="ListParagraph"/>
        <w:numPr>
          <w:ilvl w:val="0"/>
          <w:numId w:val="4"/>
        </w:numPr>
        <w:spacing w:lineRule="auto" w:line="240" w:before="0" w:after="0"/>
        <w:contextualSpacing/>
        <w:jc w:val="both"/>
        <w:rPr>
          <w:rFonts w:ascii="Times New Roman" w:hAnsi="Times New Roman" w:cs="Times New Roman"/>
          <w:sz w:val="24"/>
          <w:szCs w:val="24"/>
        </w:rPr>
      </w:pPr>
      <w:r>
        <w:rPr>
          <w:rFonts w:cs="Times New Roman" w:ascii="Times New Roman" w:hAnsi="Times New Roman"/>
          <w:bCs/>
          <w:sz w:val="24"/>
          <w:szCs w:val="24"/>
        </w:rPr>
        <w:t>Keliautojai.</w:t>
      </w:r>
      <w:r>
        <w:rPr>
          <w:rFonts w:cs="Times New Roman" w:ascii="Times New Roman" w:hAnsi="Times New Roman"/>
          <w:sz w:val="24"/>
          <w:szCs w:val="24"/>
        </w:rPr>
        <w:t xml:space="preserve"> Keliautojams skirtos komunikacijos tikslas – atkreipti dėmesį į riziką užsikrėsti EPL, keliaujant į endemines teritorijas ir skatinant juos imtis tinkamų profilaktinių priemonių prieš atvykstant į šalį ir kelionės metu.</w:t>
      </w:r>
    </w:p>
    <w:p>
      <w:pPr>
        <w:pStyle w:val="ListParagraph"/>
        <w:numPr>
          <w:ilvl w:val="0"/>
          <w:numId w:val="4"/>
        </w:numPr>
        <w:spacing w:lineRule="auto" w:line="240" w:before="0" w:after="0"/>
        <w:contextualSpacing/>
        <w:jc w:val="both"/>
        <w:rPr>
          <w:rFonts w:ascii="Times New Roman" w:hAnsi="Times New Roman" w:cs="Times New Roman"/>
          <w:sz w:val="24"/>
          <w:szCs w:val="24"/>
        </w:rPr>
      </w:pPr>
      <w:r>
        <w:rPr>
          <w:rFonts w:cs="Times New Roman" w:ascii="Times New Roman" w:hAnsi="Times New Roman"/>
          <w:bCs/>
          <w:sz w:val="24"/>
          <w:szCs w:val="24"/>
        </w:rPr>
        <w:t>Bendroji visuomenė</w:t>
      </w:r>
      <w:r>
        <w:rPr>
          <w:rFonts w:cs="Times New Roman" w:ascii="Times New Roman" w:hAnsi="Times New Roman"/>
          <w:sz w:val="24"/>
          <w:szCs w:val="24"/>
        </w:rPr>
        <w:t xml:space="preserve"> – komunikacijos tikslas pasiekti aukštą supratimo apie EPL keliamą riziką bei profilaktines priemones lygį.</w:t>
      </w:r>
    </w:p>
    <w:p>
      <w:pPr>
        <w:pStyle w:val="ListParagraph"/>
        <w:numPr>
          <w:ilvl w:val="0"/>
          <w:numId w:val="4"/>
        </w:numPr>
        <w:spacing w:lineRule="auto" w:line="240" w:before="0" w:after="0"/>
        <w:contextualSpacing/>
        <w:jc w:val="both"/>
        <w:rPr>
          <w:rFonts w:ascii="Times New Roman" w:hAnsi="Times New Roman" w:cs="Times New Roman"/>
          <w:sz w:val="24"/>
          <w:szCs w:val="24"/>
        </w:rPr>
      </w:pPr>
      <w:r>
        <w:rPr>
          <w:rFonts w:cs="Times New Roman" w:ascii="Times New Roman" w:hAnsi="Times New Roman"/>
          <w:bCs/>
          <w:sz w:val="24"/>
          <w:szCs w:val="24"/>
        </w:rPr>
        <w:t>Vaikai</w:t>
      </w:r>
      <w:r>
        <w:rPr>
          <w:rFonts w:cs="Times New Roman" w:ascii="Times New Roman" w:hAnsi="Times New Roman"/>
          <w:sz w:val="24"/>
          <w:szCs w:val="24"/>
        </w:rPr>
        <w:t xml:space="preserve"> – komunikacijos tikslas yra paprastais ir lengvai suprantamas būdais skatinti supratimą apie tai, kas yra erkės, kaip jų išvengti ir ką daryti, jei įsisiurbė erkė.</w:t>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2.3. Užtikrinti erkių gausą mažinančias priemones. Jų esmė – sudaryti nepalankias sąlygas erkių gyvenimui ir vystymuisi. Šios priemonės yra efektyvios ir ekologiškos, todėl labiausiai skatintinos ir rekomenduojamos erkių gausos mažinimui:</w:t>
      </w:r>
    </w:p>
    <w:p>
      <w:pPr>
        <w:pStyle w:val="ListParagraph"/>
        <w:numPr>
          <w:ilvl w:val="0"/>
          <w:numId w:val="5"/>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Tinkama parkų, poilsio vietų, dažnai žmonių lankomų miškų priežiūra: žolė pjaunama nuo ankstyvo pavasario, neleidžiant jai užaugti aukštesnei kaip 10 cm., menkaverčiai krūmai iškertami, miško darbų atliekos, išvartos, nupjauta žolė išvežama arba sudeginama, pasivaikščiojimo takai ir takai, vedantys vandens telkinių, sporto aikštelių, laužaviečių link, praplatinami.</w:t>
      </w:r>
    </w:p>
    <w:p>
      <w:pPr>
        <w:pStyle w:val="ListParagraph"/>
        <w:numPr>
          <w:ilvl w:val="0"/>
          <w:numId w:val="5"/>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Graužikų populiacijos reguliavimas (deratizacija). Deratizaciją atlieka šiai veiklai licencijuoti juridiniai ar fiziniai asmenys.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Parengė:</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Nacionalinio visuomenės sveikatos centro</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 Sveikatos apsaugos ministerijos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Kauno departamento Užkrečiamųjų ligų valdymo skyriaus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Vyriausioji specialistė Vilma Kokanskytė</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clear" w:pos="1296"/>
          <w:tab w:val="left" w:pos="5325" w:leader="none"/>
        </w:tabs>
        <w:spacing w:lineRule="auto" w:line="240" w:before="0" w:after="160"/>
        <w:rPr/>
      </w:pPr>
      <w:r>
        <w:rPr/>
      </w:r>
    </w:p>
    <w:sectPr>
      <w:headerReference w:type="default" r:id="rId13"/>
      <w:type w:val="nextPage"/>
      <w:pgSz w:w="11906" w:h="16838"/>
      <w:pgMar w:left="1701" w:right="567" w:header="567" w:top="1134" w:footer="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Segoe UI">
    <w:charset w:val="ba"/>
    <w:family w:val="roman"/>
    <w:pitch w:val="variable"/>
  </w:font>
  <w:font w:name="Liberation Sans">
    <w:altName w:val="Arial"/>
    <w:charset w:val="ba"/>
    <w:family w:val="swiss"/>
    <w:pitch w:val="variable"/>
  </w:font>
  <w:font w:name="Times New Roman">
    <w:charset w:val="ba"/>
    <w:family w:val="roman"/>
    <w:pitch w:val="variable"/>
  </w:font>
  <w:font w:name="Times New Roman">
    <w:charset w:val="ba"/>
    <w:family w:val="auto"/>
    <w:pitch w:val="default"/>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53473902"/>
    </w:sdtPr>
    <w:sdtContent>
      <w:p>
        <w:pPr>
          <w:pStyle w:val="Puslapinantrat"/>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PAGE </w:instrText>
        </w:r>
        <w:r>
          <w:rPr>
            <w:sz w:val="24"/>
            <w:szCs w:val="24"/>
            <w:rFonts w:cs="Times New Roman" w:ascii="Times New Roman" w:hAnsi="Times New Roman"/>
          </w:rPr>
          <w:fldChar w:fldCharType="separate"/>
        </w:r>
        <w:r>
          <w:rPr>
            <w:sz w:val="24"/>
            <w:szCs w:val="24"/>
            <w:rFonts w:cs="Times New Roman" w:ascii="Times New Roman" w:hAnsi="Times New Roman"/>
          </w:rPr>
          <w:t>9</w:t>
        </w:r>
        <w:r>
          <w:rPr>
            <w:sz w:val="24"/>
            <w:szCs w:val="24"/>
            <w:rFonts w:cs="Times New Roman" w:ascii="Times New Roman" w:hAnsi="Times New Roman"/>
          </w:rPr>
          <w:fldChar w:fldCharType="end"/>
        </w:r>
      </w:p>
    </w:sdtContent>
  </w:sdt>
  <w:p>
    <w:pPr>
      <w:pStyle w:val="Puslapinantra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lvl>
    <w:lvl w:ilvl="1">
      <w:start w:val="2"/>
      <w:numFmt w:val="decimal"/>
      <w:lvlText w:val="%1.%2."/>
      <w:lvlJc w:val="left"/>
      <w:pPr>
        <w:tabs>
          <w:tab w:val="num" w:pos="0"/>
        </w:tabs>
        <w:ind w:left="1140" w:hanging="4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
    <w:lvl w:ilvl="0">
      <w:start w:val="1"/>
      <w:numFmt w:val="decimal"/>
      <w:lvlText w:val="%1"/>
      <w:lvlJc w:val="left"/>
      <w:pPr>
        <w:tabs>
          <w:tab w:val="num" w:pos="0"/>
        </w:tabs>
        <w:ind w:left="480" w:hanging="480"/>
      </w:pPr>
    </w:lvl>
    <w:lvl w:ilvl="1">
      <w:start w:val="3"/>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bullet"/>
      <w:lvlText w:val=""/>
      <w:lvlJc w:val="left"/>
      <w:pPr>
        <w:tabs>
          <w:tab w:val="num" w:pos="0"/>
        </w:tabs>
        <w:ind w:left="1080" w:hanging="360"/>
      </w:pPr>
      <w:rPr>
        <w:rFonts w:ascii="Symbol" w:hAnsi="Symbol" w:cs="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1080" w:hanging="360"/>
      </w:pPr>
    </w:lvl>
    <w:lvl w:ilvl="1">
      <w:start w:val="2"/>
      <w:numFmt w:val="decimal"/>
      <w:lvlText w:val="%1.%2."/>
      <w:lvlJc w:val="left"/>
      <w:pPr>
        <w:tabs>
          <w:tab w:val="num" w:pos="0"/>
        </w:tabs>
        <w:ind w:left="1140" w:hanging="4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8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598e"/>
    <w:pPr>
      <w:widowControl/>
      <w:bidi w:val="0"/>
      <w:spacing w:lineRule="auto" w:line="259" w:before="0" w:after="160"/>
      <w:jc w:val="left"/>
    </w:pPr>
    <w:rPr>
      <w:rFonts w:ascii="Calibri" w:hAnsi="Calibri" w:eastAsia="Calibri" w:cs=""/>
      <w:color w:val="auto"/>
      <w:kern w:val="0"/>
      <w:sz w:val="22"/>
      <w:szCs w:val="22"/>
      <w:lang w:val="lt-LT" w:eastAsia="en-US" w:bidi="ar-SA"/>
      <w14:ligatures w14:val="none"/>
    </w:rPr>
  </w:style>
  <w:style w:type="character" w:styleId="DefaultParagraphFont" w:default="1">
    <w:name w:val="Default Paragraph Font"/>
    <w:uiPriority w:val="1"/>
    <w:semiHidden/>
    <w:unhideWhenUsed/>
    <w:qFormat/>
    <w:rPr/>
  </w:style>
  <w:style w:type="character" w:styleId="Internetosaitas">
    <w:name w:val="Interneto saitas"/>
    <w:basedOn w:val="DefaultParagraphFont"/>
    <w:uiPriority w:val="99"/>
    <w:unhideWhenUsed/>
    <w:rsid w:val="00e86ac6"/>
    <w:rPr>
      <w:color w:val="0563C1" w:themeColor="hyperlink"/>
      <w:u w:val="single"/>
    </w:rPr>
  </w:style>
  <w:style w:type="character" w:styleId="Annotationreference">
    <w:name w:val="annotation reference"/>
    <w:basedOn w:val="DefaultParagraphFont"/>
    <w:uiPriority w:val="99"/>
    <w:semiHidden/>
    <w:unhideWhenUsed/>
    <w:qFormat/>
    <w:rsid w:val="00d308a3"/>
    <w:rPr>
      <w:sz w:val="16"/>
      <w:szCs w:val="16"/>
    </w:rPr>
  </w:style>
  <w:style w:type="character" w:styleId="KomentarotekstasDiagrama" w:customStyle="1">
    <w:name w:val="Komentaro tekstas Diagrama"/>
    <w:basedOn w:val="DefaultParagraphFont"/>
    <w:link w:val="Komentarotekstas"/>
    <w:uiPriority w:val="99"/>
    <w:semiHidden/>
    <w:qFormat/>
    <w:rsid w:val="00d308a3"/>
    <w:rPr>
      <w:kern w:val="0"/>
      <w:sz w:val="20"/>
      <w:szCs w:val="20"/>
      <w14:ligatures w14:val="none"/>
    </w:rPr>
  </w:style>
  <w:style w:type="character" w:styleId="KomentarotemaDiagrama" w:customStyle="1">
    <w:name w:val="Komentaro tema Diagrama"/>
    <w:basedOn w:val="KomentarotekstasDiagrama"/>
    <w:link w:val="Komentarotema"/>
    <w:uiPriority w:val="99"/>
    <w:semiHidden/>
    <w:qFormat/>
    <w:rsid w:val="001003ba"/>
    <w:rPr>
      <w:b/>
      <w:bCs/>
      <w:kern w:val="0"/>
      <w:sz w:val="20"/>
      <w:szCs w:val="20"/>
      <w14:ligatures w14:val="none"/>
    </w:rPr>
  </w:style>
  <w:style w:type="character" w:styleId="AntratsDiagrama" w:customStyle="1">
    <w:name w:val="Antraštės Diagrama"/>
    <w:basedOn w:val="DefaultParagraphFont"/>
    <w:link w:val="Antrats"/>
    <w:uiPriority w:val="99"/>
    <w:qFormat/>
    <w:rsid w:val="000f63c4"/>
    <w:rPr>
      <w:kern w:val="0"/>
      <w14:ligatures w14:val="none"/>
    </w:rPr>
  </w:style>
  <w:style w:type="character" w:styleId="PoratDiagrama" w:customStyle="1">
    <w:name w:val="Poraštė Diagrama"/>
    <w:basedOn w:val="DefaultParagraphFont"/>
    <w:link w:val="Porat"/>
    <w:uiPriority w:val="99"/>
    <w:qFormat/>
    <w:rsid w:val="000f63c4"/>
    <w:rPr>
      <w:kern w:val="0"/>
      <w14:ligatures w14:val="none"/>
    </w:rPr>
  </w:style>
  <w:style w:type="character" w:styleId="DebesliotekstasDiagrama" w:customStyle="1">
    <w:name w:val="Debesėlio tekstas Diagrama"/>
    <w:basedOn w:val="DefaultParagraphFont"/>
    <w:link w:val="Debesliotekstas"/>
    <w:uiPriority w:val="99"/>
    <w:semiHidden/>
    <w:qFormat/>
    <w:rsid w:val="004967b1"/>
    <w:rPr>
      <w:rFonts w:ascii="Segoe UI" w:hAnsi="Segoe UI" w:cs="Segoe UI"/>
      <w:kern w:val="0"/>
      <w:sz w:val="18"/>
      <w:szCs w:val="18"/>
      <w14:ligatures w14:val="none"/>
    </w:rPr>
  </w:style>
  <w:style w:type="paragraph" w:styleId="Antrat">
    <w:name w:val="Antraštė"/>
    <w:basedOn w:val="Normal"/>
    <w:next w:val="Pagrindinistekstas"/>
    <w:qFormat/>
    <w:pPr>
      <w:keepNext w:val="true"/>
      <w:spacing w:before="240" w:after="120"/>
    </w:pPr>
    <w:rPr>
      <w:rFonts w:ascii="Liberation Sans" w:hAnsi="Liberation Sans" w:eastAsia="Microsoft YaHei" w:cs="Arial Unicode M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Arial Unicode MS"/>
    </w:rPr>
  </w:style>
  <w:style w:type="paragraph" w:styleId="Pavadinimas">
    <w:name w:val="Caption"/>
    <w:basedOn w:val="Normal"/>
    <w:qFormat/>
    <w:pPr>
      <w:suppressLineNumbers/>
      <w:spacing w:before="120" w:after="120"/>
    </w:pPr>
    <w:rPr>
      <w:rFonts w:cs="Arial Unicode MS"/>
      <w:i/>
      <w:iCs/>
      <w:sz w:val="24"/>
      <w:szCs w:val="24"/>
    </w:rPr>
  </w:style>
  <w:style w:type="paragraph" w:styleId="Rodykl">
    <w:name w:val="Rodyklė"/>
    <w:basedOn w:val="Normal"/>
    <w:qFormat/>
    <w:pPr>
      <w:suppressLineNumbers/>
    </w:pPr>
    <w:rPr>
      <w:rFonts w:cs="Arial Unicode MS"/>
    </w:rPr>
  </w:style>
  <w:style w:type="paragraph" w:styleId="ListParagraph">
    <w:name w:val="List Paragraph"/>
    <w:basedOn w:val="Normal"/>
    <w:uiPriority w:val="34"/>
    <w:qFormat/>
    <w:rsid w:val="00e86ac6"/>
    <w:pPr>
      <w:spacing w:before="0" w:after="160"/>
      <w:ind w:left="720" w:hanging="0"/>
      <w:contextualSpacing/>
    </w:pPr>
    <w:rPr/>
  </w:style>
  <w:style w:type="paragraph" w:styleId="Annotationtext">
    <w:name w:val="annotation text"/>
    <w:basedOn w:val="Normal"/>
    <w:link w:val="KomentarotekstasDiagrama"/>
    <w:uiPriority w:val="99"/>
    <w:semiHidden/>
    <w:unhideWhenUsed/>
    <w:qFormat/>
    <w:rsid w:val="00d308a3"/>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1003ba"/>
    <w:pPr/>
    <w:rPr>
      <w:b/>
      <w:bCs/>
    </w:rPr>
  </w:style>
  <w:style w:type="paragraph" w:styleId="Puslapinantratirporat">
    <w:name w:val="Puslapinė antraštė ir poraštė"/>
    <w:basedOn w:val="Normal"/>
    <w:qFormat/>
    <w:pPr/>
    <w:rPr/>
  </w:style>
  <w:style w:type="paragraph" w:styleId="Puslapinantrat">
    <w:name w:val="Header"/>
    <w:basedOn w:val="Normal"/>
    <w:link w:val="AntratsDiagrama"/>
    <w:uiPriority w:val="99"/>
    <w:unhideWhenUsed/>
    <w:rsid w:val="000f63c4"/>
    <w:pPr>
      <w:tabs>
        <w:tab w:val="clear" w:pos="1296"/>
        <w:tab w:val="center" w:pos="4819" w:leader="none"/>
        <w:tab w:val="right" w:pos="9638" w:leader="none"/>
      </w:tabs>
      <w:spacing w:lineRule="auto" w:line="240" w:before="0" w:after="0"/>
    </w:pPr>
    <w:rPr/>
  </w:style>
  <w:style w:type="paragraph" w:styleId="Puslapinporat">
    <w:name w:val="Footer"/>
    <w:basedOn w:val="Normal"/>
    <w:link w:val="PoratDiagrama"/>
    <w:uiPriority w:val="99"/>
    <w:unhideWhenUsed/>
    <w:rsid w:val="000f63c4"/>
    <w:pPr>
      <w:tabs>
        <w:tab w:val="clear" w:pos="1296"/>
        <w:tab w:val="center" w:pos="4819" w:leader="none"/>
        <w:tab w:val="right" w:pos="9638" w:leader="none"/>
      </w:tabs>
      <w:spacing w:lineRule="auto" w:line="240" w:before="0" w:after="0"/>
    </w:pPr>
    <w:rPr/>
  </w:style>
  <w:style w:type="paragraph" w:styleId="BalloonText">
    <w:name w:val="Balloon Text"/>
    <w:basedOn w:val="Normal"/>
    <w:link w:val="DebesliotekstasDiagrama"/>
    <w:uiPriority w:val="99"/>
    <w:semiHidden/>
    <w:unhideWhenUsed/>
    <w:qFormat/>
    <w:rsid w:val="004967b1"/>
    <w:pPr>
      <w:spacing w:lineRule="auto" w:line="240" w:before="0" w:after="0"/>
    </w:pPr>
    <w:rPr>
      <w:rFonts w:ascii="Segoe UI" w:hAnsi="Segoe UI" w:cs="Segoe UI"/>
      <w:sz w:val="18"/>
      <w:szCs w:val="18"/>
    </w:rPr>
  </w:style>
  <w:style w:type="paragraph" w:styleId="Revision">
    <w:name w:val="Revision"/>
    <w:uiPriority w:val="99"/>
    <w:semiHidden/>
    <w:qFormat/>
    <w:rsid w:val="00ca6348"/>
    <w:pPr>
      <w:widowControl/>
      <w:bidi w:val="0"/>
      <w:spacing w:lineRule="auto" w:line="240" w:before="0" w:after="0"/>
      <w:jc w:val="left"/>
    </w:pPr>
    <w:rPr>
      <w:rFonts w:ascii="Calibri" w:hAnsi="Calibri" w:eastAsia="Calibri" w:cs=""/>
      <w:color w:val="auto"/>
      <w:kern w:val="0"/>
      <w:sz w:val="22"/>
      <w:szCs w:val="22"/>
      <w:lang w:val="lt-LT" w:eastAsia="en-US" w:bidi="ar-SA"/>
      <w14:ligatures w14:val="none"/>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308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seimas.lrs.lt/portal/legalAct/lt/TAD/TAIS.204745/asr" TargetMode="External"/><Relationship Id="rId3" Type="http://schemas.openxmlformats.org/officeDocument/2006/relationships/chart" Target="charts/chart1.xml"/><Relationship Id="rId4" Type="http://schemas.openxmlformats.org/officeDocument/2006/relationships/chart" Target="charts/chart2.xml"/><Relationship Id="rId5" Type="http://schemas.openxmlformats.org/officeDocument/2006/relationships/chart" Target="charts/chart3.xml"/><Relationship Id="rId6" Type="http://schemas.openxmlformats.org/officeDocument/2006/relationships/chart" Target="charts/chart4.xml"/><Relationship Id="rId7" Type="http://schemas.openxmlformats.org/officeDocument/2006/relationships/chart" Target="charts/chart5.xml"/><Relationship Id="rId8" Type="http://schemas.openxmlformats.org/officeDocument/2006/relationships/chart" Target="charts/chart6.xml"/><Relationship Id="rId9" Type="http://schemas.openxmlformats.org/officeDocument/2006/relationships/chart" Target="charts/chart7.xml"/><Relationship Id="rId10" Type="http://schemas.openxmlformats.org/officeDocument/2006/relationships/chart" Target="charts/chart8.xml"/><Relationship Id="rId11" Type="http://schemas.openxmlformats.org/officeDocument/2006/relationships/hyperlink" Target="https://nvsc.lrv.lt/lt/uzkreciamuju-ligu-valdymas/erkiu-pernesamos-ligos/lietuvos-vietoviu-kuriose-uzsikreciama-erkiu-platinamomis-ligomis-zemelapis" TargetMode="External"/><Relationship Id="rId12" Type="http://schemas.openxmlformats.org/officeDocument/2006/relationships/chart" Target="charts/chart9.xml"/><Relationship Id="rId13" Type="http://schemas.openxmlformats.org/officeDocument/2006/relationships/header" Target="head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Kauno m.</c:v>
                </c:pt>
              </c:strCache>
            </c:strRef>
          </c:tx>
          <c:spPr>
            <a:solidFill>
              <a:srgbClr val="344729"/>
            </a:solidFill>
            <a:ln cap="rnd" w="28440">
              <a:solidFill>
                <a:srgbClr val="344729"/>
              </a:solidFill>
              <a:round/>
            </a:ln>
          </c:spPr>
          <c:marker>
            <c:symbol val="circle"/>
            <c:size val="5"/>
            <c:spPr>
              <a:solidFill>
                <a:srgbClr val="344729"/>
              </a:solidFill>
            </c:spPr>
          </c:marker>
          <c:dLbls>
            <c:txPr>
              <a:bodyPr wrap="square"/>
              <a:lstStyle/>
              <a:p>
                <a:pPr>
                  <a:defRPr b="0" sz="1200" spc="-1" strike="noStrike">
                    <a:solidFill>
                      <a:srgbClr val="000000"/>
                    </a:solidFill>
                    <a:latin typeface="Times New Roman"/>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7"/>
                <c:pt idx="0">
                  <c:v>2017</c:v>
                </c:pt>
                <c:pt idx="1">
                  <c:v>2018</c:v>
                </c:pt>
                <c:pt idx="2">
                  <c:v>2019</c:v>
                </c:pt>
                <c:pt idx="3">
                  <c:v>2020</c:v>
                </c:pt>
                <c:pt idx="4">
                  <c:v>2021</c:v>
                </c:pt>
                <c:pt idx="5">
                  <c:v>2022</c:v>
                </c:pt>
                <c:pt idx="6">
                  <c:v>2023</c:v>
                </c:pt>
              </c:strCache>
            </c:strRef>
          </c:cat>
          <c:val>
            <c:numRef>
              <c:f>0</c:f>
              <c:numCache>
                <c:formatCode>General</c:formatCode>
                <c:ptCount val="7"/>
                <c:pt idx="0">
                  <c:v>15.7</c:v>
                </c:pt>
                <c:pt idx="1">
                  <c:v>12.47</c:v>
                </c:pt>
                <c:pt idx="2">
                  <c:v>4.7</c:v>
                </c:pt>
                <c:pt idx="3">
                  <c:v>0</c:v>
                </c:pt>
                <c:pt idx="4">
                  <c:v>0</c:v>
                </c:pt>
                <c:pt idx="5">
                  <c:v>3.24</c:v>
                </c:pt>
                <c:pt idx="6">
                  <c:v>4.1</c:v>
                </c:pt>
              </c:numCache>
            </c:numRef>
          </c:val>
          <c:smooth val="0"/>
        </c:ser>
        <c:ser>
          <c:idx val="1"/>
          <c:order val="1"/>
          <c:tx>
            <c:strRef>
              <c:f>label 1</c:f>
              <c:strCache>
                <c:ptCount val="1"/>
                <c:pt idx="0">
                  <c:v>Kauno r.</c:v>
                </c:pt>
              </c:strCache>
            </c:strRef>
          </c:tx>
          <c:spPr>
            <a:solidFill>
              <a:srgbClr val="79826f"/>
            </a:solidFill>
            <a:ln cap="rnd" w="28440">
              <a:solidFill>
                <a:srgbClr val="79826f"/>
              </a:solidFill>
              <a:round/>
            </a:ln>
          </c:spPr>
          <c:marker>
            <c:symbol val="triangle"/>
            <c:size val="5"/>
            <c:spPr>
              <a:solidFill>
                <a:srgbClr val="79826f"/>
              </a:solidFill>
            </c:spPr>
          </c:marker>
          <c:dLbls>
            <c:txPr>
              <a:bodyPr wrap="square"/>
              <a:lstStyle/>
              <a:p>
                <a:pPr>
                  <a:defRPr b="0" sz="1200" spc="-1" strike="noStrike">
                    <a:solidFill>
                      <a:srgbClr val="000000"/>
                    </a:solidFill>
                    <a:latin typeface="Times New Roman"/>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7"/>
                <c:pt idx="0">
                  <c:v>2017</c:v>
                </c:pt>
                <c:pt idx="1">
                  <c:v>2018</c:v>
                </c:pt>
                <c:pt idx="2">
                  <c:v>2019</c:v>
                </c:pt>
                <c:pt idx="3">
                  <c:v>2020</c:v>
                </c:pt>
                <c:pt idx="4">
                  <c:v>2021</c:v>
                </c:pt>
                <c:pt idx="5">
                  <c:v>2022</c:v>
                </c:pt>
                <c:pt idx="6">
                  <c:v>2023</c:v>
                </c:pt>
              </c:strCache>
            </c:strRef>
          </c:cat>
          <c:val>
            <c:numRef>
              <c:f>1</c:f>
              <c:numCache>
                <c:formatCode>General</c:formatCode>
                <c:ptCount val="7"/>
                <c:pt idx="0">
                  <c:v>20.85</c:v>
                </c:pt>
                <c:pt idx="1">
                  <c:v>6.25</c:v>
                </c:pt>
                <c:pt idx="2">
                  <c:v>5.4</c:v>
                </c:pt>
                <c:pt idx="3">
                  <c:v>0</c:v>
                </c:pt>
                <c:pt idx="4">
                  <c:v>0</c:v>
                </c:pt>
                <c:pt idx="5">
                  <c:v>3.85</c:v>
                </c:pt>
                <c:pt idx="6">
                  <c:v>12.9</c:v>
                </c:pt>
              </c:numCache>
            </c:numRef>
          </c:val>
          <c:smooth val="0"/>
        </c:ser>
        <c:ser>
          <c:idx val="2"/>
          <c:order val="2"/>
          <c:tx>
            <c:strRef>
              <c:f>label 2</c:f>
              <c:strCache>
                <c:ptCount val="1"/>
                <c:pt idx="0">
                  <c:v>Kėdainių r.</c:v>
                </c:pt>
              </c:strCache>
            </c:strRef>
          </c:tx>
          <c:spPr>
            <a:solidFill>
              <a:srgbClr val="d7d2ce"/>
            </a:solidFill>
            <a:ln cap="rnd" w="28440">
              <a:solidFill>
                <a:srgbClr val="d7d2ce"/>
              </a:solidFill>
              <a:round/>
            </a:ln>
          </c:spPr>
          <c:marker>
            <c:symbol val="square"/>
            <c:size val="5"/>
            <c:spPr>
              <a:solidFill>
                <a:srgbClr val="d7d2ce"/>
              </a:solidFill>
            </c:spPr>
          </c:marker>
          <c:dLbls>
            <c:txPr>
              <a:bodyPr wrap="square"/>
              <a:lstStyle/>
              <a:p>
                <a:pPr>
                  <a:defRPr b="0" sz="1200" spc="-1" strike="noStrike">
                    <a:solidFill>
                      <a:srgbClr val="000000"/>
                    </a:solidFill>
                    <a:latin typeface="Times New Roman"/>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7"/>
                <c:pt idx="0">
                  <c:v>2017</c:v>
                </c:pt>
                <c:pt idx="1">
                  <c:v>2018</c:v>
                </c:pt>
                <c:pt idx="2">
                  <c:v>2019</c:v>
                </c:pt>
                <c:pt idx="3">
                  <c:v>2020</c:v>
                </c:pt>
                <c:pt idx="4">
                  <c:v>2021</c:v>
                </c:pt>
                <c:pt idx="5">
                  <c:v>2022</c:v>
                </c:pt>
                <c:pt idx="6">
                  <c:v>2023</c:v>
                </c:pt>
              </c:strCache>
            </c:strRef>
          </c:cat>
          <c:val>
            <c:numRef>
              <c:f>2</c:f>
              <c:numCache>
                <c:formatCode>General</c:formatCode>
                <c:ptCount val="7"/>
                <c:pt idx="0">
                  <c:v>50.55</c:v>
                </c:pt>
                <c:pt idx="1">
                  <c:v>25.81</c:v>
                </c:pt>
                <c:pt idx="2">
                  <c:v>27.93</c:v>
                </c:pt>
                <c:pt idx="3">
                  <c:v>0</c:v>
                </c:pt>
                <c:pt idx="4">
                  <c:v>0</c:v>
                </c:pt>
                <c:pt idx="5">
                  <c:v>0</c:v>
                </c:pt>
                <c:pt idx="6">
                  <c:v>36</c:v>
                </c:pt>
              </c:numCache>
            </c:numRef>
          </c:val>
          <c:smooth val="0"/>
        </c:ser>
        <c:ser>
          <c:idx val="3"/>
          <c:order val="3"/>
          <c:tx>
            <c:strRef>
              <c:f>label 3</c:f>
              <c:strCache>
                <c:ptCount val="1"/>
                <c:pt idx="0">
                  <c:v>Prienų r.</c:v>
                </c:pt>
              </c:strCache>
            </c:strRef>
          </c:tx>
          <c:spPr>
            <a:solidFill>
              <a:srgbClr val="d78972"/>
            </a:solidFill>
            <a:ln cap="rnd" w="28440">
              <a:solidFill>
                <a:srgbClr val="d78972"/>
              </a:solidFill>
              <a:round/>
            </a:ln>
          </c:spPr>
          <c:marker>
            <c:symbol val="x"/>
            <c:size val="5"/>
            <c:spPr>
              <a:solidFill>
                <a:srgbClr val="d78972"/>
              </a:solidFill>
            </c:spPr>
          </c:marker>
          <c:dLbls>
            <c:txPr>
              <a:bodyPr wrap="square"/>
              <a:lstStyle/>
              <a:p>
                <a:pPr>
                  <a:defRPr b="0" sz="1200" spc="-1" strike="noStrike">
                    <a:solidFill>
                      <a:srgbClr val="000000"/>
                    </a:solidFill>
                    <a:latin typeface="Times New Roman"/>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7"/>
                <c:pt idx="0">
                  <c:v>2017</c:v>
                </c:pt>
                <c:pt idx="1">
                  <c:v>2018</c:v>
                </c:pt>
                <c:pt idx="2">
                  <c:v>2019</c:v>
                </c:pt>
                <c:pt idx="3">
                  <c:v>2020</c:v>
                </c:pt>
                <c:pt idx="4">
                  <c:v>2021</c:v>
                </c:pt>
                <c:pt idx="5">
                  <c:v>2022</c:v>
                </c:pt>
                <c:pt idx="6">
                  <c:v>2023</c:v>
                </c:pt>
              </c:strCache>
            </c:strRef>
          </c:cat>
          <c:val>
            <c:numRef>
              <c:f>3</c:f>
              <c:numCache>
                <c:formatCode>General</c:formatCode>
                <c:ptCount val="7"/>
                <c:pt idx="0">
                  <c:v>13.3</c:v>
                </c:pt>
                <c:pt idx="1">
                  <c:v>14</c:v>
                </c:pt>
                <c:pt idx="2">
                  <c:v>13.4</c:v>
                </c:pt>
                <c:pt idx="3">
                  <c:v>0</c:v>
                </c:pt>
                <c:pt idx="4">
                  <c:v>0</c:v>
                </c:pt>
                <c:pt idx="5">
                  <c:v>29.5</c:v>
                </c:pt>
                <c:pt idx="6">
                  <c:v>25.9</c:v>
                </c:pt>
              </c:numCache>
            </c:numRef>
          </c:val>
          <c:smooth val="0"/>
        </c:ser>
        <c:hiLowLines>
          <c:spPr>
            <a:ln w="0">
              <a:noFill/>
            </a:ln>
          </c:spPr>
        </c:hiLowLines>
        <c:marker val="1"/>
        <c:axId val="4665564"/>
        <c:axId val="49124491"/>
      </c:lineChart>
      <c:catAx>
        <c:axId val="466556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1200" spc="-1" strike="noStrike">
                <a:solidFill>
                  <a:srgbClr val="000000"/>
                </a:solidFill>
                <a:latin typeface="Times New Roman"/>
              </a:defRPr>
            </a:pPr>
          </a:p>
        </c:txPr>
        <c:crossAx val="49124491"/>
        <c:crosses val="autoZero"/>
        <c:auto val="1"/>
        <c:lblAlgn val="ctr"/>
        <c:lblOffset val="100"/>
        <c:noMultiLvlLbl val="0"/>
      </c:catAx>
      <c:valAx>
        <c:axId val="49124491"/>
        <c:scaling>
          <c:orientation val="minMax"/>
        </c:scaling>
        <c:delete val="0"/>
        <c:axPos val="l"/>
        <c:title>
          <c:tx>
            <c:rich>
              <a:bodyPr rot="-5400000"/>
              <a:lstStyle/>
              <a:p>
                <a:pPr>
                  <a:defRPr b="0" lang="lt-LT" sz="1200" spc="-1" strike="noStrike">
                    <a:solidFill>
                      <a:srgbClr val="000000"/>
                    </a:solidFill>
                    <a:latin typeface="Times New Roman"/>
                  </a:defRPr>
                </a:pPr>
                <a:r>
                  <a:rPr b="0" lang="lt-LT" sz="1200" spc="-1" strike="noStrike">
                    <a:solidFill>
                      <a:srgbClr val="000000"/>
                    </a:solidFill>
                    <a:latin typeface="Times New Roman"/>
                  </a:rPr>
                  <a:t>Erkių sk. / 1 km</a:t>
                </a:r>
              </a:p>
            </c:rich>
          </c:tx>
          <c:layout>
            <c:manualLayout>
              <c:xMode val="edge"/>
              <c:yMode val="edge"/>
              <c:x val="0.078823186717157"/>
              <c:y val="0.150729335494327"/>
            </c:manualLayout>
          </c:layout>
          <c:overlay val="0"/>
          <c:spPr>
            <a:noFill/>
            <a:ln w="0">
              <a:noFill/>
            </a:ln>
          </c:spPr>
        </c:title>
        <c:numFmt formatCode="0.0" sourceLinked="0"/>
        <c:majorTickMark val="none"/>
        <c:minorTickMark val="none"/>
        <c:tickLblPos val="nextTo"/>
        <c:spPr>
          <a:ln w="6480">
            <a:noFill/>
          </a:ln>
        </c:spPr>
        <c:txPr>
          <a:bodyPr/>
          <a:lstStyle/>
          <a:p>
            <a:pPr>
              <a:defRPr b="0" sz="1200" spc="-1" strike="noStrike">
                <a:solidFill>
                  <a:srgbClr val="000000"/>
                </a:solidFill>
                <a:latin typeface="Times New Roman"/>
              </a:defRPr>
            </a:pPr>
          </a:p>
        </c:txPr>
        <c:crossAx val="4665564"/>
        <c:crosses val="autoZero"/>
        <c:crossBetween val="between"/>
      </c:valAx>
      <c:dTable>
        <c:showHorzBorder val="1"/>
        <c:showVertBorder val="1"/>
        <c:showOutline val="1"/>
      </c:dTable>
      <c:spPr>
        <a:noFill/>
        <a:ln w="0">
          <a:noFill/>
        </a:ln>
      </c:spPr>
    </c:plotArea>
    <c:plotVisOnly val="1"/>
    <c:dispBlanksAs val="gap"/>
  </c:chart>
  <c:spPr>
    <a:solidFill>
      <a:srgbClr val="ffffff"/>
    </a:solidFill>
    <a:ln w="9360">
      <a:noFill/>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Lietuva</c:v>
                </c:pt>
              </c:strCache>
            </c:strRef>
          </c:tx>
          <c:spPr>
            <a:solidFill>
              <a:srgbClr val="344729"/>
            </a:solidFill>
            <a:ln cap="rnd" w="28440">
              <a:solidFill>
                <a:srgbClr val="344729"/>
              </a:solidFill>
              <a:round/>
            </a:ln>
          </c:spPr>
          <c:marker>
            <c:symbol val="circle"/>
            <c:size val="5"/>
            <c:spPr>
              <a:solidFill>
                <a:srgbClr val="344729"/>
              </a:solidFill>
            </c:spPr>
          </c:marker>
          <c:dPt>
            <c:idx val="3"/>
            <c:marker>
              <c:symbol val="circle"/>
              <c:size val="5"/>
              <c:spPr>
                <a:solidFill>
                  <a:srgbClr val="344729"/>
                </a:solidFill>
              </c:spPr>
            </c:marker>
          </c:dPt>
          <c:dPt>
            <c:idx val="4"/>
            <c:marker>
              <c:symbol val="circle"/>
              <c:size val="5"/>
              <c:spPr>
                <a:solidFill>
                  <a:srgbClr val="344729"/>
                </a:solidFill>
              </c:spPr>
            </c:marker>
          </c:dPt>
          <c:dLbls>
            <c:numFmt formatCode="#,##0.0" sourceLinked="0"/>
            <c:dLbl>
              <c:idx val="3"/>
              <c:layout>
                <c:manualLayout>
                  <c:x val="-0.0204862204724409"/>
                  <c:y val="-0.0732753718285214"/>
                </c:manualLayout>
              </c:layout>
              <c:numFmt formatCode="#,##0.0" sourceLinked="0"/>
              <c:txPr>
                <a:bodyPr wrap="square"/>
                <a:lstStyle/>
                <a:p>
                  <a:pPr>
                    <a:defRPr b="1" sz="1200" spc="-1" strike="noStrike">
                      <a:solidFill>
                        <a:srgbClr val="000000"/>
                      </a:solidFill>
                      <a:latin typeface="Times New Roman"/>
                    </a:defRPr>
                  </a:pPr>
                </a:p>
              </c:txPr>
              <c:dLblPos val="r"/>
              <c:showLegendKey val="0"/>
              <c:showVal val="1"/>
              <c:showCatName val="0"/>
              <c:showSerName val="0"/>
              <c:showPercent val="0"/>
              <c:separator>; </c:separator>
            </c:dLbl>
            <c:dLbl>
              <c:idx val="4"/>
              <c:layout>
                <c:manualLayout>
                  <c:x val="-0.0343751093613298"/>
                  <c:y val="-0.0825346310877808"/>
                </c:manualLayout>
              </c:layout>
              <c:numFmt formatCode="#,##0.0" sourceLinked="0"/>
              <c:txPr>
                <a:bodyPr wrap="square"/>
                <a:lstStyle/>
                <a:p>
                  <a:pPr>
                    <a:defRPr b="1" sz="1200" spc="-1" strike="noStrike">
                      <a:solidFill>
                        <a:srgbClr val="000000"/>
                      </a:solidFill>
                      <a:latin typeface="Times New Roman"/>
                    </a:defRPr>
                  </a:pPr>
                </a:p>
              </c:txPr>
              <c:dLblPos val="r"/>
              <c:showLegendKey val="0"/>
              <c:showVal val="1"/>
              <c:showCatName val="0"/>
              <c:showSerName val="0"/>
              <c:showPercent val="0"/>
              <c:separator>; </c:separator>
            </c:dLbl>
            <c:txPr>
              <a:bodyPr wrap="square"/>
              <a:lstStyle/>
              <a:p>
                <a:pPr>
                  <a:defRPr b="1" sz="1200" spc="-1" strike="noStrike">
                    <a:solidFill>
                      <a:srgbClr val="000000"/>
                    </a:solidFill>
                    <a:latin typeface="Times New Roman"/>
                  </a:defRPr>
                </a:pPr>
              </a:p>
            </c:txPr>
            <c:dLblPos val="b"/>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7"/>
                <c:pt idx="0">
                  <c:v>2017</c:v>
                </c:pt>
                <c:pt idx="1">
                  <c:v>2018</c:v>
                </c:pt>
                <c:pt idx="2">
                  <c:v>2019</c:v>
                </c:pt>
                <c:pt idx="3">
                  <c:v>2020</c:v>
                </c:pt>
                <c:pt idx="4">
                  <c:v>2021</c:v>
                </c:pt>
                <c:pt idx="5">
                  <c:v>2022</c:v>
                </c:pt>
                <c:pt idx="6">
                  <c:v>2023</c:v>
                </c:pt>
              </c:strCache>
            </c:strRef>
          </c:cat>
          <c:val>
            <c:numRef>
              <c:f>0</c:f>
              <c:numCache>
                <c:formatCode>General</c:formatCode>
                <c:ptCount val="7"/>
                <c:pt idx="0">
                  <c:v>1.68</c:v>
                </c:pt>
                <c:pt idx="1">
                  <c:v>1.37</c:v>
                </c:pt>
                <c:pt idx="2">
                  <c:v>2.54</c:v>
                </c:pt>
                <c:pt idx="3">
                  <c:v>2.5</c:v>
                </c:pt>
                <c:pt idx="4">
                  <c:v>1.31</c:v>
                </c:pt>
                <c:pt idx="5">
                  <c:v>1.34</c:v>
                </c:pt>
                <c:pt idx="6">
                  <c:v>2.13</c:v>
                </c:pt>
              </c:numCache>
            </c:numRef>
          </c:val>
          <c:smooth val="0"/>
        </c:ser>
        <c:ser>
          <c:idx val="1"/>
          <c:order val="1"/>
          <c:tx>
            <c:strRef>
              <c:f>label 1</c:f>
              <c:strCache>
                <c:ptCount val="1"/>
                <c:pt idx="0">
                  <c:v>Kauno apskritis</c:v>
                </c:pt>
              </c:strCache>
            </c:strRef>
          </c:tx>
          <c:spPr>
            <a:solidFill>
              <a:srgbClr val="d78972"/>
            </a:solidFill>
            <a:ln cap="rnd" w="28440">
              <a:solidFill>
                <a:srgbClr val="d78972"/>
              </a:solidFill>
              <a:round/>
            </a:ln>
          </c:spPr>
          <c:marker>
            <c:symbol val="circle"/>
            <c:size val="5"/>
            <c:spPr>
              <a:solidFill>
                <a:srgbClr val="d78972"/>
              </a:solidFill>
            </c:spPr>
          </c:marker>
          <c:dPt>
            <c:idx val="3"/>
            <c:marker>
              <c:symbol val="circle"/>
              <c:size val="5"/>
              <c:spPr>
                <a:solidFill>
                  <a:srgbClr val="d78972"/>
                </a:solidFill>
              </c:spPr>
            </c:marker>
          </c:dPt>
          <c:dPt>
            <c:idx val="4"/>
            <c:marker>
              <c:symbol val="circle"/>
              <c:size val="5"/>
              <c:spPr>
                <a:solidFill>
                  <a:srgbClr val="d78972"/>
                </a:solidFill>
              </c:spPr>
            </c:marker>
          </c:dPt>
          <c:dLbls>
            <c:numFmt formatCode="#,##0.0" sourceLinked="0"/>
            <c:dLbl>
              <c:idx val="3"/>
              <c:layout>
                <c:manualLayout>
                  <c:x val="-0.0871528871391077"/>
                  <c:y val="0.0779050014581511"/>
                </c:manualLayout>
              </c:layout>
              <c:numFmt formatCode="#,##0.0" sourceLinked="0"/>
              <c:txPr>
                <a:bodyPr wrap="square"/>
                <a:lstStyle/>
                <a:p>
                  <a:pPr>
                    <a:defRPr b="1" sz="1200" spc="-1" strike="noStrike">
                      <a:solidFill>
                        <a:srgbClr val="000000"/>
                      </a:solidFill>
                      <a:latin typeface="Times New Roman"/>
                    </a:defRPr>
                  </a:pPr>
                </a:p>
              </c:txPr>
              <c:dLblPos val="r"/>
              <c:showLegendKey val="0"/>
              <c:showVal val="1"/>
              <c:showCatName val="0"/>
              <c:showSerName val="0"/>
              <c:showPercent val="0"/>
              <c:separator>; </c:separator>
            </c:dLbl>
            <c:dLbl>
              <c:idx val="4"/>
              <c:layout>
                <c:manualLayout>
                  <c:x val="-0.095486220472441"/>
                  <c:y val="0.0408679644211139"/>
                </c:manualLayout>
              </c:layout>
              <c:numFmt formatCode="#,##0.0" sourceLinked="0"/>
              <c:txPr>
                <a:bodyPr wrap="square"/>
                <a:lstStyle/>
                <a:p>
                  <a:pPr>
                    <a:defRPr b="1" sz="1200" spc="-1" strike="noStrike">
                      <a:solidFill>
                        <a:srgbClr val="000000"/>
                      </a:solidFill>
                      <a:latin typeface="Times New Roman"/>
                    </a:defRPr>
                  </a:pPr>
                </a:p>
              </c:txPr>
              <c:dLblPos val="r"/>
              <c:showLegendKey val="0"/>
              <c:showVal val="1"/>
              <c:showCatName val="0"/>
              <c:showSerName val="0"/>
              <c:showPercent val="0"/>
              <c:separator>; </c:separator>
            </c:dLbl>
            <c:txPr>
              <a:bodyPr wrap="square"/>
              <a:lstStyle/>
              <a:p>
                <a:pPr>
                  <a:defRPr b="1" sz="1200" spc="-1" strike="noStrike">
                    <a:solidFill>
                      <a:srgbClr val="000000"/>
                    </a:solidFill>
                    <a:latin typeface="Times New Roman"/>
                  </a:defRPr>
                </a:pPr>
              </a:p>
            </c:txPr>
            <c:dLblPos val="t"/>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trendline>
            <c:name>Sergamumo tendencija</c:name>
            <c:spPr>
              <a:ln cap="rnd" w="19080">
                <a:solidFill>
                  <a:srgbClr val="dc6434"/>
                </a:solidFill>
                <a:prstDash val="sysDot"/>
                <a:round/>
              </a:ln>
            </c:spPr>
            <c:trendlineType val="linear"/>
            <c:forward val="0"/>
            <c:backward val="0"/>
            <c:dispRSqr val="0"/>
            <c:dispEq val="0"/>
          </c:trendline>
          <c:cat>
            <c:strRef>
              <c:f>categories</c:f>
              <c:strCache>
                <c:ptCount val="7"/>
                <c:pt idx="0">
                  <c:v>2017</c:v>
                </c:pt>
                <c:pt idx="1">
                  <c:v>2018</c:v>
                </c:pt>
                <c:pt idx="2">
                  <c:v>2019</c:v>
                </c:pt>
                <c:pt idx="3">
                  <c:v>2020</c:v>
                </c:pt>
                <c:pt idx="4">
                  <c:v>2021</c:v>
                </c:pt>
                <c:pt idx="5">
                  <c:v>2022</c:v>
                </c:pt>
                <c:pt idx="6">
                  <c:v>2023</c:v>
                </c:pt>
              </c:strCache>
            </c:strRef>
          </c:cat>
          <c:val>
            <c:numRef>
              <c:f>1</c:f>
              <c:numCache>
                <c:formatCode>General</c:formatCode>
                <c:ptCount val="7"/>
                <c:pt idx="0">
                  <c:v>1.93</c:v>
                </c:pt>
                <c:pt idx="1">
                  <c:v>1.51</c:v>
                </c:pt>
                <c:pt idx="2">
                  <c:v>2.95</c:v>
                </c:pt>
                <c:pt idx="3">
                  <c:v>2.38</c:v>
                </c:pt>
                <c:pt idx="4">
                  <c:v>1</c:v>
                </c:pt>
                <c:pt idx="5">
                  <c:v>1.69</c:v>
                </c:pt>
                <c:pt idx="6">
                  <c:v>2.41278223089292</c:v>
                </c:pt>
              </c:numCache>
            </c:numRef>
          </c:val>
          <c:smooth val="0"/>
        </c:ser>
        <c:hiLowLines>
          <c:spPr>
            <a:ln w="0">
              <a:noFill/>
            </a:ln>
          </c:spPr>
        </c:hiLowLines>
        <c:marker val="1"/>
        <c:axId val="88448760"/>
        <c:axId val="34941370"/>
      </c:lineChart>
      <c:catAx>
        <c:axId val="88448760"/>
        <c:scaling>
          <c:orientation val="minMax"/>
        </c:scaling>
        <c:delete val="0"/>
        <c:axPos val="b"/>
        <c:numFmt formatCode="General" sourceLinked="0"/>
        <c:majorTickMark val="out"/>
        <c:minorTickMark val="none"/>
        <c:tickLblPos val="nextTo"/>
        <c:spPr>
          <a:ln w="9360">
            <a:solidFill>
              <a:srgbClr val="002060"/>
            </a:solidFill>
            <a:round/>
          </a:ln>
        </c:spPr>
        <c:txPr>
          <a:bodyPr/>
          <a:lstStyle/>
          <a:p>
            <a:pPr>
              <a:defRPr b="0" sz="1200" spc="-1" strike="noStrike">
                <a:solidFill>
                  <a:srgbClr val="000000"/>
                </a:solidFill>
                <a:latin typeface="Times New Roman"/>
              </a:defRPr>
            </a:pPr>
          </a:p>
        </c:txPr>
        <c:crossAx val="34941370"/>
        <c:crosses val="autoZero"/>
        <c:auto val="1"/>
        <c:lblAlgn val="ctr"/>
        <c:lblOffset val="100"/>
        <c:noMultiLvlLbl val="0"/>
      </c:catAx>
      <c:valAx>
        <c:axId val="34941370"/>
        <c:scaling>
          <c:orientation val="minMax"/>
        </c:scaling>
        <c:delete val="0"/>
        <c:axPos val="l"/>
        <c:title>
          <c:tx>
            <c:rich>
              <a:bodyPr rot="-5400000"/>
              <a:lstStyle/>
              <a:p>
                <a:pPr>
                  <a:defRPr b="0" lang="lt-LT" sz="1200" spc="-1" strike="noStrike">
                    <a:solidFill>
                      <a:srgbClr val="000000"/>
                    </a:solidFill>
                    <a:latin typeface="Times New Roman"/>
                  </a:defRPr>
                </a:pPr>
                <a:r>
                  <a:rPr b="0" lang="lt-LT" sz="1200" spc="-1" strike="noStrike">
                    <a:solidFill>
                      <a:srgbClr val="000000"/>
                    </a:solidFill>
                    <a:latin typeface="Times New Roman"/>
                  </a:rPr>
                  <a:t>atv./ 10 000 gyv.</a:t>
                </a:r>
              </a:p>
            </c:rich>
          </c:tx>
          <c:overlay val="0"/>
          <c:spPr>
            <a:noFill/>
            <a:ln w="0">
              <a:noFill/>
            </a:ln>
          </c:spPr>
        </c:title>
        <c:numFmt formatCode="0.0" sourceLinked="0"/>
        <c:majorTickMark val="out"/>
        <c:minorTickMark val="none"/>
        <c:tickLblPos val="nextTo"/>
        <c:spPr>
          <a:ln w="6480">
            <a:solidFill>
              <a:srgbClr val="002060"/>
            </a:solidFill>
            <a:round/>
          </a:ln>
        </c:spPr>
        <c:txPr>
          <a:bodyPr/>
          <a:lstStyle/>
          <a:p>
            <a:pPr>
              <a:defRPr b="0" sz="1200" spc="-1" strike="noStrike">
                <a:solidFill>
                  <a:srgbClr val="000000"/>
                </a:solidFill>
                <a:latin typeface="Times New Roman"/>
              </a:defRPr>
            </a:pPr>
          </a:p>
        </c:txPr>
        <c:crossAx val="88448760"/>
        <c:crosses val="autoZero"/>
        <c:crossBetween val="between"/>
      </c:valAx>
      <c:spPr>
        <a:noFill/>
        <a:ln w="0">
          <a:noFill/>
        </a:ln>
      </c:spPr>
    </c:plotArea>
    <c:legend>
      <c:legendPos val="b"/>
      <c:overlay val="0"/>
      <c:spPr>
        <a:noFill/>
        <a:ln w="0">
          <a:noFill/>
        </a:ln>
      </c:spPr>
      <c:txPr>
        <a:bodyPr/>
        <a:lstStyle/>
        <a:p>
          <a:pPr>
            <a:defRPr b="0" sz="1200" spc="-1" strike="noStrike">
              <a:solidFill>
                <a:srgbClr val="000000"/>
              </a:solidFill>
              <a:latin typeface="Times New Roman"/>
            </a:defRPr>
          </a:pPr>
        </a:p>
      </c:txPr>
    </c:legend>
    <c:plotVisOnly val="1"/>
    <c:dispBlanksAs val="gap"/>
  </c:chart>
  <c:spPr>
    <a:solidFill>
      <a:srgbClr val="ffffff"/>
    </a:solidFill>
    <a:ln w="9360">
      <a:noFill/>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Lietuva</c:v>
                </c:pt>
              </c:strCache>
            </c:strRef>
          </c:tx>
          <c:spPr>
            <a:solidFill>
              <a:srgbClr val="344729"/>
            </a:solidFill>
            <a:ln cap="rnd" w="28440">
              <a:solidFill>
                <a:srgbClr val="344729"/>
              </a:solidFill>
              <a:round/>
            </a:ln>
          </c:spPr>
          <c:marker>
            <c:symbol val="circle"/>
            <c:size val="5"/>
            <c:spPr>
              <a:solidFill>
                <a:srgbClr val="344729"/>
              </a:solidFill>
            </c:spPr>
          </c:marker>
          <c:dLbls>
            <c:numFmt formatCode="#,##0.0" sourceLinked="0"/>
            <c:txPr>
              <a:bodyPr wrap="square"/>
              <a:lstStyle/>
              <a:p>
                <a:pPr>
                  <a:defRPr b="1" sz="1200" spc="-1" strike="noStrike">
                    <a:solidFill>
                      <a:srgbClr val="000000"/>
                    </a:solidFill>
                    <a:latin typeface="Times New Roman"/>
                  </a:defRPr>
                </a:pPr>
              </a:p>
            </c:txPr>
            <c:dLblPos val="b"/>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7"/>
                <c:pt idx="0">
                  <c:v>2017</c:v>
                </c:pt>
                <c:pt idx="1">
                  <c:v>2018</c:v>
                </c:pt>
                <c:pt idx="2">
                  <c:v>2019</c:v>
                </c:pt>
                <c:pt idx="3">
                  <c:v>2020</c:v>
                </c:pt>
                <c:pt idx="4">
                  <c:v>2021</c:v>
                </c:pt>
                <c:pt idx="5">
                  <c:v>2022</c:v>
                </c:pt>
                <c:pt idx="6">
                  <c:v>2023</c:v>
                </c:pt>
              </c:strCache>
            </c:strRef>
          </c:cat>
          <c:val>
            <c:numRef>
              <c:f>0</c:f>
              <c:numCache>
                <c:formatCode>General</c:formatCode>
                <c:ptCount val="7"/>
                <c:pt idx="0">
                  <c:v>9.99</c:v>
                </c:pt>
                <c:pt idx="1">
                  <c:v>8.19</c:v>
                </c:pt>
                <c:pt idx="2">
                  <c:v>11.8</c:v>
                </c:pt>
                <c:pt idx="3">
                  <c:v>10</c:v>
                </c:pt>
                <c:pt idx="4">
                  <c:v>6.37</c:v>
                </c:pt>
                <c:pt idx="5">
                  <c:v>8.48</c:v>
                </c:pt>
                <c:pt idx="6">
                  <c:v>10.3566415887158</c:v>
                </c:pt>
              </c:numCache>
            </c:numRef>
          </c:val>
          <c:smooth val="0"/>
        </c:ser>
        <c:ser>
          <c:idx val="1"/>
          <c:order val="1"/>
          <c:tx>
            <c:strRef>
              <c:f>label 1</c:f>
              <c:strCache>
                <c:ptCount val="1"/>
                <c:pt idx="0">
                  <c:v>Kauno apskritis</c:v>
                </c:pt>
              </c:strCache>
            </c:strRef>
          </c:tx>
          <c:spPr>
            <a:solidFill>
              <a:srgbClr val="79826f"/>
            </a:solidFill>
            <a:ln cap="rnd" w="28440">
              <a:solidFill>
                <a:srgbClr val="79826f"/>
              </a:solidFill>
              <a:round/>
            </a:ln>
          </c:spPr>
          <c:marker>
            <c:symbol val="circle"/>
            <c:size val="5"/>
            <c:spPr>
              <a:solidFill>
                <a:srgbClr val="79826f"/>
              </a:solidFill>
            </c:spPr>
          </c:marker>
          <c:dLbls>
            <c:numFmt formatCode="#,##0.0" sourceLinked="0"/>
            <c:txPr>
              <a:bodyPr wrap="square"/>
              <a:lstStyle/>
              <a:p>
                <a:pPr>
                  <a:defRPr b="1" sz="1200" spc="-1" strike="noStrike">
                    <a:solidFill>
                      <a:srgbClr val="000000"/>
                    </a:solidFill>
                    <a:latin typeface="Times New Roman"/>
                  </a:defRPr>
                </a:pPr>
              </a:p>
            </c:txPr>
            <c:dLblPos val="t"/>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trendline>
            <c:name>Sergamumo tendencija</c:name>
            <c:spPr>
              <a:ln cap="rnd" w="19080">
                <a:solidFill>
                  <a:srgbClr val="dc6434"/>
                </a:solidFill>
                <a:prstDash val="sysDot"/>
                <a:round/>
              </a:ln>
            </c:spPr>
            <c:trendlineType val="linear"/>
            <c:forward val="0"/>
            <c:backward val="0"/>
            <c:dispRSqr val="0"/>
            <c:dispEq val="0"/>
          </c:trendline>
          <c:cat>
            <c:strRef>
              <c:f>categories</c:f>
              <c:strCache>
                <c:ptCount val="7"/>
                <c:pt idx="0">
                  <c:v>2017</c:v>
                </c:pt>
                <c:pt idx="1">
                  <c:v>2018</c:v>
                </c:pt>
                <c:pt idx="2">
                  <c:v>2019</c:v>
                </c:pt>
                <c:pt idx="3">
                  <c:v>2020</c:v>
                </c:pt>
                <c:pt idx="4">
                  <c:v>2021</c:v>
                </c:pt>
                <c:pt idx="5">
                  <c:v>2022</c:v>
                </c:pt>
                <c:pt idx="6">
                  <c:v>2023</c:v>
                </c:pt>
              </c:strCache>
            </c:strRef>
          </c:cat>
          <c:val>
            <c:numRef>
              <c:f>1</c:f>
              <c:numCache>
                <c:formatCode>General</c:formatCode>
                <c:ptCount val="7"/>
                <c:pt idx="0">
                  <c:v>10.6</c:v>
                </c:pt>
                <c:pt idx="1">
                  <c:v>8.95</c:v>
                </c:pt>
                <c:pt idx="2">
                  <c:v>14.4</c:v>
                </c:pt>
                <c:pt idx="3">
                  <c:v>12.1</c:v>
                </c:pt>
                <c:pt idx="4">
                  <c:v>7.39</c:v>
                </c:pt>
                <c:pt idx="5">
                  <c:v>10.66</c:v>
                </c:pt>
                <c:pt idx="6">
                  <c:v>11.2194373736521</c:v>
                </c:pt>
              </c:numCache>
            </c:numRef>
          </c:val>
          <c:smooth val="0"/>
        </c:ser>
        <c:hiLowLines>
          <c:spPr>
            <a:ln w="0">
              <a:noFill/>
            </a:ln>
          </c:spPr>
        </c:hiLowLines>
        <c:marker val="1"/>
        <c:axId val="34077516"/>
        <c:axId val="53646612"/>
      </c:lineChart>
      <c:catAx>
        <c:axId val="34077516"/>
        <c:scaling>
          <c:orientation val="minMax"/>
        </c:scaling>
        <c:delete val="0"/>
        <c:axPos val="b"/>
        <c:numFmt formatCode="General" sourceLinked="0"/>
        <c:majorTickMark val="out"/>
        <c:minorTickMark val="none"/>
        <c:tickLblPos val="nextTo"/>
        <c:spPr>
          <a:ln w="9360">
            <a:solidFill>
              <a:srgbClr val="002060"/>
            </a:solidFill>
            <a:round/>
          </a:ln>
        </c:spPr>
        <c:txPr>
          <a:bodyPr/>
          <a:lstStyle/>
          <a:p>
            <a:pPr>
              <a:defRPr b="0" sz="1200" spc="-1" strike="noStrike">
                <a:solidFill>
                  <a:srgbClr val="000000"/>
                </a:solidFill>
                <a:latin typeface="Times New Roman"/>
              </a:defRPr>
            </a:pPr>
          </a:p>
        </c:txPr>
        <c:crossAx val="53646612"/>
        <c:crosses val="autoZero"/>
        <c:auto val="1"/>
        <c:lblAlgn val="ctr"/>
        <c:lblOffset val="100"/>
        <c:noMultiLvlLbl val="0"/>
      </c:catAx>
      <c:valAx>
        <c:axId val="53646612"/>
        <c:scaling>
          <c:orientation val="minMax"/>
        </c:scaling>
        <c:delete val="0"/>
        <c:axPos val="l"/>
        <c:title>
          <c:tx>
            <c:rich>
              <a:bodyPr rot="-5400000"/>
              <a:lstStyle/>
              <a:p>
                <a:pPr>
                  <a:defRPr b="0" lang="lt-LT" sz="1200" spc="-1" strike="noStrike">
                    <a:solidFill>
                      <a:srgbClr val="000000"/>
                    </a:solidFill>
                    <a:latin typeface="Times New Roman"/>
                  </a:defRPr>
                </a:pPr>
                <a:r>
                  <a:rPr b="0" lang="lt-LT" sz="1200" spc="-1" strike="noStrike">
                    <a:solidFill>
                      <a:srgbClr val="000000"/>
                    </a:solidFill>
                    <a:latin typeface="Times New Roman"/>
                  </a:rPr>
                  <a:t>atv./ 10 000 gyv.</a:t>
                </a:r>
              </a:p>
            </c:rich>
          </c:tx>
          <c:overlay val="0"/>
          <c:spPr>
            <a:noFill/>
            <a:ln w="0">
              <a:noFill/>
            </a:ln>
          </c:spPr>
        </c:title>
        <c:numFmt formatCode="0.0" sourceLinked="0"/>
        <c:majorTickMark val="out"/>
        <c:minorTickMark val="none"/>
        <c:tickLblPos val="nextTo"/>
        <c:spPr>
          <a:ln w="6480">
            <a:solidFill>
              <a:srgbClr val="002060"/>
            </a:solidFill>
            <a:round/>
          </a:ln>
        </c:spPr>
        <c:txPr>
          <a:bodyPr/>
          <a:lstStyle/>
          <a:p>
            <a:pPr>
              <a:defRPr b="0" sz="1200" spc="-1" strike="noStrike">
                <a:solidFill>
                  <a:srgbClr val="000000"/>
                </a:solidFill>
                <a:latin typeface="Times New Roman"/>
              </a:defRPr>
            </a:pPr>
          </a:p>
        </c:txPr>
        <c:crossAx val="34077516"/>
        <c:crosses val="autoZero"/>
        <c:crossBetween val="between"/>
      </c:valAx>
      <c:spPr>
        <a:noFill/>
        <a:ln w="0">
          <a:noFill/>
        </a:ln>
      </c:spPr>
    </c:plotArea>
    <c:legend>
      <c:legendPos val="b"/>
      <c:overlay val="0"/>
      <c:spPr>
        <a:noFill/>
        <a:ln w="0">
          <a:noFill/>
        </a:ln>
      </c:spPr>
      <c:txPr>
        <a:bodyPr/>
        <a:lstStyle/>
        <a:p>
          <a:pPr>
            <a:defRPr b="0" sz="1200" spc="-1" strike="noStrike">
              <a:solidFill>
                <a:srgbClr val="000000"/>
              </a:solidFill>
              <a:latin typeface="Times New Roman"/>
            </a:defRPr>
          </a:pPr>
        </a:p>
      </c:txPr>
    </c:legend>
    <c:plotVisOnly val="1"/>
    <c:dispBlanksAs val="gap"/>
  </c:chart>
  <c:spPr>
    <a:solidFill>
      <a:srgbClr val="ffffff"/>
    </a:solidFill>
    <a:ln w="9360">
      <a:noFill/>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areaChart>
        <c:grouping val="stacked"/>
        <c:ser>
          <c:idx val="0"/>
          <c:order val="0"/>
          <c:tx>
            <c:strRef>
              <c:f>label 0</c:f>
              <c:strCache>
                <c:ptCount val="1"/>
                <c:pt idx="0">
                  <c:v>EE</c:v>
                </c:pt>
              </c:strCache>
            </c:strRef>
          </c:tx>
          <c:spPr>
            <a:solidFill>
              <a:srgbClr val="d78972"/>
            </a:solidFill>
            <a:ln w="0">
              <a:noFill/>
            </a:ln>
          </c:spPr>
          <c:dLbls>
            <c:txPr>
              <a:bodyPr wrap="square"/>
              <a:lstStyle/>
              <a:p>
                <a:pPr>
                  <a:defRPr b="0" sz="1200" spc="-1" strike="noStrike">
                    <a:solidFill>
                      <a:srgbClr val="000000"/>
                    </a:solidFill>
                    <a:latin typeface="Times New Roman"/>
                  </a:defRPr>
                </a:pPr>
              </a:p>
            </c:txP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0</c:f>
              <c:numCache>
                <c:formatCode>General</c:formatCode>
                <c:ptCount val="12"/>
                <c:pt idx="0">
                  <c:v>0</c:v>
                </c:pt>
                <c:pt idx="1">
                  <c:v>1</c:v>
                </c:pt>
                <c:pt idx="2">
                  <c:v>0</c:v>
                </c:pt>
                <c:pt idx="3">
                  <c:v>1</c:v>
                </c:pt>
                <c:pt idx="4">
                  <c:v>4</c:v>
                </c:pt>
                <c:pt idx="5">
                  <c:v>13</c:v>
                </c:pt>
                <c:pt idx="6">
                  <c:v>23</c:v>
                </c:pt>
                <c:pt idx="7">
                  <c:v>24</c:v>
                </c:pt>
                <c:pt idx="8">
                  <c:v>22</c:v>
                </c:pt>
                <c:pt idx="9">
                  <c:v>39</c:v>
                </c:pt>
                <c:pt idx="10">
                  <c:v>10</c:v>
                </c:pt>
                <c:pt idx="11">
                  <c:v>3</c:v>
                </c:pt>
              </c:numCache>
            </c:numRef>
          </c:val>
        </c:ser>
        <c:axId val="85359137"/>
        <c:axId val="43094080"/>
      </c:areaChart>
      <c:catAx>
        <c:axId val="85359137"/>
        <c:scaling>
          <c:orientation val="minMax"/>
        </c:scaling>
        <c:delete val="0"/>
        <c:axPos val="b"/>
        <c:numFmt formatCode="General" sourceLinked="0"/>
        <c:majorTickMark val="out"/>
        <c:minorTickMark val="none"/>
        <c:tickLblPos val="nextTo"/>
        <c:spPr>
          <a:ln w="9360">
            <a:solidFill>
              <a:srgbClr val="44546a"/>
            </a:solidFill>
            <a:round/>
          </a:ln>
        </c:spPr>
        <c:txPr>
          <a:bodyPr/>
          <a:lstStyle/>
          <a:p>
            <a:pPr>
              <a:defRPr b="0" sz="1200" spc="-1" strike="noStrike">
                <a:solidFill>
                  <a:srgbClr val="000000"/>
                </a:solidFill>
                <a:latin typeface="Times New Roman"/>
              </a:defRPr>
            </a:pPr>
          </a:p>
        </c:txPr>
        <c:crossAx val="43094080"/>
        <c:crosses val="autoZero"/>
        <c:auto val="1"/>
        <c:lblAlgn val="ctr"/>
        <c:lblOffset val="100"/>
        <c:noMultiLvlLbl val="0"/>
      </c:catAx>
      <c:valAx>
        <c:axId val="43094080"/>
        <c:scaling>
          <c:orientation val="minMax"/>
        </c:scaling>
        <c:delete val="0"/>
        <c:axPos val="l"/>
        <c:title>
          <c:tx>
            <c:rich>
              <a:bodyPr rot="-5400000"/>
              <a:lstStyle/>
              <a:p>
                <a:pPr>
                  <a:defRPr b="0" lang="lt-LT" sz="1200" spc="-1" strike="noStrike">
                    <a:solidFill>
                      <a:srgbClr val="000000"/>
                    </a:solidFill>
                    <a:latin typeface="Times New Roman"/>
                  </a:defRPr>
                </a:pPr>
                <a:r>
                  <a:rPr b="0" lang="lt-LT" sz="1200" spc="-1" strike="noStrike">
                    <a:solidFill>
                      <a:srgbClr val="000000"/>
                    </a:solidFill>
                    <a:latin typeface="Times New Roman"/>
                  </a:rPr>
                  <a:t>Atvejų sk.</a:t>
                </a:r>
              </a:p>
            </c:rich>
          </c:tx>
          <c:overlay val="0"/>
          <c:spPr>
            <a:noFill/>
            <a:ln w="0">
              <a:noFill/>
            </a:ln>
          </c:spPr>
        </c:title>
        <c:numFmt formatCode="General" sourceLinked="0"/>
        <c:majorTickMark val="out"/>
        <c:minorTickMark val="none"/>
        <c:tickLblPos val="nextTo"/>
        <c:spPr>
          <a:ln w="6480">
            <a:solidFill>
              <a:srgbClr val="44546a"/>
            </a:solidFill>
            <a:round/>
          </a:ln>
        </c:spPr>
        <c:txPr>
          <a:bodyPr/>
          <a:lstStyle/>
          <a:p>
            <a:pPr>
              <a:defRPr b="0" sz="1200" spc="-1" strike="noStrike">
                <a:solidFill>
                  <a:srgbClr val="000000"/>
                </a:solidFill>
                <a:latin typeface="Times New Roman"/>
              </a:defRPr>
            </a:pPr>
          </a:p>
        </c:txPr>
        <c:crossAx val="85359137"/>
        <c:crosses val="autoZero"/>
        <c:crossBetween val="midCat"/>
      </c:valAx>
      <c:spPr>
        <a:noFill/>
        <a:ln w="0">
          <a:noFill/>
        </a:ln>
      </c:spPr>
    </c:plotArea>
    <c:plotVisOnly val="1"/>
    <c:dispBlanksAs val="zero"/>
  </c:chart>
  <c:spPr>
    <a:solidFill>
      <a:srgbClr val="ffffff"/>
    </a:solidFill>
    <a:ln w="9360">
      <a:noFill/>
    </a:ln>
  </c:spPr>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areaChart>
        <c:grouping val="stacked"/>
        <c:ser>
          <c:idx val="0"/>
          <c:order val="0"/>
          <c:tx>
            <c:strRef>
              <c:f>label 0</c:f>
              <c:strCache>
                <c:ptCount val="1"/>
                <c:pt idx="0">
                  <c:v>LL</c:v>
                </c:pt>
              </c:strCache>
            </c:strRef>
          </c:tx>
          <c:spPr>
            <a:solidFill>
              <a:srgbClr val="79826f"/>
            </a:solidFill>
            <a:ln w="0">
              <a:noFill/>
            </a:ln>
          </c:spPr>
          <c:dLbls>
            <c:txPr>
              <a:bodyPr wrap="square"/>
              <a:lstStyle/>
              <a:p>
                <a:pPr>
                  <a:defRPr b="0" sz="1200" spc="-1" strike="noStrike">
                    <a:solidFill>
                      <a:srgbClr val="000000"/>
                    </a:solidFill>
                    <a:latin typeface="Times New Roman"/>
                  </a:defRPr>
                </a:pPr>
              </a:p>
            </c:txP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0</c:f>
              <c:numCache>
                <c:formatCode>General</c:formatCode>
                <c:ptCount val="12"/>
                <c:pt idx="0">
                  <c:v>16</c:v>
                </c:pt>
                <c:pt idx="1">
                  <c:v>21</c:v>
                </c:pt>
                <c:pt idx="2">
                  <c:v>17</c:v>
                </c:pt>
                <c:pt idx="3">
                  <c:v>9</c:v>
                </c:pt>
                <c:pt idx="4">
                  <c:v>51</c:v>
                </c:pt>
                <c:pt idx="5">
                  <c:v>77</c:v>
                </c:pt>
                <c:pt idx="6">
                  <c:v>100</c:v>
                </c:pt>
                <c:pt idx="7">
                  <c:v>116</c:v>
                </c:pt>
                <c:pt idx="8">
                  <c:v>87</c:v>
                </c:pt>
                <c:pt idx="9">
                  <c:v>95</c:v>
                </c:pt>
                <c:pt idx="10">
                  <c:v>37</c:v>
                </c:pt>
                <c:pt idx="11">
                  <c:v>25</c:v>
                </c:pt>
              </c:numCache>
            </c:numRef>
          </c:val>
        </c:ser>
        <c:axId val="36328422"/>
        <c:axId val="77981688"/>
      </c:areaChart>
      <c:catAx>
        <c:axId val="36328422"/>
        <c:scaling>
          <c:orientation val="minMax"/>
        </c:scaling>
        <c:delete val="0"/>
        <c:axPos val="b"/>
        <c:numFmt formatCode="General" sourceLinked="0"/>
        <c:majorTickMark val="out"/>
        <c:minorTickMark val="none"/>
        <c:tickLblPos val="nextTo"/>
        <c:spPr>
          <a:ln w="9360">
            <a:solidFill>
              <a:srgbClr val="44546a"/>
            </a:solidFill>
            <a:round/>
          </a:ln>
        </c:spPr>
        <c:txPr>
          <a:bodyPr/>
          <a:lstStyle/>
          <a:p>
            <a:pPr>
              <a:defRPr b="0" sz="1200" spc="-1" strike="noStrike">
                <a:solidFill>
                  <a:srgbClr val="000000"/>
                </a:solidFill>
                <a:latin typeface="Times New Roman"/>
              </a:defRPr>
            </a:pPr>
          </a:p>
        </c:txPr>
        <c:crossAx val="77981688"/>
        <c:crosses val="autoZero"/>
        <c:auto val="1"/>
        <c:lblAlgn val="ctr"/>
        <c:lblOffset val="100"/>
        <c:noMultiLvlLbl val="0"/>
      </c:catAx>
      <c:valAx>
        <c:axId val="77981688"/>
        <c:scaling>
          <c:orientation val="minMax"/>
        </c:scaling>
        <c:delete val="0"/>
        <c:axPos val="l"/>
        <c:title>
          <c:tx>
            <c:rich>
              <a:bodyPr rot="-5400000"/>
              <a:lstStyle/>
              <a:p>
                <a:pPr>
                  <a:defRPr b="0" lang="lt-LT" sz="1200" spc="-1" strike="noStrike">
                    <a:solidFill>
                      <a:srgbClr val="000000"/>
                    </a:solidFill>
                    <a:latin typeface="Times New Roman"/>
                  </a:defRPr>
                </a:pPr>
                <a:r>
                  <a:rPr b="0" lang="lt-LT" sz="1200" spc="-1" strike="noStrike">
                    <a:solidFill>
                      <a:srgbClr val="000000"/>
                    </a:solidFill>
                    <a:latin typeface="Times New Roman"/>
                  </a:rPr>
                  <a:t>Atvejų sk.</a:t>
                </a:r>
              </a:p>
            </c:rich>
          </c:tx>
          <c:overlay val="0"/>
          <c:spPr>
            <a:noFill/>
            <a:ln w="0">
              <a:noFill/>
            </a:ln>
          </c:spPr>
        </c:title>
        <c:numFmt formatCode="General" sourceLinked="0"/>
        <c:majorTickMark val="out"/>
        <c:minorTickMark val="none"/>
        <c:tickLblPos val="nextTo"/>
        <c:spPr>
          <a:ln w="6480">
            <a:solidFill>
              <a:srgbClr val="44546a">
                <a:alpha val="99000"/>
              </a:srgbClr>
            </a:solidFill>
            <a:round/>
          </a:ln>
        </c:spPr>
        <c:txPr>
          <a:bodyPr/>
          <a:lstStyle/>
          <a:p>
            <a:pPr>
              <a:defRPr b="0" sz="1200" spc="-1" strike="noStrike">
                <a:solidFill>
                  <a:srgbClr val="000000"/>
                </a:solidFill>
                <a:latin typeface="Times New Roman"/>
              </a:defRPr>
            </a:pPr>
          </a:p>
        </c:txPr>
        <c:crossAx val="36328422"/>
        <c:crosses val="autoZero"/>
        <c:crossBetween val="midCat"/>
      </c:valAx>
      <c:spPr>
        <a:noFill/>
        <a:ln w="0">
          <a:noFill/>
        </a:ln>
      </c:spPr>
    </c:plotArea>
    <c:plotVisOnly val="1"/>
    <c:dispBlanksAs val="zero"/>
  </c:chart>
  <c:spPr>
    <a:solidFill>
      <a:srgbClr val="ffffff"/>
    </a:solidFill>
    <a:ln w="9360">
      <a:noFill/>
    </a:ln>
  </c:spPr>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stacked"/>
        <c:varyColors val="0"/>
        <c:ser>
          <c:idx val="0"/>
          <c:order val="0"/>
          <c:tx>
            <c:strRef>
              <c:f>label 0</c:f>
              <c:strCache>
                <c:ptCount val="1"/>
                <c:pt idx="0">
                  <c:v>Hospitalizuotų sk.</c:v>
                </c:pt>
              </c:strCache>
            </c:strRef>
          </c:tx>
          <c:spPr>
            <a:solidFill>
              <a:srgbClr val="d78972"/>
            </a:solidFill>
            <a:ln w="0">
              <a:noFill/>
            </a:ln>
          </c:spPr>
          <c:invertIfNegative val="0"/>
          <c:dLbls>
            <c:numFmt formatCode="General" sourceLinked="0"/>
            <c:txPr>
              <a:bodyPr wrap="square"/>
              <a:lstStyle/>
              <a:p>
                <a:pPr>
                  <a:defRPr b="1" sz="1200" spc="-1" strike="noStrike">
                    <a:solidFill>
                      <a:srgbClr val="000000"/>
                    </a:solidFill>
                    <a:latin typeface="Times New Roman"/>
                  </a:defRPr>
                </a:pPr>
              </a:p>
            </c:txPr>
            <c:dLblPos val="ctr"/>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8"/>
                <c:pt idx="0">
                  <c:v>Birštono sav.</c:v>
                </c:pt>
                <c:pt idx="1">
                  <c:v>Kėdainių r. sav.</c:v>
                </c:pt>
                <c:pt idx="2">
                  <c:v>Prienų r. sav.</c:v>
                </c:pt>
                <c:pt idx="3">
                  <c:v>Jonavos r. sav.</c:v>
                </c:pt>
                <c:pt idx="4">
                  <c:v>Kaišiadorių r. sav.</c:v>
                </c:pt>
                <c:pt idx="5">
                  <c:v>Raseinių r. sav.</c:v>
                </c:pt>
                <c:pt idx="6">
                  <c:v>Kauno r. sav.</c:v>
                </c:pt>
                <c:pt idx="7">
                  <c:v>Kauno m. sav.</c:v>
                </c:pt>
              </c:strCache>
            </c:strRef>
          </c:cat>
          <c:val>
            <c:numRef>
              <c:f>0</c:f>
              <c:numCache>
                <c:formatCode>General</c:formatCode>
                <c:ptCount val="8"/>
                <c:pt idx="0">
                  <c:v>1</c:v>
                </c:pt>
                <c:pt idx="1">
                  <c:v>8</c:v>
                </c:pt>
                <c:pt idx="2">
                  <c:v>8</c:v>
                </c:pt>
                <c:pt idx="3">
                  <c:v>9</c:v>
                </c:pt>
                <c:pt idx="4">
                  <c:v>14</c:v>
                </c:pt>
                <c:pt idx="5">
                  <c:v>16</c:v>
                </c:pt>
                <c:pt idx="6">
                  <c:v>26</c:v>
                </c:pt>
                <c:pt idx="7">
                  <c:v>46</c:v>
                </c:pt>
              </c:numCache>
            </c:numRef>
          </c:val>
        </c:ser>
        <c:ser>
          <c:idx val="1"/>
          <c:order val="1"/>
          <c:tx>
            <c:strRef>
              <c:f>label 1</c:f>
              <c:strCache>
                <c:ptCount val="1"/>
                <c:pt idx="0">
                  <c:v>Ambulotoriškai gydomų sk.</c:v>
                </c:pt>
              </c:strCache>
            </c:strRef>
          </c:tx>
          <c:spPr>
            <a:solidFill>
              <a:srgbClr val="79826f"/>
            </a:solidFill>
            <a:ln w="0">
              <a:noFill/>
            </a:ln>
          </c:spPr>
          <c:invertIfNegative val="0"/>
          <c:dPt>
            <c:idx val="1"/>
            <c:invertIfNegative val="0"/>
            <c:spPr>
              <a:solidFill>
                <a:srgbClr val="79826f"/>
              </a:solidFill>
              <a:ln w="0">
                <a:noFill/>
              </a:ln>
            </c:spPr>
          </c:dPt>
          <c:dPt>
            <c:idx val="2"/>
            <c:invertIfNegative val="0"/>
            <c:spPr>
              <a:solidFill>
                <a:srgbClr val="79826f"/>
              </a:solidFill>
              <a:ln w="0">
                <a:noFill/>
              </a:ln>
            </c:spPr>
          </c:dPt>
          <c:dPt>
            <c:idx val="4"/>
            <c:invertIfNegative val="0"/>
            <c:spPr>
              <a:solidFill>
                <a:srgbClr val="79826f"/>
              </a:solidFill>
              <a:ln w="0">
                <a:noFill/>
              </a:ln>
            </c:spPr>
          </c:dPt>
          <c:dPt>
            <c:idx val="5"/>
            <c:invertIfNegative val="0"/>
            <c:spPr>
              <a:solidFill>
                <a:srgbClr val="79826f"/>
              </a:solidFill>
              <a:ln w="0">
                <a:noFill/>
              </a:ln>
            </c:spPr>
          </c:dPt>
          <c:dPt>
            <c:idx val="6"/>
            <c:invertIfNegative val="0"/>
            <c:spPr>
              <a:solidFill>
                <a:srgbClr val="79826f"/>
              </a:solidFill>
              <a:ln w="0">
                <a:noFill/>
              </a:ln>
            </c:spPr>
          </c:dPt>
          <c:dPt>
            <c:idx val="7"/>
            <c:invertIfNegative val="0"/>
            <c:spPr>
              <a:solidFill>
                <a:srgbClr val="79826f"/>
              </a:solidFill>
              <a:ln w="0">
                <a:noFill/>
              </a:ln>
            </c:spPr>
          </c:dPt>
          <c:dLbls>
            <c:dLbl>
              <c:idx val="1"/>
              <c:numFmt formatCode="General" sourceLinked="0"/>
              <c:txPr>
                <a:bodyPr wrap="square"/>
                <a:lstStyle/>
                <a:p>
                  <a:pPr>
                    <a:defRPr b="1" sz="1200" spc="-1" strike="noStrike">
                      <a:solidFill>
                        <a:srgbClr val="000000"/>
                      </a:solidFill>
                      <a:latin typeface="Times New Roman"/>
                    </a:defRPr>
                  </a:pPr>
                </a:p>
              </c:txPr>
              <c:dLblPos val="ctr"/>
              <c:showLegendKey val="0"/>
              <c:showVal val="1"/>
              <c:showCatName val="0"/>
              <c:showSerName val="0"/>
              <c:showPercent val="0"/>
              <c:separator>; </c:separator>
            </c:dLbl>
            <c:dLbl>
              <c:idx val="2"/>
              <c:numFmt formatCode="General" sourceLinked="0"/>
              <c:txPr>
                <a:bodyPr wrap="square"/>
                <a:lstStyle/>
                <a:p>
                  <a:pPr>
                    <a:defRPr b="1" sz="1200" spc="-1" strike="noStrike">
                      <a:solidFill>
                        <a:srgbClr val="000000"/>
                      </a:solidFill>
                      <a:latin typeface="Times New Roman"/>
                    </a:defRPr>
                  </a:pPr>
                </a:p>
              </c:txPr>
              <c:dLblPos val="ctr"/>
              <c:showLegendKey val="0"/>
              <c:showVal val="1"/>
              <c:showCatName val="0"/>
              <c:showSerName val="0"/>
              <c:showPercent val="0"/>
              <c:separator>; </c:separator>
            </c:dLbl>
            <c:dLbl>
              <c:idx val="4"/>
              <c:numFmt formatCode="General" sourceLinked="0"/>
              <c:txPr>
                <a:bodyPr wrap="square"/>
                <a:lstStyle/>
                <a:p>
                  <a:pPr>
                    <a:defRPr b="1" sz="1200" spc="-1" strike="noStrike">
                      <a:solidFill>
                        <a:srgbClr val="000000"/>
                      </a:solidFill>
                      <a:latin typeface="Times New Roman"/>
                    </a:defRPr>
                  </a:pPr>
                </a:p>
              </c:txPr>
              <c:dLblPos val="ctr"/>
              <c:showLegendKey val="0"/>
              <c:showVal val="1"/>
              <c:showCatName val="0"/>
              <c:showSerName val="0"/>
              <c:showPercent val="0"/>
              <c:separator>; </c:separator>
            </c:dLbl>
            <c:dLbl>
              <c:idx val="5"/>
              <c:numFmt formatCode="General" sourceLinked="0"/>
              <c:txPr>
                <a:bodyPr wrap="square"/>
                <a:lstStyle/>
                <a:p>
                  <a:pPr>
                    <a:defRPr b="1" sz="1200" spc="-1" strike="noStrike">
                      <a:solidFill>
                        <a:srgbClr val="000000"/>
                      </a:solidFill>
                      <a:latin typeface="Times New Roman"/>
                    </a:defRPr>
                  </a:pPr>
                </a:p>
              </c:txPr>
              <c:dLblPos val="ctr"/>
              <c:showLegendKey val="0"/>
              <c:showVal val="1"/>
              <c:showCatName val="0"/>
              <c:showSerName val="0"/>
              <c:showPercent val="0"/>
              <c:separator>; </c:separator>
            </c:dLbl>
            <c:dLbl>
              <c:idx val="6"/>
              <c:numFmt formatCode="General" sourceLinked="0"/>
              <c:txPr>
                <a:bodyPr wrap="square"/>
                <a:lstStyle/>
                <a:p>
                  <a:pPr>
                    <a:defRPr b="1" sz="1200" spc="-1" strike="noStrike">
                      <a:solidFill>
                        <a:srgbClr val="000000"/>
                      </a:solidFill>
                      <a:latin typeface="Times New Roman"/>
                    </a:defRPr>
                  </a:pPr>
                </a:p>
              </c:txPr>
              <c:dLblPos val="ctr"/>
              <c:showLegendKey val="0"/>
              <c:showVal val="1"/>
              <c:showCatName val="0"/>
              <c:showSerName val="0"/>
              <c:showPercent val="0"/>
              <c:separator>; </c:separator>
            </c:dLbl>
            <c:dLbl>
              <c:idx val="7"/>
              <c:numFmt formatCode="General" sourceLinked="0"/>
              <c:txPr>
                <a:bodyPr wrap="square"/>
                <a:lstStyle/>
                <a:p>
                  <a:pPr>
                    <a:defRPr b="1" sz="1200" spc="-1" strike="noStrike">
                      <a:solidFill>
                        <a:srgbClr val="000000"/>
                      </a:solidFill>
                      <a:latin typeface="Times New Roman"/>
                    </a:defRPr>
                  </a:pPr>
                </a:p>
              </c:txPr>
              <c:dLblPos val="ctr"/>
              <c:showLegendKey val="0"/>
              <c:showVal val="1"/>
              <c:showCatName val="0"/>
              <c:showSerName val="0"/>
              <c:showPercent val="0"/>
              <c:separator>; </c:separator>
            </c:dLbl>
            <c:txPr>
              <a:bodyPr wrap="square"/>
              <a:lstStyle/>
              <a:p>
                <a:pPr>
                  <a:defRPr b="1" sz="1200" spc="-1" strike="noStrike">
                    <a:solidFill>
                      <a:srgbClr val="000000"/>
                    </a:solidFill>
                    <a:latin typeface="Times New Roman"/>
                  </a:defRPr>
                </a:pPr>
              </a:p>
            </c:txPr>
            <c:dLblPos val="ct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8"/>
                <c:pt idx="0">
                  <c:v>Birštono sav.</c:v>
                </c:pt>
                <c:pt idx="1">
                  <c:v>Kėdainių r. sav.</c:v>
                </c:pt>
                <c:pt idx="2">
                  <c:v>Prienų r. sav.</c:v>
                </c:pt>
                <c:pt idx="3">
                  <c:v>Jonavos r. sav.</c:v>
                </c:pt>
                <c:pt idx="4">
                  <c:v>Kaišiadorių r. sav.</c:v>
                </c:pt>
                <c:pt idx="5">
                  <c:v>Raseinių r. sav.</c:v>
                </c:pt>
                <c:pt idx="6">
                  <c:v>Kauno r. sav.</c:v>
                </c:pt>
                <c:pt idx="7">
                  <c:v>Kauno m. sav.</c:v>
                </c:pt>
              </c:strCache>
            </c:strRef>
          </c:cat>
          <c:val>
            <c:numRef>
              <c:f>1</c:f>
              <c:numCache>
                <c:formatCode>General</c:formatCode>
                <c:ptCount val="8"/>
                <c:pt idx="0">
                  <c:v>0</c:v>
                </c:pt>
                <c:pt idx="1">
                  <c:v>1</c:v>
                </c:pt>
                <c:pt idx="2">
                  <c:v>1</c:v>
                </c:pt>
                <c:pt idx="3">
                  <c:v>0</c:v>
                </c:pt>
                <c:pt idx="4">
                  <c:v>1</c:v>
                </c:pt>
                <c:pt idx="5">
                  <c:v>2</c:v>
                </c:pt>
                <c:pt idx="6">
                  <c:v>3</c:v>
                </c:pt>
                <c:pt idx="7">
                  <c:v>4</c:v>
                </c:pt>
              </c:numCache>
            </c:numRef>
          </c:val>
        </c:ser>
        <c:gapWidth val="150"/>
        <c:overlap val="100"/>
        <c:axId val="8474906"/>
        <c:axId val="31006019"/>
      </c:barChart>
      <c:catAx>
        <c:axId val="8474906"/>
        <c:scaling>
          <c:orientation val="minMax"/>
        </c:scaling>
        <c:delete val="0"/>
        <c:axPos val="b"/>
        <c:numFmt formatCode="General" sourceLinked="0"/>
        <c:majorTickMark val="none"/>
        <c:minorTickMark val="none"/>
        <c:tickLblPos val="nextTo"/>
        <c:spPr>
          <a:ln w="9360">
            <a:solidFill>
              <a:srgbClr val="002060"/>
            </a:solidFill>
            <a:round/>
          </a:ln>
        </c:spPr>
        <c:txPr>
          <a:bodyPr/>
          <a:lstStyle/>
          <a:p>
            <a:pPr>
              <a:defRPr b="0" sz="1200" spc="-1" strike="noStrike">
                <a:solidFill>
                  <a:srgbClr val="000000"/>
                </a:solidFill>
                <a:latin typeface="Times New Roman"/>
              </a:defRPr>
            </a:pPr>
          </a:p>
        </c:txPr>
        <c:crossAx val="31006019"/>
        <c:crosses val="autoZero"/>
        <c:auto val="1"/>
        <c:lblAlgn val="ctr"/>
        <c:lblOffset val="100"/>
        <c:noMultiLvlLbl val="0"/>
      </c:catAx>
      <c:valAx>
        <c:axId val="31006019"/>
        <c:scaling>
          <c:orientation val="minMax"/>
        </c:scaling>
        <c:delete val="0"/>
        <c:axPos val="l"/>
        <c:title>
          <c:tx>
            <c:rich>
              <a:bodyPr rot="0"/>
              <a:lstStyle/>
              <a:p>
                <a:pPr>
                  <a:defRPr b="0" lang="lt-LT" sz="1200" spc="-1" strike="noStrike">
                    <a:solidFill>
                      <a:srgbClr val="000000"/>
                    </a:solidFill>
                    <a:latin typeface="Times New Roman"/>
                  </a:defRPr>
                </a:pPr>
                <a:r>
                  <a:rPr b="0" lang="lt-LT" sz="1200" spc="-1" strike="noStrike">
                    <a:solidFill>
                      <a:srgbClr val="000000"/>
                    </a:solidFill>
                    <a:latin typeface="Times New Roman"/>
                  </a:rPr>
                  <a:t>Atvejų sk.</a:t>
                </a:r>
              </a:p>
            </c:rich>
          </c:tx>
          <c:overlay val="0"/>
          <c:spPr>
            <a:noFill/>
            <a:ln w="0">
              <a:noFill/>
            </a:ln>
          </c:spPr>
        </c:title>
        <c:numFmt formatCode="General" sourceLinked="0"/>
        <c:majorTickMark val="out"/>
        <c:minorTickMark val="none"/>
        <c:tickLblPos val="nextTo"/>
        <c:spPr>
          <a:ln w="6480">
            <a:solidFill>
              <a:srgbClr val="002060"/>
            </a:solidFill>
            <a:round/>
          </a:ln>
        </c:spPr>
        <c:txPr>
          <a:bodyPr/>
          <a:lstStyle/>
          <a:p>
            <a:pPr>
              <a:defRPr b="0" sz="1200" spc="-1" strike="noStrike">
                <a:solidFill>
                  <a:srgbClr val="000000"/>
                </a:solidFill>
                <a:latin typeface="Times New Roman"/>
              </a:defRPr>
            </a:pPr>
          </a:p>
        </c:txPr>
        <c:crossAx val="8474906"/>
        <c:crosses val="autoZero"/>
        <c:crossBetween val="between"/>
      </c:valAx>
      <c:spPr>
        <a:noFill/>
        <a:ln w="0">
          <a:noFill/>
        </a:ln>
      </c:spPr>
    </c:plotArea>
    <c:legend>
      <c:legendPos val="b"/>
      <c:overlay val="0"/>
      <c:spPr>
        <a:noFill/>
        <a:ln w="0">
          <a:noFill/>
        </a:ln>
      </c:spPr>
      <c:txPr>
        <a:bodyPr/>
        <a:lstStyle/>
        <a:p>
          <a:pPr>
            <a:defRPr b="0" sz="1200" spc="-1" strike="noStrike">
              <a:solidFill>
                <a:srgbClr val="000000"/>
              </a:solidFill>
              <a:latin typeface="Times New Roman"/>
            </a:defRPr>
          </a:pPr>
        </a:p>
      </c:txPr>
    </c:legend>
    <c:plotVisOnly val="1"/>
    <c:dispBlanksAs val="gap"/>
  </c:chart>
  <c:spPr>
    <a:solidFill>
      <a:srgbClr val="ffffff"/>
    </a:solidFill>
    <a:ln w="9360">
      <a:noFill/>
    </a:ln>
  </c:spPr>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VISO EPL</c:v>
                </c:pt>
              </c:strCache>
            </c:strRef>
          </c:tx>
          <c:spPr>
            <a:solidFill>
              <a:srgbClr val="4472c4"/>
            </a:solidFill>
            <a:ln w="0">
              <a:noFill/>
            </a:ln>
          </c:spPr>
          <c:explosion val="0"/>
          <c:dPt>
            <c:idx val="0"/>
            <c:spPr>
              <a:solidFill>
                <a:srgbClr val="d7d2ce"/>
              </a:solidFill>
              <a:ln w="19080">
                <a:solidFill>
                  <a:srgbClr val="ffffff"/>
                </a:solidFill>
                <a:round/>
              </a:ln>
            </c:spPr>
          </c:dPt>
          <c:dPt>
            <c:idx val="1"/>
            <c:spPr>
              <a:solidFill>
                <a:srgbClr val="d78972"/>
              </a:solidFill>
              <a:ln w="19080">
                <a:solidFill>
                  <a:srgbClr val="ffffff"/>
                </a:solidFill>
                <a:round/>
              </a:ln>
            </c:spPr>
          </c:dPt>
          <c:dPt>
            <c:idx val="2"/>
            <c:spPr>
              <a:solidFill>
                <a:srgbClr val="dc6434"/>
              </a:solidFill>
              <a:ln w="19080">
                <a:solidFill>
                  <a:srgbClr val="ffffff"/>
                </a:solidFill>
                <a:round/>
              </a:ln>
            </c:spPr>
          </c:dPt>
          <c:dPt>
            <c:idx val="3"/>
            <c:spPr>
              <a:solidFill>
                <a:srgbClr val="79826f"/>
              </a:solidFill>
              <a:ln w="19080">
                <a:solidFill>
                  <a:srgbClr val="ffffff"/>
                </a:solidFill>
                <a:round/>
              </a:ln>
            </c:spPr>
          </c:dPt>
          <c:dLbls>
            <c:dLbl>
              <c:idx val="0"/>
              <c:txPr>
                <a:bodyPr wrap="square"/>
                <a:lstStyle/>
                <a:p>
                  <a:pPr>
                    <a:defRPr b="1" sz="1600" spc="-1" strike="noStrike">
                      <a:solidFill>
                        <a:srgbClr val="000000"/>
                      </a:solidFill>
                      <a:latin typeface="Times New Roman"/>
                    </a:defRPr>
                  </a:pPr>
                </a:p>
              </c:txPr>
              <c:dLblPos val="outEnd"/>
              <c:showLegendKey val="0"/>
              <c:showVal val="0"/>
              <c:showCatName val="0"/>
              <c:showSerName val="0"/>
              <c:showPercent val="1"/>
              <c:separator>
</c:separator>
            </c:dLbl>
            <c:dLbl>
              <c:idx val="1"/>
              <c:txPr>
                <a:bodyPr wrap="square"/>
                <a:lstStyle/>
                <a:p>
                  <a:pPr>
                    <a:defRPr b="1" sz="1600" spc="-1" strike="noStrike">
                      <a:solidFill>
                        <a:srgbClr val="000000"/>
                      </a:solidFill>
                      <a:latin typeface="Times New Roman"/>
                    </a:defRPr>
                  </a:pPr>
                </a:p>
              </c:txPr>
              <c:dLblPos val="outEnd"/>
              <c:showLegendKey val="0"/>
              <c:showVal val="0"/>
              <c:showCatName val="0"/>
              <c:showSerName val="0"/>
              <c:showPercent val="1"/>
              <c:separator>
</c:separator>
            </c:dLbl>
            <c:dLbl>
              <c:idx val="2"/>
              <c:txPr>
                <a:bodyPr wrap="square"/>
                <a:lstStyle/>
                <a:p>
                  <a:pPr>
                    <a:defRPr b="1" sz="1600" spc="-1" strike="noStrike">
                      <a:solidFill>
                        <a:srgbClr val="000000"/>
                      </a:solidFill>
                      <a:latin typeface="Times New Roman"/>
                    </a:defRPr>
                  </a:pPr>
                </a:p>
              </c:txPr>
              <c:dLblPos val="outEnd"/>
              <c:showLegendKey val="0"/>
              <c:showVal val="0"/>
              <c:showCatName val="0"/>
              <c:showSerName val="0"/>
              <c:showPercent val="1"/>
              <c:separator>
</c:separator>
            </c:dLbl>
            <c:dLbl>
              <c:idx val="3"/>
              <c:txPr>
                <a:bodyPr wrap="square"/>
                <a:lstStyle/>
                <a:p>
                  <a:pPr>
                    <a:defRPr b="1" sz="1600" spc="-1" strike="noStrike">
                      <a:solidFill>
                        <a:srgbClr val="000000"/>
                      </a:solidFill>
                      <a:latin typeface="Times New Roman"/>
                    </a:defRPr>
                  </a:pPr>
                </a:p>
              </c:txPr>
              <c:dLblPos val="outEnd"/>
              <c:showLegendKey val="0"/>
              <c:showVal val="0"/>
              <c:showCatName val="0"/>
              <c:showSerName val="0"/>
              <c:showPercent val="1"/>
              <c:separator>
</c:separator>
            </c:dLbl>
            <c:txPr>
              <a:bodyPr wrap="square"/>
              <a:lstStyle/>
              <a:p>
                <a:pPr>
                  <a:defRPr b="1" sz="1600" spc="-1" strike="noStrike">
                    <a:solidFill>
                      <a:srgbClr val="000000"/>
                    </a:solidFill>
                    <a:latin typeface="Times New Roman"/>
                  </a:defRPr>
                </a:pPr>
              </a:p>
            </c:txPr>
            <c:dLblPos val="ctr"/>
            <c:showLegendKey val="0"/>
            <c:showVal val="0"/>
            <c:showCatName val="0"/>
            <c:showSerName val="0"/>
            <c:showPercent val="1"/>
            <c:separator>
</c:separator>
            <c:showLeaderLines val="1"/>
          </c:dLbls>
          <c:cat>
            <c:strRef>
              <c:f>categories</c:f>
              <c:strCache>
                <c:ptCount val="4"/>
                <c:pt idx="0">
                  <c:v>0-17 m.</c:v>
                </c:pt>
                <c:pt idx="1">
                  <c:v>18-44 m.</c:v>
                </c:pt>
                <c:pt idx="2">
                  <c:v>45-64 m.</c:v>
                </c:pt>
                <c:pt idx="3">
                  <c:v>65+ m.</c:v>
                </c:pt>
              </c:strCache>
            </c:strRef>
          </c:cat>
          <c:val>
            <c:numRef>
              <c:f>0</c:f>
              <c:numCache>
                <c:formatCode>General</c:formatCode>
                <c:ptCount val="4"/>
                <c:pt idx="0">
                  <c:v>62</c:v>
                </c:pt>
                <c:pt idx="1">
                  <c:v>250</c:v>
                </c:pt>
                <c:pt idx="2">
                  <c:v>299</c:v>
                </c:pt>
                <c:pt idx="3">
                  <c:v>113</c:v>
                </c:pt>
              </c:numCache>
            </c:numRef>
          </c:val>
        </c:ser>
        <c:firstSliceAng val="0"/>
      </c:pieChart>
      <c:spPr>
        <a:noFill/>
        <a:ln w="0">
          <a:noFill/>
        </a:ln>
      </c:spPr>
    </c:plotArea>
    <c:legend>
      <c:legendPos val="b"/>
      <c:overlay val="0"/>
      <c:spPr>
        <a:noFill/>
        <a:ln w="0">
          <a:noFill/>
        </a:ln>
      </c:spPr>
      <c:txPr>
        <a:bodyPr/>
        <a:lstStyle/>
        <a:p>
          <a:pPr>
            <a:defRPr b="0" sz="1200" spc="-1" strike="noStrike">
              <a:solidFill>
                <a:srgbClr val="000000"/>
              </a:solidFill>
              <a:latin typeface="Times New Roman"/>
            </a:defRPr>
          </a:pPr>
        </a:p>
      </c:txPr>
    </c:legend>
    <c:plotVisOnly val="1"/>
    <c:dispBlanksAs val="gap"/>
  </c:chart>
  <c:spPr>
    <a:solidFill>
      <a:srgbClr val="ffffff"/>
    </a:solidFill>
    <a:ln w="9360">
      <a:noFill/>
    </a:ln>
  </c:spPr>
</c:chartSpace>
</file>

<file path=word/charts/chart8.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Series1</c:v>
                </c:pt>
              </c:strCache>
            </c:strRef>
          </c:tx>
          <c:spPr>
            <a:solidFill>
              <a:srgbClr val="4472c4"/>
            </a:solidFill>
            <a:ln w="0">
              <a:noFill/>
            </a:ln>
          </c:spPr>
          <c:explosion val="0"/>
          <c:dPt>
            <c:idx val="0"/>
            <c:spPr>
              <a:solidFill>
                <a:srgbClr val="79826f"/>
              </a:solidFill>
              <a:ln w="19080">
                <a:solidFill>
                  <a:srgbClr val="ffffff"/>
                </a:solidFill>
                <a:round/>
              </a:ln>
            </c:spPr>
          </c:dPt>
          <c:dPt>
            <c:idx val="1"/>
            <c:spPr>
              <a:solidFill>
                <a:srgbClr val="d78972"/>
              </a:solidFill>
              <a:ln w="19080">
                <a:solidFill>
                  <a:srgbClr val="ffffff"/>
                </a:solidFill>
                <a:round/>
              </a:ln>
            </c:spPr>
          </c:dPt>
          <c:dPt>
            <c:idx val="2"/>
            <c:spPr>
              <a:solidFill>
                <a:srgbClr val="dc6434"/>
              </a:solidFill>
              <a:ln w="19080">
                <a:solidFill>
                  <a:srgbClr val="ffffff"/>
                </a:solidFill>
                <a:round/>
              </a:ln>
            </c:spPr>
          </c:dPt>
          <c:dPt>
            <c:idx val="3"/>
            <c:spPr>
              <a:solidFill>
                <a:srgbClr val="d7d2ce"/>
              </a:solidFill>
              <a:ln w="19080">
                <a:solidFill>
                  <a:srgbClr val="ffffff"/>
                </a:solidFill>
                <a:round/>
              </a:ln>
            </c:spPr>
          </c:dPt>
          <c:dPt>
            <c:idx val="4"/>
            <c:spPr>
              <a:solidFill>
                <a:srgbClr val="344729"/>
              </a:solidFill>
              <a:ln w="19080">
                <a:solidFill>
                  <a:srgbClr val="ffffff"/>
                </a:solidFill>
                <a:round/>
              </a:ln>
            </c:spPr>
          </c:dPt>
          <c:dLbls>
            <c:dLbl>
              <c:idx val="0"/>
              <c:txPr>
                <a:bodyPr wrap="square"/>
                <a:lstStyle/>
                <a:p>
                  <a:pPr>
                    <a:defRPr b="1" sz="1600" spc="-1" strike="noStrike">
                      <a:solidFill>
                        <a:srgbClr val="000000"/>
                      </a:solidFill>
                      <a:latin typeface="Times New Roman"/>
                    </a:defRPr>
                  </a:pPr>
                </a:p>
              </c:txPr>
              <c:dLblPos val="bestFit"/>
              <c:showLegendKey val="0"/>
              <c:showVal val="0"/>
              <c:showCatName val="0"/>
              <c:showSerName val="0"/>
              <c:showPercent val="1"/>
              <c:separator>
</c:separator>
            </c:dLbl>
            <c:dLbl>
              <c:idx val="1"/>
              <c:txPr>
                <a:bodyPr wrap="square"/>
                <a:lstStyle/>
                <a:p>
                  <a:pPr>
                    <a:defRPr b="1" sz="1600" spc="-1" strike="noStrike">
                      <a:solidFill>
                        <a:srgbClr val="000000"/>
                      </a:solidFill>
                      <a:latin typeface="Times New Roman"/>
                    </a:defRPr>
                  </a:pPr>
                </a:p>
              </c:txPr>
              <c:dLblPos val="bestFit"/>
              <c:showLegendKey val="0"/>
              <c:showVal val="0"/>
              <c:showCatName val="0"/>
              <c:showSerName val="0"/>
              <c:showPercent val="1"/>
              <c:separator>
</c:separator>
            </c:dLbl>
            <c:dLbl>
              <c:idx val="2"/>
              <c:txPr>
                <a:bodyPr wrap="square"/>
                <a:lstStyle/>
                <a:p>
                  <a:pPr>
                    <a:defRPr b="1" sz="1600" spc="-1" strike="noStrike">
                      <a:solidFill>
                        <a:srgbClr val="000000"/>
                      </a:solidFill>
                      <a:latin typeface="Times New Roman"/>
                    </a:defRPr>
                  </a:pPr>
                </a:p>
              </c:txPr>
              <c:dLblPos val="bestFit"/>
              <c:showLegendKey val="0"/>
              <c:showVal val="0"/>
              <c:showCatName val="0"/>
              <c:showSerName val="0"/>
              <c:showPercent val="1"/>
              <c:separator>
</c:separator>
            </c:dLbl>
            <c:dLbl>
              <c:idx val="3"/>
              <c:txPr>
                <a:bodyPr wrap="square"/>
                <a:lstStyle/>
                <a:p>
                  <a:pPr>
                    <a:defRPr b="1" sz="1600" spc="-1" strike="noStrike">
                      <a:solidFill>
                        <a:srgbClr val="000000"/>
                      </a:solidFill>
                      <a:latin typeface="Times New Roman"/>
                    </a:defRPr>
                  </a:pPr>
                </a:p>
              </c:txPr>
              <c:dLblPos val="bestFit"/>
              <c:showLegendKey val="0"/>
              <c:showVal val="0"/>
              <c:showCatName val="0"/>
              <c:showSerName val="0"/>
              <c:showPercent val="1"/>
              <c:separator>
</c:separator>
            </c:dLbl>
            <c:dLbl>
              <c:idx val="4"/>
              <c:txPr>
                <a:bodyPr wrap="square"/>
                <a:lstStyle/>
                <a:p>
                  <a:pPr>
                    <a:defRPr b="1" sz="1600" spc="-1" strike="noStrike">
                      <a:solidFill>
                        <a:srgbClr val="000000"/>
                      </a:solidFill>
                      <a:latin typeface="Times New Roman"/>
                    </a:defRPr>
                  </a:pPr>
                </a:p>
              </c:txPr>
              <c:dLblPos val="bestFit"/>
              <c:showLegendKey val="0"/>
              <c:showVal val="0"/>
              <c:showCatName val="0"/>
              <c:showSerName val="0"/>
              <c:showPercent val="1"/>
              <c:separator>
</c:separator>
            </c:dLbl>
            <c:txPr>
              <a:bodyPr wrap="square"/>
              <a:lstStyle/>
              <a:p>
                <a:pPr>
                  <a:defRPr b="1" sz="1600" spc="-1" strike="noStrike">
                    <a:solidFill>
                      <a:srgbClr val="000000"/>
                    </a:solidFill>
                    <a:latin typeface="Times New Roman"/>
                  </a:defRPr>
                </a:pPr>
              </a:p>
            </c:txPr>
            <c:dLblPos val="bestFit"/>
            <c:showLegendKey val="0"/>
            <c:showVal val="0"/>
            <c:showCatName val="0"/>
            <c:showSerName val="0"/>
            <c:showPercent val="1"/>
            <c:separator>
</c:separator>
            <c:showLeaderLines val="1"/>
          </c:dLbls>
          <c:cat>
            <c:strRef>
              <c:f>categories</c:f>
              <c:strCache>
                <c:ptCount val="5"/>
                <c:pt idx="0">
                  <c:v>Miške</c:v>
                </c:pt>
                <c:pt idx="1">
                  <c:v>Gamtoje</c:v>
                </c:pt>
                <c:pt idx="2">
                  <c:v>Gyvenamojo vietoje</c:v>
                </c:pt>
                <c:pt idx="3">
                  <c:v>Nežinoma</c:v>
                </c:pt>
                <c:pt idx="4">
                  <c:v>Kita</c:v>
                </c:pt>
              </c:strCache>
            </c:strRef>
          </c:cat>
          <c:val>
            <c:numRef>
              <c:f>0</c:f>
              <c:numCache>
                <c:formatCode>General</c:formatCode>
                <c:ptCount val="5"/>
                <c:pt idx="0">
                  <c:v>214</c:v>
                </c:pt>
                <c:pt idx="1">
                  <c:v>177</c:v>
                </c:pt>
                <c:pt idx="2">
                  <c:v>314</c:v>
                </c:pt>
                <c:pt idx="3">
                  <c:v>78</c:v>
                </c:pt>
                <c:pt idx="4">
                  <c:v>8</c:v>
                </c:pt>
              </c:numCache>
            </c:numRef>
          </c:val>
        </c:ser>
        <c:firstSliceAng val="0"/>
      </c:pieChart>
      <c:spPr>
        <a:noFill/>
        <a:ln w="0">
          <a:noFill/>
        </a:ln>
      </c:spPr>
    </c:plotArea>
    <c:legend>
      <c:legendPos val="b"/>
      <c:overlay val="0"/>
      <c:spPr>
        <a:noFill/>
        <a:ln w="0">
          <a:noFill/>
        </a:ln>
      </c:spPr>
      <c:txPr>
        <a:bodyPr/>
        <a:lstStyle/>
        <a:p>
          <a:pPr>
            <a:defRPr b="0" sz="1200" spc="-1" strike="noStrike">
              <a:solidFill>
                <a:srgbClr val="000000"/>
              </a:solidFill>
              <a:latin typeface="Times New Roman"/>
            </a:defRPr>
          </a:pPr>
        </a:p>
      </c:txPr>
    </c:legend>
    <c:plotVisOnly val="1"/>
    <c:dispBlanksAs val="gap"/>
  </c:chart>
  <c:spPr>
    <a:solidFill>
      <a:srgbClr val="ffffff"/>
    </a:solidFill>
    <a:ln w="9360">
      <a:noFill/>
    </a:ln>
  </c:spPr>
</c:chartSpace>
</file>

<file path=word/charts/chart9.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2022</c:v>
                </c:pt>
              </c:strCache>
            </c:strRef>
          </c:tx>
          <c:spPr>
            <a:solidFill>
              <a:srgbClr val="344729"/>
            </a:solidFill>
            <a:ln w="0">
              <a:noFill/>
            </a:ln>
          </c:spPr>
          <c:invertIfNegative val="0"/>
          <c:dLbls>
            <c:numFmt formatCode="#,##0.0" sourceLinked="0"/>
            <c:txPr>
              <a:bodyPr wrap="square"/>
              <a:lstStyle/>
              <a:p>
                <a:pPr>
                  <a:defRPr b="1" sz="1200" spc="-1" strike="noStrike">
                    <a:solidFill>
                      <a:srgbClr val="000000"/>
                    </a:solidFill>
                    <a:latin typeface="Times New Roman"/>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9"/>
                <c:pt idx="0">
                  <c:v>Kauno apskritis</c:v>
                </c:pt>
                <c:pt idx="1">
                  <c:v>Birštono sav.</c:v>
                </c:pt>
                <c:pt idx="2">
                  <c:v>Jonavos r.</c:v>
                </c:pt>
                <c:pt idx="3">
                  <c:v>Kaišiadorių r.</c:v>
                </c:pt>
                <c:pt idx="4">
                  <c:v>Kauno m.</c:v>
                </c:pt>
                <c:pt idx="5">
                  <c:v>Kauno r.</c:v>
                </c:pt>
                <c:pt idx="6">
                  <c:v>Kėdainių r.</c:v>
                </c:pt>
                <c:pt idx="7">
                  <c:v>Raseinių r.</c:v>
                </c:pt>
                <c:pt idx="8">
                  <c:v>Prienų r.</c:v>
                </c:pt>
              </c:strCache>
            </c:strRef>
          </c:cat>
          <c:val>
            <c:numRef>
              <c:f>0</c:f>
              <c:numCache>
                <c:formatCode>General</c:formatCode>
                <c:ptCount val="9"/>
                <c:pt idx="0">
                  <c:v>5.99390414981362</c:v>
                </c:pt>
                <c:pt idx="1">
                  <c:v>1.47771317829457</c:v>
                </c:pt>
                <c:pt idx="2">
                  <c:v>5.82229982055386</c:v>
                </c:pt>
                <c:pt idx="3">
                  <c:v>2.96220283906277</c:v>
                </c:pt>
                <c:pt idx="4">
                  <c:v>8.30899435778294</c:v>
                </c:pt>
                <c:pt idx="5">
                  <c:v>2.26382327706509</c:v>
                </c:pt>
                <c:pt idx="6">
                  <c:v>4.13459231960224</c:v>
                </c:pt>
                <c:pt idx="7">
                  <c:v>3.14877639076447</c:v>
                </c:pt>
                <c:pt idx="8">
                  <c:v>3.93993993993994</c:v>
                </c:pt>
              </c:numCache>
            </c:numRef>
          </c:val>
        </c:ser>
        <c:ser>
          <c:idx val="1"/>
          <c:order val="1"/>
          <c:tx>
            <c:strRef>
              <c:f>label 1</c:f>
              <c:strCache>
                <c:ptCount val="1"/>
                <c:pt idx="0">
                  <c:v>2023</c:v>
                </c:pt>
              </c:strCache>
            </c:strRef>
          </c:tx>
          <c:spPr>
            <a:solidFill>
              <a:srgbClr val="d78972"/>
            </a:solidFill>
            <a:ln w="0">
              <a:noFill/>
            </a:ln>
          </c:spPr>
          <c:invertIfNegative val="0"/>
          <c:dLbls>
            <c:numFmt formatCode="#,##0.0" sourceLinked="0"/>
            <c:txPr>
              <a:bodyPr wrap="square"/>
              <a:lstStyle/>
              <a:p>
                <a:pPr>
                  <a:defRPr b="1" sz="1200" spc="-1" strike="noStrike">
                    <a:solidFill>
                      <a:srgbClr val="000000"/>
                    </a:solidFill>
                    <a:latin typeface="Times New Roman"/>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9"/>
                <c:pt idx="0">
                  <c:v>Kauno apskritis</c:v>
                </c:pt>
                <c:pt idx="1">
                  <c:v>Birštono sav.</c:v>
                </c:pt>
                <c:pt idx="2">
                  <c:v>Jonavos r.</c:v>
                </c:pt>
                <c:pt idx="3">
                  <c:v>Kaišiadorių r.</c:v>
                </c:pt>
                <c:pt idx="4">
                  <c:v>Kauno m.</c:v>
                </c:pt>
                <c:pt idx="5">
                  <c:v>Kauno r.</c:v>
                </c:pt>
                <c:pt idx="6">
                  <c:v>Kėdainių r.</c:v>
                </c:pt>
                <c:pt idx="7">
                  <c:v>Raseinių r.</c:v>
                </c:pt>
                <c:pt idx="8">
                  <c:v>Prienų r.</c:v>
                </c:pt>
              </c:strCache>
            </c:strRef>
          </c:cat>
          <c:val>
            <c:numRef>
              <c:f>1</c:f>
              <c:numCache>
                <c:formatCode>General</c:formatCode>
                <c:ptCount val="9"/>
                <c:pt idx="0">
                  <c:v>6.92141051249218</c:v>
                </c:pt>
                <c:pt idx="1">
                  <c:v>3.10741375091754</c:v>
                </c:pt>
                <c:pt idx="2">
                  <c:v>5.35447850989075</c:v>
                </c:pt>
                <c:pt idx="3">
                  <c:v>3.13461206151719</c:v>
                </c:pt>
                <c:pt idx="4">
                  <c:v>9.66862533214653</c:v>
                </c:pt>
                <c:pt idx="5">
                  <c:v>2.84209053103007</c:v>
                </c:pt>
                <c:pt idx="6">
                  <c:v>4.52369088112312</c:v>
                </c:pt>
                <c:pt idx="7">
                  <c:v>4.01442944135557</c:v>
                </c:pt>
                <c:pt idx="8">
                  <c:v>5.32596863282667</c:v>
                </c:pt>
              </c:numCache>
            </c:numRef>
          </c:val>
        </c:ser>
        <c:gapWidth val="219"/>
        <c:overlap val="-27"/>
        <c:axId val="43789749"/>
        <c:axId val="53701942"/>
      </c:barChart>
      <c:catAx>
        <c:axId val="4378974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1100" spc="-1" strike="noStrike">
                <a:solidFill>
                  <a:srgbClr val="000000"/>
                </a:solidFill>
                <a:latin typeface="Times New Roman"/>
              </a:defRPr>
            </a:pPr>
          </a:p>
        </c:txPr>
        <c:crossAx val="53701942"/>
        <c:crosses val="autoZero"/>
        <c:auto val="1"/>
        <c:lblAlgn val="ctr"/>
        <c:lblOffset val="100"/>
        <c:noMultiLvlLbl val="0"/>
      </c:catAx>
      <c:valAx>
        <c:axId val="53701942"/>
        <c:scaling>
          <c:orientation val="minMax"/>
        </c:scaling>
        <c:delete val="0"/>
        <c:axPos val="l"/>
        <c:title>
          <c:tx>
            <c:rich>
              <a:bodyPr rot="-5400000"/>
              <a:lstStyle/>
              <a:p>
                <a:pPr>
                  <a:defRPr b="0" lang="lt-LT" sz="1100" spc="-1" strike="noStrike">
                    <a:solidFill>
                      <a:srgbClr val="000000"/>
                    </a:solidFill>
                    <a:latin typeface="Times New Roman"/>
                  </a:defRPr>
                </a:pPr>
                <a:r>
                  <a:rPr b="0" lang="lt-LT" sz="1100" spc="-1" strike="noStrike">
                    <a:solidFill>
                      <a:srgbClr val="000000"/>
                    </a:solidFill>
                    <a:latin typeface="Times New Roman"/>
                  </a:rPr>
                  <a:t>Proc.</a:t>
                </a:r>
              </a:p>
            </c:rich>
          </c:tx>
          <c:overlay val="0"/>
          <c:spPr>
            <a:noFill/>
            <a:ln w="0">
              <a:noFill/>
            </a:ln>
          </c:spPr>
        </c:title>
        <c:numFmt formatCode="0.0" sourceLinked="0"/>
        <c:majorTickMark val="none"/>
        <c:minorTickMark val="none"/>
        <c:tickLblPos val="nextTo"/>
        <c:spPr>
          <a:ln w="6480">
            <a:noFill/>
          </a:ln>
        </c:spPr>
        <c:txPr>
          <a:bodyPr/>
          <a:lstStyle/>
          <a:p>
            <a:pPr>
              <a:defRPr b="0" sz="1200" spc="-1" strike="noStrike">
                <a:solidFill>
                  <a:srgbClr val="000000"/>
                </a:solidFill>
                <a:latin typeface="Times New Roman"/>
              </a:defRPr>
            </a:pPr>
          </a:p>
        </c:txPr>
        <c:crossAx val="43789749"/>
        <c:crosses val="autoZero"/>
        <c:crossBetween val="between"/>
      </c:valAx>
      <c:spPr>
        <a:noFill/>
        <a:ln w="0">
          <a:noFill/>
        </a:ln>
      </c:spPr>
    </c:plotArea>
    <c:legend>
      <c:legendPos val="b"/>
      <c:overlay val="0"/>
      <c:spPr>
        <a:noFill/>
        <a:ln w="0">
          <a:noFill/>
        </a:ln>
      </c:spPr>
      <c:txPr>
        <a:bodyPr/>
        <a:lstStyle/>
        <a:p>
          <a:pPr>
            <a:defRPr b="0" sz="1100" spc="-1" strike="noStrike">
              <a:solidFill>
                <a:srgbClr val="000000"/>
              </a:solidFill>
              <a:latin typeface="Times New Roman"/>
            </a:defRPr>
          </a:pPr>
        </a:p>
      </c:txPr>
    </c:legend>
    <c:plotVisOnly val="1"/>
    <c:dispBlanksAs val="gap"/>
  </c:chart>
  <c:spPr>
    <a:solidFill>
      <a:srgbClr val="ffffff"/>
    </a:solidFill>
    <a:ln w="9360">
      <a:noFill/>
    </a:ln>
  </c:spPr>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D4235DC2E3ED42A62FFCB3C22A8826" ma:contentTypeVersion="11" ma:contentTypeDescription="Kurkite naują dokumentą." ma:contentTypeScope="" ma:versionID="bd1c53daf720cafcf3b71ced586eeb1a">
  <xsd:schema xmlns:xsd="http://www.w3.org/2001/XMLSchema" xmlns:xs="http://www.w3.org/2001/XMLSchema" xmlns:p="http://schemas.microsoft.com/office/2006/metadata/properties" xmlns:ns3="a6f203e0-f8ed-4bba-b410-cec3caa9386b" targetNamespace="http://schemas.microsoft.com/office/2006/metadata/properties" ma:root="true" ma:fieldsID="96abea41c59e30053079356d51f7bb2a" ns3:_="">
    <xsd:import namespace="a6f203e0-f8ed-4bba-b410-cec3caa9386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203e0-f8ed-4bba-b410-cec3caa9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F18A4-9464-4B8B-9D4B-81D8BFFC2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203e0-f8ed-4bba-b410-cec3caa93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C61A4-D3E4-404F-A5CD-C55FFC72339C}">
  <ds:schemaRefs>
    <ds:schemaRef ds:uri="http://schemas.microsoft.com/sharepoint/v3/contenttype/forms"/>
  </ds:schemaRefs>
</ds:datastoreItem>
</file>

<file path=customXml/itemProps3.xml><?xml version="1.0" encoding="utf-8"?>
<ds:datastoreItem xmlns:ds="http://schemas.openxmlformats.org/officeDocument/2006/customXml" ds:itemID="{FA0B0F90-C819-4DC3-A5B2-99A7E869D8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LibreOffice/7.1.8.1$Windows_X86_64 LibreOffice_project/e1f30c802c3269a1d052614453f260e49458c82c</Application>
  <AppVersion>15.0000</AppVersion>
  <Pages>7</Pages>
  <Words>1923</Words>
  <Characters>11790</Characters>
  <CharactersWithSpaces>13430</CharactersWithSpaces>
  <Paragraphs>308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2024-04-15T10:07:00Z</dcterms:created>
  <dc:creator>Vilma Kokanskytė</dc:creator>
  <dc:description/>
  <dc:language>lt-LT</dc:language>
  <cp:lastModifiedBy>Vilma Kokanskytė</cp:lastModifiedBy>
  <dcterms:modified xsi:type="dcterms:W3CDTF">2024-04-17T05:59:00Z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0x010100F6D4235DC2E3ED42A62FFCB3C22A8826</vt:lpwstr>
  </property>
</Properties>
</file>