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76"/>
        <w:ind w:left="4820"/>
        <w:rPr>
          <w:color w:val="000000"/>
          <w:szCs w:val="24"/>
          <w:lang w:eastAsia="lt-LT"/>
        </w:rPr>
      </w:pPr>
      <w:r>
        <w:rPr>
          <w:color w:val="000000"/>
          <w:szCs w:val="24"/>
          <w:lang w:eastAsia="lt-LT"/>
        </w:rPr>
        <w:t>PATVIRTINTA</w:t>
      </w:r>
    </w:p>
    <w:p>
      <w:pPr>
        <w:pStyle w:val="Normal"/>
        <w:suppressAutoHyphens w:val="true"/>
        <w:spacing w:lineRule="auto" w:line="276"/>
        <w:ind w:left="4820"/>
        <w:rPr>
          <w:color w:val="000000"/>
        </w:rPr>
      </w:pPr>
      <w:r>
        <w:rPr>
          <w:color w:val="000000"/>
          <w:szCs w:val="24"/>
          <w:lang w:eastAsia="lt-LT"/>
        </w:rPr>
        <w:t>Prienų rajono savivaldybės mero</w:t>
      </w:r>
    </w:p>
    <w:p>
      <w:pPr>
        <w:pStyle w:val="Normal"/>
        <w:suppressAutoHyphens w:val="true"/>
        <w:spacing w:lineRule="auto" w:line="276"/>
        <w:ind w:left="4820"/>
        <w:rPr>
          <w:color w:val="000000"/>
        </w:rPr>
      </w:pPr>
      <w:r>
        <w:rPr>
          <w:color w:val="000000"/>
          <w:szCs w:val="24"/>
          <w:lang w:eastAsia="lt-LT"/>
        </w:rPr>
        <w:t xml:space="preserve">2024 m. kovo 22 d. potvarkiu Nr. </w:t>
      </w:r>
      <w:r>
        <w:rPr>
          <w:szCs w:val="24"/>
        </w:rPr>
        <w:t>P1-89</w:t>
      </w:r>
    </w:p>
    <w:p>
      <w:pPr>
        <w:pStyle w:val="Normal"/>
        <w:keepNext w:val="true"/>
        <w:suppressAutoHyphens w:val="true"/>
        <w:spacing w:lineRule="auto" w:line="276"/>
        <w:ind w:firstLine="124"/>
        <w:jc w:val="center"/>
        <w:rPr>
          <w:b/>
          <w:color w:val="000000"/>
          <w:szCs w:val="24"/>
        </w:rPr>
      </w:pPr>
      <w:r>
        <w:rPr>
          <w:b/>
          <w:color w:val="000000"/>
          <w:szCs w:val="24"/>
        </w:rPr>
      </w:r>
    </w:p>
    <w:p>
      <w:pPr>
        <w:pStyle w:val="Normal"/>
        <w:keepNext w:val="true"/>
        <w:suppressAutoHyphens w:val="true"/>
        <w:spacing w:lineRule="auto" w:line="276"/>
        <w:jc w:val="center"/>
        <w:rPr>
          <w:b/>
          <w:caps/>
          <w:color w:val="000000"/>
          <w:szCs w:val="24"/>
          <w:lang w:eastAsia="lt-LT"/>
        </w:rPr>
      </w:pPr>
      <w:r>
        <w:rPr>
          <w:b/>
          <w:caps/>
          <w:color w:val="000000"/>
          <w:szCs w:val="24"/>
          <w:lang w:eastAsia="lt-LT"/>
        </w:rPr>
        <w:t>PRIENŲ RAJONO SAVIVALDYBĖS BIUDŽETO LĖŠOMIS IŠ DALIES  FINANSUOJAMŲ RELIGINIŲ BENDRUOMENIŲ IR BENDRIJŲ projektų finansavimo TVARKOS APRAŠAS</w:t>
      </w:r>
    </w:p>
    <w:p>
      <w:pPr>
        <w:pStyle w:val="Normal"/>
        <w:keepNext w:val="true"/>
        <w:suppressAutoHyphens w:val="true"/>
        <w:spacing w:lineRule="auto" w:line="276"/>
        <w:jc w:val="center"/>
        <w:rPr>
          <w:b/>
          <w:caps/>
          <w:color w:val="000000"/>
          <w:szCs w:val="24"/>
          <w:lang w:eastAsia="lt-LT"/>
        </w:rPr>
      </w:pPr>
      <w:r>
        <w:rPr>
          <w:b/>
          <w:caps/>
          <w:color w:val="000000"/>
          <w:szCs w:val="24"/>
          <w:lang w:eastAsia="lt-LT"/>
        </w:rPr>
      </w:r>
    </w:p>
    <w:p>
      <w:pPr>
        <w:pStyle w:val="Normal"/>
        <w:suppressAutoHyphens w:val="true"/>
        <w:jc w:val="center"/>
        <w:rPr>
          <w:rFonts w:eastAsia="Calibri"/>
          <w:b/>
          <w:bCs/>
          <w:caps/>
          <w:color w:val="000000"/>
          <w:szCs w:val="24"/>
        </w:rPr>
      </w:pPr>
      <w:r>
        <w:rPr>
          <w:rFonts w:eastAsia="Calibri"/>
          <w:b/>
          <w:bCs/>
          <w:caps/>
          <w:color w:val="000000"/>
          <w:szCs w:val="24"/>
        </w:rPr>
        <w:t>I SKYRIUS</w:t>
      </w:r>
    </w:p>
    <w:p>
      <w:pPr>
        <w:pStyle w:val="Normal"/>
        <w:keepNext w:val="true"/>
        <w:suppressAutoHyphens w:val="true"/>
        <w:jc w:val="center"/>
        <w:rPr>
          <w:b/>
          <w:caps/>
          <w:color w:val="000000"/>
          <w:szCs w:val="24"/>
          <w:lang w:eastAsia="lt-LT"/>
        </w:rPr>
      </w:pPr>
      <w:r>
        <w:rPr>
          <w:b/>
          <w:caps/>
          <w:color w:val="000000"/>
          <w:szCs w:val="24"/>
          <w:lang w:eastAsia="lt-LT"/>
        </w:rPr>
        <w:t>BENDROSIOS NUOSTATOS</w:t>
      </w:r>
    </w:p>
    <w:p>
      <w:pPr>
        <w:pStyle w:val="Normal"/>
        <w:suppressAutoHyphens w:val="true"/>
        <w:jc w:val="both"/>
        <w:rPr>
          <w:b/>
          <w:caps/>
          <w:color w:val="000000"/>
          <w:szCs w:val="24"/>
          <w:lang w:eastAsia="lt-LT"/>
        </w:rPr>
      </w:pPr>
      <w:r>
        <w:rPr>
          <w:b/>
          <w:caps/>
          <w:color w:val="000000"/>
          <w:szCs w:val="24"/>
          <w:lang w:eastAsia="lt-LT"/>
        </w:rPr>
      </w:r>
    </w:p>
    <w:p>
      <w:pPr>
        <w:pStyle w:val="Normal"/>
        <w:tabs>
          <w:tab w:val="clear" w:pos="1296"/>
          <w:tab w:val="left" w:pos="960" w:leader="none"/>
        </w:tabs>
        <w:suppressAutoHyphens w:val="true"/>
        <w:ind w:firstLine="709"/>
        <w:jc w:val="both"/>
        <w:rPr>
          <w:color w:val="000000"/>
          <w:szCs w:val="24"/>
          <w:lang w:val="en-GB"/>
        </w:rPr>
      </w:pPr>
      <w:r>
        <w:rPr>
          <w:color w:val="000000"/>
          <w:szCs w:val="24"/>
        </w:rPr>
        <w:t xml:space="preserve">1. </w:t>
      </w:r>
      <w:r>
        <w:rPr>
          <w:color w:val="000000"/>
          <w:szCs w:val="24"/>
          <w:lang w:eastAsia="lt-LT"/>
        </w:rPr>
        <w:t xml:space="preserve">Prienų rajono savivaldybės biudžeto lėšomis iš dalies finansuojamų religinių bendruomenių ir bendrijų projektų finansavimo tvarkos aprašas </w:t>
      </w:r>
      <w:r>
        <w:rPr>
          <w:color w:val="000000"/>
          <w:szCs w:val="24"/>
        </w:rPr>
        <w:t>(toliau – Aprašas)</w:t>
      </w:r>
      <w:r>
        <w:rPr>
          <w:color w:val="000000"/>
          <w:szCs w:val="24"/>
          <w:lang w:eastAsia="lt-LT"/>
        </w:rPr>
        <w:t xml:space="preserve"> reglamentuoja religinių bendruomenių ir bendrijų, veikiančių Prienų rajone, </w:t>
      </w:r>
      <w:r>
        <w:rPr>
          <w:rFonts w:eastAsia="Calibri"/>
          <w:color w:val="000000"/>
          <w:spacing w:val="-2"/>
          <w:szCs w:val="24"/>
          <w:lang w:eastAsia="lt-LT"/>
        </w:rPr>
        <w:t xml:space="preserve">finansavimo Prienų rajono savivaldybės </w:t>
      </w:r>
      <w:r>
        <w:rPr>
          <w:color w:val="000000"/>
          <w:szCs w:val="24"/>
        </w:rPr>
        <w:t>(toliau – Savivaldybė)</w:t>
      </w:r>
      <w:r>
        <w:rPr>
          <w:rFonts w:eastAsia="Calibri"/>
          <w:color w:val="000000"/>
          <w:spacing w:val="-2"/>
          <w:szCs w:val="24"/>
          <w:lang w:eastAsia="lt-LT"/>
        </w:rPr>
        <w:t xml:space="preserve"> biudžeto lėšomis principus,</w:t>
      </w:r>
      <w:r>
        <w:rPr>
          <w:color w:val="000000"/>
          <w:szCs w:val="24"/>
        </w:rPr>
        <w:t xml:space="preserve"> reikalavimus lėšų gavėjams, dokumentų pateikimą, vertinimą, kontrolę ir atskaitomybę. </w:t>
      </w:r>
    </w:p>
    <w:p>
      <w:pPr>
        <w:pStyle w:val="Normal"/>
        <w:suppressAutoHyphens w:val="true"/>
        <w:ind w:firstLine="709"/>
        <w:jc w:val="both"/>
        <w:rPr>
          <w:color w:val="000000"/>
          <w:szCs w:val="24"/>
        </w:rPr>
      </w:pPr>
      <w:r>
        <w:rPr>
          <w:color w:val="000000"/>
          <w:szCs w:val="24"/>
        </w:rPr>
        <w:t>2. Religinė bendruomenė ir bendrija (toliau – Religinė bendruomenė), siekianti  gauti lėšų  iš Savivaldybės biudžeto, turi atitikti Lietuvos Respublikos religinių bendruomenių ir bendrijų įstatyme apibrėžtas religinės bendruomenės ar bendrijos sąvokas.</w:t>
      </w:r>
    </w:p>
    <w:p>
      <w:pPr>
        <w:pStyle w:val="Normal"/>
        <w:suppressAutoHyphens w:val="true"/>
        <w:ind w:firstLine="709"/>
        <w:jc w:val="both"/>
        <w:rPr>
          <w:color w:val="000000"/>
        </w:rPr>
      </w:pPr>
      <w:r>
        <w:rPr>
          <w:color w:val="000000"/>
          <w:szCs w:val="24"/>
          <w:lang w:eastAsia="lt-LT"/>
        </w:rPr>
        <w:t xml:space="preserve">3. Visos Prienų rajono savivaldybėje registruotos Religinės bendruomenės </w:t>
      </w:r>
      <w:r>
        <w:rPr>
          <w:color w:val="000000"/>
          <w:szCs w:val="24"/>
        </w:rPr>
        <w:t>(toliau – Pareiškėjas) gali pretenduoti į dalinį veiklų finansavimą, pateikdamos paraiškas.</w:t>
      </w:r>
    </w:p>
    <w:p>
      <w:pPr>
        <w:pStyle w:val="Normal"/>
        <w:suppressAutoHyphens w:val="true"/>
        <w:ind w:firstLine="709"/>
        <w:jc w:val="both"/>
        <w:textAlignment w:val="baseline"/>
        <w:rPr>
          <w:color w:val="000000"/>
          <w:szCs w:val="24"/>
          <w:lang w:eastAsia="lt-LT"/>
        </w:rPr>
      </w:pPr>
      <w:r>
        <w:rPr>
          <w:lang w:eastAsia="lt-LT"/>
        </w:rPr>
        <w:t>4. Pateiktas paraiškas svarsto Savivaldybės mero potvarkiu sudaryta Religinių bendruomenių ir bendrijų projektų paraiškų vertinimo komisija (toliau – Komisija).</w:t>
      </w:r>
      <w:r>
        <w:rPr>
          <w:b/>
          <w:bCs/>
          <w:lang w:eastAsia="lt-LT"/>
        </w:rPr>
        <w:t xml:space="preserve"> </w:t>
      </w:r>
      <w:r>
        <w:rPr>
          <w:lang w:eastAsia="lt-LT"/>
        </w:rPr>
        <w:t>Komisijos darbo reglamentas tvirtinamas Savivaldybės mero potvarkiu.</w:t>
      </w:r>
    </w:p>
    <w:p>
      <w:pPr>
        <w:pStyle w:val="Normal"/>
        <w:rPr/>
      </w:pPr>
      <w:r>
        <w:rPr>
          <w:rFonts w:eastAsia="MS Mincho"/>
          <w:i/>
          <w:iCs/>
          <w:sz w:val="20"/>
        </w:rPr>
        <w:t>Punkto pakeitimai:</w:t>
      </w:r>
    </w:p>
    <w:p>
      <w:pPr>
        <w:pStyle w:val="Normal"/>
        <w:rPr/>
      </w:pPr>
      <w:r>
        <w:rPr>
          <w:rFonts w:eastAsia="MS Mincho"/>
          <w:i/>
          <w:iCs/>
          <w:sz w:val="20"/>
        </w:rPr>
        <w:t xml:space="preserve">Nr. </w:t>
      </w:r>
      <w:hyperlink r:id="rId2">
        <w:r>
          <w:rPr>
            <w:rStyle w:val="Style9"/>
            <w:rFonts w:eastAsia="MS Mincho"/>
            <w:i/>
            <w:iCs/>
            <w:color w:themeColor="hyperlink" w:val="0000FF"/>
            <w:sz w:val="20"/>
            <w:u w:val="single"/>
          </w:rPr>
          <w:t>P1-60</w:t>
        </w:r>
      </w:hyperlink>
      <w:r>
        <w:rPr>
          <w:rFonts w:eastAsia="MS Mincho"/>
          <w:i/>
          <w:iCs/>
          <w:sz w:val="20"/>
        </w:rPr>
        <w:t>, 2025-02-25, paskelbta TAR 2025-02-25, i. k. 2025-03061</w:t>
      </w:r>
      <w:r>
        <w:rPr/>
        <w:t>X</w:t>
      </w:r>
    </w:p>
    <w:p>
      <w:pPr>
        <w:pStyle w:val="Normal"/>
        <w:rPr/>
      </w:pPr>
      <w:r>
        <w:rPr/>
      </w:r>
    </w:p>
    <w:p>
      <w:pPr>
        <w:pStyle w:val="Normal"/>
        <w:tabs>
          <w:tab w:val="clear" w:pos="1296"/>
          <w:tab w:val="left" w:pos="528" w:leader="none"/>
        </w:tabs>
        <w:suppressAutoHyphens w:val="true"/>
        <w:ind w:firstLine="709"/>
        <w:jc w:val="both"/>
        <w:rPr>
          <w:color w:val="000000"/>
        </w:rPr>
      </w:pPr>
      <w:r>
        <w:rPr>
          <w:rFonts w:eastAsia="Calibri"/>
          <w:color w:val="000000"/>
          <w:szCs w:val="24"/>
        </w:rPr>
        <w:t xml:space="preserve">5. Kvietimas teikti paraiškas </w:t>
      </w:r>
      <w:r>
        <w:rPr>
          <w:rFonts w:eastAsia="SimSun;宋体"/>
          <w:color w:val="000000"/>
          <w:szCs w:val="24"/>
          <w:lang w:eastAsia="lt-LT" w:bidi="hi-IN"/>
        </w:rPr>
        <w:t>skelbiamas viešai Savivaldybės interneto svetainėje www.prienai.lt.  Jame nurodoma:</w:t>
      </w:r>
    </w:p>
    <w:p>
      <w:pPr>
        <w:pStyle w:val="Normal"/>
        <w:tabs>
          <w:tab w:val="clear" w:pos="1296"/>
          <w:tab w:val="left" w:pos="528" w:leader="none"/>
        </w:tabs>
        <w:suppressAutoHyphens w:val="true"/>
        <w:ind w:firstLine="709"/>
        <w:jc w:val="both"/>
        <w:rPr>
          <w:color w:val="000000"/>
        </w:rPr>
      </w:pPr>
      <w:r>
        <w:rPr>
          <w:rFonts w:eastAsia="SimSun;宋体"/>
          <w:color w:val="000000"/>
          <w:szCs w:val="24"/>
          <w:lang w:eastAsia="lt-LT" w:bidi="hi-IN"/>
        </w:rPr>
        <w:t xml:space="preserve">5.1. </w:t>
      </w:r>
      <w:r>
        <w:rPr>
          <w:rFonts w:eastAsia="SimSun;宋体"/>
          <w:color w:val="000000"/>
          <w:szCs w:val="24"/>
          <w:lang w:eastAsia="zh-CN" w:bidi="hi-IN"/>
        </w:rPr>
        <w:t>remtinos veiklos;</w:t>
      </w:r>
      <w:r>
        <w:rPr>
          <w:rFonts w:eastAsia="SimSun;宋体"/>
          <w:color w:val="000000"/>
          <w:szCs w:val="24"/>
          <w:lang w:eastAsia="lt-LT" w:bidi="hi-IN"/>
        </w:rPr>
        <w:t xml:space="preserve"> </w:t>
      </w:r>
    </w:p>
    <w:p>
      <w:pPr>
        <w:pStyle w:val="Normal"/>
        <w:tabs>
          <w:tab w:val="clear" w:pos="1296"/>
          <w:tab w:val="left" w:pos="528" w:leader="none"/>
        </w:tabs>
        <w:suppressAutoHyphens w:val="true"/>
        <w:ind w:firstLine="709"/>
        <w:jc w:val="both"/>
        <w:rPr>
          <w:color w:val="000000"/>
        </w:rPr>
      </w:pPr>
      <w:r>
        <w:rPr>
          <w:rFonts w:eastAsia="SimSun;宋体"/>
          <w:color w:val="000000"/>
          <w:szCs w:val="24"/>
          <w:lang w:eastAsia="lt-LT" w:bidi="hi-IN"/>
        </w:rPr>
        <w:t xml:space="preserve">5.2. paraiškų forma (Aprašo 1 priedas); </w:t>
      </w:r>
    </w:p>
    <w:p>
      <w:pPr>
        <w:pStyle w:val="Normal"/>
        <w:tabs>
          <w:tab w:val="clear" w:pos="1296"/>
          <w:tab w:val="left" w:pos="528" w:leader="none"/>
        </w:tabs>
        <w:suppressAutoHyphens w:val="true"/>
        <w:ind w:firstLine="709"/>
        <w:jc w:val="both"/>
        <w:rPr>
          <w:color w:val="000000"/>
        </w:rPr>
      </w:pPr>
      <w:r>
        <w:rPr>
          <w:rFonts w:eastAsia="SimSun;宋体"/>
          <w:color w:val="000000"/>
          <w:szCs w:val="24"/>
          <w:lang w:eastAsia="lt-LT" w:bidi="hi-IN"/>
        </w:rPr>
        <w:t>5.3. paraiškų priėmimo pradžia ir pabaiga;</w:t>
      </w:r>
    </w:p>
    <w:p>
      <w:pPr>
        <w:pStyle w:val="Normal"/>
        <w:suppressAutoHyphens w:val="true"/>
        <w:ind w:firstLine="709"/>
        <w:jc w:val="both"/>
        <w:rPr>
          <w:color w:val="000000"/>
        </w:rPr>
      </w:pPr>
      <w:r>
        <w:rPr>
          <w:rFonts w:eastAsia="SimSun;宋体"/>
          <w:color w:val="000000"/>
          <w:szCs w:val="24"/>
          <w:lang w:eastAsia="lt-LT" w:bidi="hi-IN"/>
        </w:rPr>
        <w:t xml:space="preserve">5.4. </w:t>
      </w:r>
      <w:r>
        <w:rPr>
          <w:bCs/>
          <w:color w:val="000000"/>
          <w:szCs w:val="24"/>
        </w:rPr>
        <w:t>p</w:t>
      </w:r>
      <w:r>
        <w:rPr>
          <w:rFonts w:eastAsia="SimSun;宋体"/>
          <w:color w:val="000000"/>
          <w:szCs w:val="24"/>
          <w:lang w:eastAsia="lt-LT" w:bidi="hi-IN"/>
        </w:rPr>
        <w:t>araiškų pateikimo adresas</w:t>
      </w:r>
      <w:r>
        <w:rPr>
          <w:rFonts w:eastAsia="SimSun;宋体"/>
          <w:color w:val="000000"/>
          <w:szCs w:val="24"/>
          <w:lang w:eastAsia="zh-CN" w:bidi="hi-IN"/>
        </w:rPr>
        <w:t xml:space="preserve"> – </w:t>
      </w:r>
      <w:r>
        <w:rPr>
          <w:bCs/>
          <w:color w:val="000000"/>
          <w:szCs w:val="24"/>
        </w:rPr>
        <w:t>Prienų rajono savivaldybės administracija, Laisvės a. 12, 59126 Prienai, el. p. administracija@prienai.lt</w:t>
      </w:r>
      <w:r>
        <w:rPr>
          <w:rFonts w:eastAsia="SimSun;宋体"/>
          <w:color w:val="000000"/>
          <w:szCs w:val="24"/>
          <w:lang w:eastAsia="lt-LT" w:bidi="hi-IN"/>
        </w:rPr>
        <w:t xml:space="preserve">; </w:t>
      </w:r>
    </w:p>
    <w:p>
      <w:pPr>
        <w:pStyle w:val="Normal"/>
        <w:tabs>
          <w:tab w:val="clear" w:pos="1296"/>
          <w:tab w:val="left" w:pos="528" w:leader="none"/>
          <w:tab w:val="left" w:pos="1185" w:leader="none"/>
        </w:tabs>
        <w:suppressAutoHyphens w:val="true"/>
        <w:ind w:firstLine="709"/>
        <w:jc w:val="both"/>
        <w:rPr>
          <w:color w:val="000000"/>
        </w:rPr>
      </w:pPr>
      <w:r>
        <w:rPr>
          <w:rFonts w:eastAsia="SimSun;宋体"/>
          <w:color w:val="000000"/>
          <w:szCs w:val="24"/>
          <w:lang w:eastAsia="lt-LT" w:bidi="hi-IN"/>
        </w:rPr>
        <w:t xml:space="preserve">5.5. atsakingas Savivaldybės administracijos specialistas (toliau </w:t>
      </w:r>
      <w:r>
        <w:rPr>
          <w:rFonts w:eastAsia="SimSun;宋体"/>
          <w:b/>
          <w:color w:val="000000"/>
          <w:szCs w:val="24"/>
          <w:lang w:eastAsia="lt-LT" w:bidi="hi-IN"/>
        </w:rPr>
        <w:t xml:space="preserve">– </w:t>
      </w:r>
      <w:r>
        <w:rPr>
          <w:rFonts w:eastAsia="SimSun;宋体"/>
          <w:color w:val="000000"/>
          <w:szCs w:val="24"/>
          <w:lang w:eastAsia="zh-CN" w:bidi="hi-IN"/>
        </w:rPr>
        <w:t>Administracijos</w:t>
      </w:r>
      <w:r>
        <w:rPr>
          <w:rFonts w:eastAsia="SimSun;宋体"/>
          <w:color w:val="000000"/>
          <w:szCs w:val="24"/>
          <w:lang w:eastAsia="lt-LT" w:bidi="hi-IN"/>
        </w:rPr>
        <w:t xml:space="preserve"> specialistas), teikiantis konsultacijas Pareiškėjams su paraiškų teikimu susijusiais klausimais, jo telefono numeris, elektroninio pašto adresas ir laikas pasiteirauti;</w:t>
      </w:r>
    </w:p>
    <w:p>
      <w:pPr>
        <w:pStyle w:val="Normal"/>
        <w:tabs>
          <w:tab w:val="clear" w:pos="1296"/>
          <w:tab w:val="left" w:pos="528" w:leader="none"/>
        </w:tabs>
        <w:suppressAutoHyphens w:val="true"/>
        <w:ind w:firstLine="709"/>
        <w:jc w:val="both"/>
        <w:rPr>
          <w:color w:val="000000"/>
        </w:rPr>
      </w:pPr>
      <w:r>
        <w:rPr>
          <w:rFonts w:eastAsia="SimSun;宋体"/>
          <w:color w:val="000000"/>
          <w:szCs w:val="24"/>
          <w:lang w:eastAsia="zh-CN" w:bidi="hi-IN"/>
        </w:rPr>
        <w:t>5.6. dokumentai, kuriuos reikia pateikti (priedai);</w:t>
      </w:r>
    </w:p>
    <w:p>
      <w:pPr>
        <w:pStyle w:val="Normal"/>
        <w:tabs>
          <w:tab w:val="clear" w:pos="1296"/>
          <w:tab w:val="left" w:pos="528" w:leader="none"/>
        </w:tabs>
        <w:suppressAutoHyphens w:val="true"/>
        <w:ind w:firstLine="709"/>
        <w:jc w:val="both"/>
        <w:rPr>
          <w:color w:val="000000"/>
        </w:rPr>
      </w:pPr>
      <w:r>
        <w:rPr>
          <w:rFonts w:eastAsia="SimSun;宋体"/>
          <w:color w:val="000000"/>
          <w:szCs w:val="24"/>
          <w:lang w:eastAsia="lt-LT" w:bidi="hi-IN"/>
        </w:rPr>
        <w:t>5.7. kita reikalinga informacija.</w:t>
      </w:r>
    </w:p>
    <w:p>
      <w:pPr>
        <w:pStyle w:val="Normal"/>
        <w:suppressAutoHyphens w:val="true"/>
        <w:jc w:val="both"/>
        <w:rPr>
          <w:bCs/>
          <w:color w:val="000000"/>
          <w:szCs w:val="24"/>
        </w:rPr>
      </w:pPr>
      <w:r>
        <w:rPr>
          <w:bCs/>
          <w:color w:val="000000"/>
          <w:szCs w:val="24"/>
        </w:rPr>
      </w:r>
    </w:p>
    <w:p>
      <w:pPr>
        <w:pStyle w:val="Normal"/>
        <w:tabs>
          <w:tab w:val="clear" w:pos="1296"/>
          <w:tab w:val="left" w:pos="4253" w:leader="none"/>
        </w:tabs>
        <w:suppressAutoHyphens w:val="true"/>
        <w:jc w:val="center"/>
        <w:rPr>
          <w:rFonts w:eastAsia="Calibri"/>
          <w:b/>
          <w:color w:val="000000"/>
          <w:szCs w:val="24"/>
        </w:rPr>
      </w:pPr>
      <w:r>
        <w:rPr>
          <w:rFonts w:eastAsia="Calibri"/>
          <w:b/>
          <w:color w:val="000000"/>
          <w:szCs w:val="24"/>
        </w:rPr>
        <w:t>II SKYRIUS</w:t>
      </w:r>
    </w:p>
    <w:p>
      <w:pPr>
        <w:pStyle w:val="Normal"/>
        <w:tabs>
          <w:tab w:val="clear" w:pos="1296"/>
          <w:tab w:val="left" w:pos="4253" w:leader="none"/>
        </w:tabs>
        <w:suppressAutoHyphens w:val="true"/>
        <w:jc w:val="center"/>
        <w:rPr>
          <w:b/>
          <w:bCs/>
          <w:color w:val="000000"/>
          <w:szCs w:val="24"/>
        </w:rPr>
      </w:pPr>
      <w:r>
        <w:rPr>
          <w:b/>
          <w:bCs/>
          <w:color w:val="000000"/>
          <w:szCs w:val="24"/>
        </w:rPr>
        <w:t>TINKAMOS FINANSUOTI VEIKLOS IR PARAMOS DYDIS</w:t>
      </w:r>
    </w:p>
    <w:p>
      <w:pPr>
        <w:pStyle w:val="Normal"/>
        <w:tabs>
          <w:tab w:val="clear" w:pos="1296"/>
          <w:tab w:val="left" w:pos="4253" w:leader="none"/>
        </w:tabs>
        <w:suppressAutoHyphens w:val="true"/>
        <w:rPr>
          <w:rFonts w:eastAsia="Calibri"/>
          <w:b/>
          <w:color w:val="000000"/>
          <w:szCs w:val="24"/>
        </w:rPr>
      </w:pPr>
      <w:r>
        <w:rPr>
          <w:rFonts w:eastAsia="Calibri"/>
          <w:b/>
          <w:color w:val="000000"/>
          <w:szCs w:val="24"/>
        </w:rPr>
      </w:r>
    </w:p>
    <w:p>
      <w:pPr>
        <w:pStyle w:val="Normal"/>
        <w:tabs>
          <w:tab w:val="clear" w:pos="1296"/>
          <w:tab w:val="left" w:pos="993" w:leader="none"/>
        </w:tabs>
        <w:suppressAutoHyphens w:val="true"/>
        <w:ind w:firstLine="709"/>
        <w:jc w:val="both"/>
        <w:rPr>
          <w:color w:val="000000"/>
        </w:rPr>
      </w:pPr>
      <w:r>
        <w:rPr>
          <w:rFonts w:eastAsia="Calibri"/>
          <w:color w:val="000000"/>
          <w:szCs w:val="24"/>
          <w:lang w:eastAsia="lt-LT"/>
        </w:rPr>
        <w:t xml:space="preserve">6. </w:t>
      </w:r>
      <w:r>
        <w:rPr>
          <w:color w:val="000000"/>
          <w:szCs w:val="24"/>
          <w:lang w:eastAsia="lt-LT"/>
        </w:rPr>
        <w:t>Tinkamos finansuoti veiklos pateikus paraišką pagal Aprašo 1 priedą:</w:t>
      </w:r>
    </w:p>
    <w:p>
      <w:pPr>
        <w:pStyle w:val="Normal"/>
        <w:tabs>
          <w:tab w:val="clear" w:pos="1296"/>
          <w:tab w:val="left" w:pos="1134" w:leader="none"/>
        </w:tabs>
        <w:suppressAutoHyphens w:val="true"/>
        <w:ind w:firstLine="709"/>
        <w:jc w:val="both"/>
        <w:rPr>
          <w:color w:val="000000"/>
          <w:szCs w:val="24"/>
          <w:lang w:val="en-GB"/>
        </w:rPr>
      </w:pPr>
      <w:r>
        <w:rPr>
          <w:color w:val="000000"/>
          <w:szCs w:val="24"/>
          <w:lang w:eastAsia="lt-LT"/>
        </w:rPr>
        <w:t>6.1. į kultūros paveldo registrą įrašytų didesnės istorinės, architektūrinės, meninės vertės religinėms bendruomenėms ir bendrijoms priklausančių maldos namų, gyvenamųjų namų, kitų pastatų ir/ar statinių bei juose esančių vertybių restauracija, avarinės būklės šalinimo darbai ir tvarkyba (jeigu yra atsakingų paveldo specialistų leidimai);</w:t>
      </w:r>
    </w:p>
    <w:p>
      <w:pPr>
        <w:pStyle w:val="Normal"/>
        <w:tabs>
          <w:tab w:val="clear" w:pos="1296"/>
          <w:tab w:val="left" w:pos="851" w:leader="none"/>
        </w:tabs>
        <w:suppressAutoHyphens w:val="true"/>
        <w:ind w:firstLine="709"/>
        <w:jc w:val="both"/>
        <w:rPr>
          <w:color w:val="000000"/>
        </w:rPr>
      </w:pPr>
      <w:r>
        <w:rPr>
          <w:color w:val="000000"/>
          <w:szCs w:val="24"/>
          <w:lang w:eastAsia="lt-LT"/>
        </w:rPr>
        <w:t xml:space="preserve">6.2. religinėms bendruomenėms ir bendrijoms priklausančių </w:t>
      </w:r>
      <w:r>
        <w:rPr>
          <w:color w:val="000000"/>
          <w:szCs w:val="24"/>
        </w:rPr>
        <w:t>maldos namų, parapijos namų atnaujinimo, remonto, renovacijos, kapitalinio remonto, rekonstrukcijos darbai.</w:t>
      </w:r>
    </w:p>
    <w:p>
      <w:pPr>
        <w:pStyle w:val="Normal"/>
        <w:tabs>
          <w:tab w:val="clear" w:pos="1296"/>
          <w:tab w:val="left" w:pos="851" w:leader="none"/>
        </w:tabs>
        <w:suppressAutoHyphens w:val="true"/>
        <w:ind w:firstLine="709"/>
        <w:jc w:val="both"/>
        <w:rPr>
          <w:color w:val="000000"/>
        </w:rPr>
      </w:pPr>
      <w:r>
        <w:rPr>
          <w:color w:val="000000"/>
          <w:szCs w:val="24"/>
          <w:lang w:eastAsia="lt-LT"/>
        </w:rPr>
        <w:t>7. Pateikus paraišką pagal Aprašo 1 priedą ir Komisijos siūlymu pripažintoms tinkamomis finansuoti veikloms skiriama iki 85 proc. paraiškos sąmatoje prašomų lėšų. Pateikus paraišką pagal Aprašo 4 priedą ir Komisijos siūlymu pripažintoms tinkamomis finansuoti veikloms skiriama iki 100 proc. paraiškos sąmatoje prašomų lėšų.</w:t>
      </w:r>
    </w:p>
    <w:p>
      <w:pPr>
        <w:pStyle w:val="Normal"/>
        <w:tabs>
          <w:tab w:val="clear" w:pos="1296"/>
          <w:tab w:val="left" w:pos="851" w:leader="none"/>
        </w:tabs>
        <w:suppressAutoHyphens w:val="true"/>
        <w:ind w:firstLine="709"/>
        <w:jc w:val="both"/>
        <w:textAlignment w:val="baseline"/>
        <w:rPr>
          <w:color w:val="000000"/>
        </w:rPr>
      </w:pPr>
      <w:r>
        <w:rPr>
          <w:lang w:eastAsia="lt-LT"/>
        </w:rPr>
        <w:t>8. Pateikus paraišką pagal Aprašo 4 priedą kofinansuojami projektai, gavę paramą iš kitų šaltinių. Šios paraiškos balais nevertinamos ir gali būti teikiamos einamųjų metų laikotarpiu, bet ne vėliau kaip iki lapkričio 15 d.</w:t>
      </w:r>
    </w:p>
    <w:p>
      <w:pPr>
        <w:pStyle w:val="Normal"/>
        <w:rPr/>
      </w:pPr>
      <w:r>
        <w:rPr>
          <w:rFonts w:eastAsia="MS Mincho"/>
          <w:i/>
          <w:iCs/>
          <w:sz w:val="20"/>
        </w:rPr>
        <w:t>Punkto pakeitimai:</w:t>
      </w:r>
    </w:p>
    <w:p>
      <w:pPr>
        <w:pStyle w:val="Normal"/>
        <w:rPr/>
      </w:pPr>
      <w:r>
        <w:rPr>
          <w:rFonts w:eastAsia="MS Mincho"/>
          <w:i/>
          <w:iCs/>
          <w:sz w:val="20"/>
        </w:rPr>
        <w:t xml:space="preserve">Nr. </w:t>
      </w:r>
      <w:hyperlink r:id="rId3">
        <w:r>
          <w:rPr>
            <w:rStyle w:val="Style9"/>
            <w:rFonts w:eastAsia="MS Mincho"/>
            <w:i/>
            <w:iCs/>
            <w:color w:themeColor="hyperlink" w:val="0000FF"/>
            <w:sz w:val="20"/>
            <w:u w:val="single"/>
          </w:rPr>
          <w:t>P1-60</w:t>
        </w:r>
      </w:hyperlink>
      <w:r>
        <w:rPr>
          <w:rFonts w:eastAsia="MS Mincho"/>
          <w:i/>
          <w:iCs/>
          <w:sz w:val="20"/>
        </w:rPr>
        <w:t>, 2025-02-25, paskelbta TAR 2025-02-25, i. k. 2025-03061</w:t>
      </w:r>
      <w:r>
        <w:rPr/>
        <w:t>X</w:t>
      </w:r>
    </w:p>
    <w:p>
      <w:pPr>
        <w:pStyle w:val="Normal"/>
        <w:rPr/>
      </w:pPr>
      <w:r>
        <w:rPr/>
      </w:r>
    </w:p>
    <w:p>
      <w:pPr>
        <w:pStyle w:val="Normal"/>
        <w:tabs>
          <w:tab w:val="clear" w:pos="1296"/>
          <w:tab w:val="left" w:pos="851" w:leader="none"/>
        </w:tabs>
        <w:suppressAutoHyphens w:val="true"/>
        <w:ind w:firstLine="709"/>
        <w:jc w:val="both"/>
        <w:rPr>
          <w:color w:val="000000"/>
        </w:rPr>
      </w:pPr>
      <w:r>
        <w:rPr>
          <w:rFonts w:eastAsia="Calibri"/>
          <w:color w:val="000000"/>
          <w:szCs w:val="24"/>
        </w:rPr>
        <w:t>9. Veiklos, kurioms finansavimas neskiriamas:</w:t>
      </w:r>
    </w:p>
    <w:p>
      <w:pPr>
        <w:pStyle w:val="Normal"/>
        <w:tabs>
          <w:tab w:val="clear" w:pos="1296"/>
          <w:tab w:val="left" w:pos="851" w:leader="none"/>
        </w:tabs>
        <w:suppressAutoHyphens w:val="true"/>
        <w:ind w:firstLine="709"/>
        <w:jc w:val="both"/>
        <w:rPr>
          <w:color w:val="000000"/>
        </w:rPr>
      </w:pPr>
      <w:r>
        <w:rPr>
          <w:rFonts w:eastAsia="Calibri"/>
          <w:color w:val="000000"/>
          <w:szCs w:val="24"/>
        </w:rPr>
        <w:t>9.1. Pareiškėjo įsiskolinimams dengti;</w:t>
      </w:r>
    </w:p>
    <w:p>
      <w:pPr>
        <w:pStyle w:val="Normal"/>
        <w:tabs>
          <w:tab w:val="clear" w:pos="1296"/>
          <w:tab w:val="left" w:pos="851" w:leader="none"/>
        </w:tabs>
        <w:suppressAutoHyphens w:val="true"/>
        <w:ind w:firstLine="709"/>
        <w:jc w:val="both"/>
        <w:rPr>
          <w:color w:val="000000"/>
        </w:rPr>
      </w:pPr>
      <w:r>
        <w:rPr>
          <w:rFonts w:eastAsia="Calibri"/>
          <w:color w:val="000000"/>
          <w:szCs w:val="24"/>
        </w:rPr>
        <w:t>9.2. draudimui, lizingui, išperkamajai nuomai apmokėti;</w:t>
      </w:r>
    </w:p>
    <w:p>
      <w:pPr>
        <w:pStyle w:val="Normal"/>
        <w:tabs>
          <w:tab w:val="clear" w:pos="1296"/>
          <w:tab w:val="left" w:pos="851" w:leader="none"/>
        </w:tabs>
        <w:suppressAutoHyphens w:val="true"/>
        <w:ind w:firstLine="709"/>
        <w:jc w:val="both"/>
        <w:rPr>
          <w:color w:val="000000"/>
        </w:rPr>
      </w:pPr>
      <w:r>
        <w:rPr>
          <w:rFonts w:eastAsia="Calibri"/>
          <w:color w:val="000000"/>
          <w:szCs w:val="24"/>
        </w:rPr>
        <w:t>9.3. transporto priemonių remontui ir eksploatacinėms išlaidoms;</w:t>
      </w:r>
    </w:p>
    <w:p>
      <w:pPr>
        <w:pStyle w:val="Normal"/>
        <w:tabs>
          <w:tab w:val="clear" w:pos="1296"/>
          <w:tab w:val="left" w:pos="851" w:leader="none"/>
        </w:tabs>
        <w:suppressAutoHyphens w:val="true"/>
        <w:ind w:firstLine="709"/>
        <w:jc w:val="both"/>
        <w:rPr>
          <w:color w:val="000000"/>
        </w:rPr>
      </w:pPr>
      <w:r>
        <w:rPr>
          <w:rFonts w:eastAsia="Calibri"/>
          <w:color w:val="000000"/>
          <w:szCs w:val="24"/>
        </w:rPr>
        <w:t xml:space="preserve">9.4. knygų ir CD leidybai, jei lėšos šioms veikloms sudaro daugiau kaip 15 procentų viso patikslintos sąmatos biudžeto; </w:t>
      </w:r>
    </w:p>
    <w:p>
      <w:pPr>
        <w:pStyle w:val="Normal"/>
        <w:tabs>
          <w:tab w:val="clear" w:pos="1296"/>
          <w:tab w:val="left" w:pos="851" w:leader="none"/>
        </w:tabs>
        <w:suppressAutoHyphens w:val="true"/>
        <w:ind w:firstLine="709"/>
        <w:jc w:val="both"/>
        <w:rPr>
          <w:color w:val="000000"/>
        </w:rPr>
      </w:pPr>
      <w:r>
        <w:rPr>
          <w:rFonts w:eastAsia="Calibri"/>
          <w:color w:val="000000"/>
          <w:szCs w:val="24"/>
        </w:rPr>
        <w:t>9.5. atlyginimams, išskyrus autorines sutartis.</w:t>
      </w:r>
    </w:p>
    <w:p>
      <w:pPr>
        <w:pStyle w:val="Normal"/>
        <w:tabs>
          <w:tab w:val="clear" w:pos="1296"/>
          <w:tab w:val="left" w:pos="851" w:leader="none"/>
        </w:tabs>
        <w:suppressAutoHyphens w:val="true"/>
        <w:ind w:firstLine="709"/>
        <w:jc w:val="both"/>
        <w:rPr>
          <w:color w:val="000000"/>
        </w:rPr>
      </w:pPr>
      <w:r>
        <w:rPr>
          <w:color w:val="000000"/>
          <w:szCs w:val="24"/>
          <w:lang w:eastAsia="lt-LT"/>
        </w:rPr>
        <w:t xml:space="preserve">10. Pareiškėjas biudžetiniais metais teikia vieną paraišką (išskyrus paraiškas, teikiamas  pagal Aprašo 4 priedą). </w:t>
      </w:r>
    </w:p>
    <w:p>
      <w:pPr>
        <w:pStyle w:val="Normal"/>
        <w:tabs>
          <w:tab w:val="clear" w:pos="1296"/>
          <w:tab w:val="left" w:pos="851" w:leader="none"/>
        </w:tabs>
        <w:suppressAutoHyphens w:val="true"/>
        <w:ind w:firstLine="709"/>
        <w:jc w:val="both"/>
        <w:rPr>
          <w:b/>
          <w:bCs/>
          <w:color w:val="000000"/>
          <w:szCs w:val="24"/>
        </w:rPr>
      </w:pPr>
      <w:r>
        <w:rPr>
          <w:b/>
          <w:bCs/>
          <w:color w:val="000000"/>
          <w:szCs w:val="24"/>
        </w:rPr>
      </w:r>
    </w:p>
    <w:p>
      <w:pPr>
        <w:pStyle w:val="Normal"/>
        <w:tabs>
          <w:tab w:val="clear" w:pos="1296"/>
          <w:tab w:val="left" w:pos="0" w:leader="none"/>
        </w:tabs>
        <w:suppressAutoHyphens w:val="true"/>
        <w:jc w:val="center"/>
        <w:rPr>
          <w:b/>
          <w:bCs/>
          <w:color w:val="000000"/>
          <w:szCs w:val="24"/>
        </w:rPr>
      </w:pPr>
      <w:r>
        <w:rPr>
          <w:b/>
          <w:bCs/>
          <w:color w:val="000000"/>
          <w:szCs w:val="24"/>
        </w:rPr>
        <w:t>III SKYRIUS</w:t>
      </w:r>
    </w:p>
    <w:p>
      <w:pPr>
        <w:pStyle w:val="Normal"/>
        <w:suppressAutoHyphens w:val="true"/>
        <w:jc w:val="center"/>
        <w:rPr>
          <w:b/>
          <w:bCs/>
          <w:color w:val="000000"/>
        </w:rPr>
      </w:pPr>
      <w:r>
        <w:rPr>
          <w:rFonts w:eastAsia="Calibri"/>
          <w:b/>
          <w:bCs/>
          <w:caps/>
          <w:color w:val="000000"/>
          <w:szCs w:val="24"/>
        </w:rPr>
        <w:t>PROJEKTŲ Paraiškų Vertinimas</w:t>
      </w:r>
    </w:p>
    <w:p>
      <w:pPr>
        <w:pStyle w:val="Normal"/>
        <w:suppressAutoHyphens w:val="true"/>
        <w:jc w:val="both"/>
        <w:rPr>
          <w:color w:val="000000"/>
        </w:rPr>
      </w:pPr>
      <w:r>
        <w:rPr>
          <w:color w:val="000000"/>
        </w:rPr>
      </w:r>
    </w:p>
    <w:p>
      <w:pPr>
        <w:pStyle w:val="Normal"/>
        <w:tabs>
          <w:tab w:val="clear" w:pos="1296"/>
          <w:tab w:val="left" w:pos="855" w:leader="none"/>
        </w:tabs>
        <w:suppressAutoHyphens w:val="true"/>
        <w:ind w:firstLine="737"/>
        <w:jc w:val="both"/>
        <w:rPr>
          <w:color w:val="000000"/>
        </w:rPr>
      </w:pPr>
      <w:r>
        <w:rPr>
          <w:rFonts w:eastAsia="Calibri"/>
          <w:color w:val="000000"/>
          <w:szCs w:val="24"/>
        </w:rPr>
        <w:t xml:space="preserve">11. Savivaldybės administracijai pateiktų projektų paraiškų vertinimą sudaro du etapai </w:t>
      </w:r>
      <w:r>
        <w:rPr>
          <w:color w:val="000000"/>
          <w:szCs w:val="24"/>
        </w:rPr>
        <w:t>‒</w:t>
      </w:r>
      <w:r>
        <w:rPr>
          <w:rFonts w:eastAsia="Calibri"/>
          <w:color w:val="000000"/>
          <w:szCs w:val="24"/>
        </w:rPr>
        <w:t xml:space="preserve"> administracinės atitikties vertinimas ir Komisijos vertinimas.</w:t>
      </w:r>
    </w:p>
    <w:p>
      <w:pPr>
        <w:pStyle w:val="Normal"/>
        <w:tabs>
          <w:tab w:val="clear" w:pos="1296"/>
          <w:tab w:val="left" w:pos="855" w:leader="none"/>
          <w:tab w:val="left" w:pos="1130" w:leader="none"/>
        </w:tabs>
        <w:suppressAutoHyphens w:val="true"/>
        <w:ind w:firstLine="737"/>
        <w:jc w:val="both"/>
        <w:rPr>
          <w:color w:val="000000"/>
        </w:rPr>
      </w:pPr>
      <w:r>
        <w:rPr>
          <w:rFonts w:eastAsia="SimSun;宋体"/>
          <w:color w:val="000000"/>
          <w:szCs w:val="24"/>
          <w:lang w:eastAsia="zh-CN" w:bidi="hi-IN"/>
        </w:rPr>
        <w:t xml:space="preserve">12. Savivaldybės administracijoje užregistruotos paraiškos perduodamos atsakingam Administracijos specialistui, kuris per 20 darbo dienų nuo nustatytos paskutinės paraiškų pateikimo dienos </w:t>
      </w:r>
      <w:r>
        <w:rPr>
          <w:rFonts w:eastAsia="SimSun;宋体"/>
          <w:bCs/>
          <w:color w:val="000000"/>
          <w:szCs w:val="24"/>
          <w:lang w:eastAsia="zh-CN" w:bidi="hi-IN"/>
        </w:rPr>
        <w:t>įvertina, ar :</w:t>
      </w:r>
    </w:p>
    <w:p>
      <w:pPr>
        <w:pStyle w:val="Normal"/>
        <w:tabs>
          <w:tab w:val="clear" w:pos="1296"/>
          <w:tab w:val="left" w:pos="851" w:leader="none"/>
          <w:tab w:val="left" w:pos="1134" w:leader="none"/>
        </w:tabs>
        <w:suppressAutoHyphens w:val="true"/>
        <w:ind w:firstLine="737"/>
        <w:jc w:val="both"/>
        <w:rPr>
          <w:color w:val="000000"/>
        </w:rPr>
      </w:pPr>
      <w:r>
        <w:rPr>
          <w:rFonts w:eastAsia="SimSun;宋体"/>
          <w:color w:val="000000"/>
          <w:szCs w:val="24"/>
          <w:lang w:eastAsia="zh-CN" w:bidi="hi-IN"/>
        </w:rPr>
        <w:t>12.1.</w:t>
      </w:r>
      <w:r>
        <w:rPr>
          <w:rFonts w:eastAsia="SimSun;宋体"/>
          <w:bCs/>
          <w:color w:val="000000"/>
          <w:szCs w:val="24"/>
          <w:lang w:eastAsia="zh-CN" w:bidi="hi-IN"/>
        </w:rPr>
        <w:t xml:space="preserve"> paraiškos pateiktos iki skelbime nurodytos datos;</w:t>
      </w:r>
    </w:p>
    <w:p>
      <w:pPr>
        <w:pStyle w:val="Normal"/>
        <w:suppressAutoHyphens w:val="true"/>
        <w:ind w:firstLine="709"/>
        <w:jc w:val="both"/>
        <w:textAlignment w:val="baseline"/>
        <w:rPr>
          <w:color w:val="000000"/>
        </w:rPr>
      </w:pPr>
      <w:r>
        <w:rPr>
          <w:rFonts w:eastAsia="SimSun, 宋体"/>
          <w:color w:val="000000"/>
          <w:lang w:eastAsia="zh-CN" w:bidi="hi-IN"/>
        </w:rPr>
        <w:t>12.</w:t>
      </w:r>
      <w:r>
        <w:rPr>
          <w:rFonts w:eastAsia="SimSun, 宋体"/>
          <w:bCs/>
          <w:color w:val="000000"/>
          <w:lang w:eastAsia="zh-CN" w:bidi="hi-IN"/>
        </w:rPr>
        <w:t>2. Pareiškėjas atitinka 3</w:t>
      </w:r>
      <w:r>
        <w:rPr>
          <w:rFonts w:eastAsia="SimSun, 宋体"/>
          <w:b/>
          <w:bCs/>
          <w:color w:val="000000"/>
          <w:lang w:eastAsia="zh-CN" w:bidi="hi-IN"/>
        </w:rPr>
        <w:t xml:space="preserve"> </w:t>
      </w:r>
      <w:r>
        <w:rPr>
          <w:rFonts w:eastAsia="SimSun, 宋体"/>
          <w:color w:val="000000"/>
          <w:lang w:eastAsia="zh-CN" w:bidi="hi-IN"/>
        </w:rPr>
        <w:t>ir 6 punktų</w:t>
      </w:r>
      <w:r>
        <w:rPr>
          <w:rFonts w:eastAsia="SimSun, 宋体"/>
          <w:bCs/>
          <w:color w:val="000000"/>
          <w:lang w:eastAsia="zh-CN" w:bidi="hi-IN"/>
        </w:rPr>
        <w:t xml:space="preserve"> reikalavimus;</w:t>
      </w:r>
    </w:p>
    <w:p>
      <w:pPr>
        <w:pStyle w:val="Normal"/>
        <w:rPr/>
      </w:pPr>
      <w:r>
        <w:rPr>
          <w:rFonts w:eastAsia="MS Mincho"/>
          <w:i/>
          <w:iCs/>
          <w:sz w:val="20"/>
        </w:rPr>
        <w:t>Papunkčio pakeitimai:</w:t>
      </w:r>
    </w:p>
    <w:p>
      <w:pPr>
        <w:pStyle w:val="Normal"/>
        <w:rPr/>
      </w:pPr>
      <w:r>
        <w:rPr>
          <w:rFonts w:eastAsia="MS Mincho"/>
          <w:i/>
          <w:iCs/>
          <w:sz w:val="20"/>
        </w:rPr>
        <w:t xml:space="preserve">Nr. </w:t>
      </w:r>
      <w:hyperlink r:id="rId4">
        <w:r>
          <w:rPr>
            <w:rStyle w:val="Style9"/>
            <w:rFonts w:eastAsia="MS Mincho"/>
            <w:i/>
            <w:iCs/>
            <w:color w:themeColor="hyperlink" w:val="0000FF"/>
            <w:sz w:val="20"/>
            <w:u w:val="single"/>
          </w:rPr>
          <w:t>P1-60</w:t>
        </w:r>
      </w:hyperlink>
      <w:r>
        <w:rPr>
          <w:rFonts w:eastAsia="MS Mincho"/>
          <w:i/>
          <w:iCs/>
          <w:sz w:val="20"/>
        </w:rPr>
        <w:t>, 2025-02-25, paskelbta TAR 2025-02-25, i. k. 2025-03061</w:t>
      </w:r>
      <w:r>
        <w:rPr/>
        <w:t>X</w:t>
      </w:r>
    </w:p>
    <w:p>
      <w:pPr>
        <w:pStyle w:val="Normal"/>
        <w:rPr/>
      </w:pPr>
      <w:r>
        <w:rPr/>
      </w:r>
    </w:p>
    <w:p>
      <w:pPr>
        <w:pStyle w:val="Normal"/>
        <w:tabs>
          <w:tab w:val="clear" w:pos="1296"/>
          <w:tab w:val="left" w:pos="851" w:leader="none"/>
          <w:tab w:val="left" w:pos="1134" w:leader="none"/>
        </w:tabs>
        <w:suppressAutoHyphens w:val="true"/>
        <w:ind w:firstLine="737"/>
        <w:jc w:val="both"/>
        <w:rPr>
          <w:color w:val="000000"/>
        </w:rPr>
      </w:pPr>
      <w:r>
        <w:rPr>
          <w:rFonts w:eastAsia="SimSun;宋体"/>
          <w:color w:val="000000"/>
          <w:szCs w:val="24"/>
          <w:lang w:eastAsia="zh-CN" w:bidi="hi-IN"/>
        </w:rPr>
        <w:t>12.</w:t>
      </w:r>
      <w:r>
        <w:rPr>
          <w:rFonts w:eastAsia="SimSun;宋体"/>
          <w:bCs/>
          <w:color w:val="000000"/>
          <w:szCs w:val="24"/>
          <w:lang w:eastAsia="zh-CN" w:bidi="hi-IN"/>
        </w:rPr>
        <w:t>3. prie paraiškos pateikti visi prašomi dokumentai;</w:t>
      </w:r>
    </w:p>
    <w:p>
      <w:pPr>
        <w:pStyle w:val="Normal"/>
        <w:tabs>
          <w:tab w:val="clear" w:pos="1296"/>
          <w:tab w:val="left" w:pos="851" w:leader="none"/>
          <w:tab w:val="left" w:pos="855" w:leader="none"/>
        </w:tabs>
        <w:suppressAutoHyphens w:val="true"/>
        <w:ind w:firstLine="737"/>
        <w:jc w:val="both"/>
        <w:rPr>
          <w:color w:val="000000"/>
        </w:rPr>
      </w:pPr>
      <w:r>
        <w:rPr>
          <w:rFonts w:eastAsia="SimSun;宋体"/>
          <w:color w:val="000000"/>
          <w:szCs w:val="24"/>
          <w:lang w:eastAsia="zh-CN" w:bidi="hi-IN"/>
        </w:rPr>
        <w:t>12.4. Pareiškėjas yra atsiskaitęs už ankstesniais kalendoriniais metais iš Savivaldybės biudžeto gautas lėšas ir (arba) gautas lėšas panaudojo tikslingai.</w:t>
      </w:r>
    </w:p>
    <w:p>
      <w:pPr>
        <w:pStyle w:val="Normal"/>
        <w:suppressAutoHyphens w:val="true"/>
        <w:ind w:firstLine="794"/>
        <w:jc w:val="both"/>
        <w:rPr>
          <w:color w:val="000000"/>
        </w:rPr>
      </w:pPr>
      <w:r>
        <w:rPr>
          <w:rFonts w:eastAsia="Calibri"/>
          <w:color w:val="000000"/>
          <w:szCs w:val="24"/>
        </w:rPr>
        <w:t xml:space="preserve">13. Jeigu prie paraiškos nėra pridėti visi privalomi dokumentai, </w:t>
      </w:r>
      <w:r>
        <w:rPr>
          <w:rFonts w:eastAsia="SimSun;宋体"/>
          <w:color w:val="000000"/>
          <w:szCs w:val="24"/>
          <w:lang w:eastAsia="zh-CN" w:bidi="hi-IN"/>
        </w:rPr>
        <w:t>Administracijos</w:t>
      </w:r>
      <w:r>
        <w:rPr>
          <w:rFonts w:eastAsia="SimSun;宋体"/>
          <w:color w:val="000000"/>
          <w:szCs w:val="24"/>
          <w:lang w:eastAsia="lt-LT" w:bidi="hi-IN"/>
        </w:rPr>
        <w:t xml:space="preserve"> specialistas</w:t>
      </w:r>
      <w:r>
        <w:rPr>
          <w:rFonts w:eastAsia="Calibri"/>
          <w:color w:val="000000"/>
          <w:szCs w:val="24"/>
        </w:rPr>
        <w:t xml:space="preserve"> raštu paprašo Pareiškėjo juos pateikti per 5 darbo dienas.</w:t>
      </w:r>
    </w:p>
    <w:p>
      <w:pPr>
        <w:pStyle w:val="Normal"/>
        <w:tabs>
          <w:tab w:val="clear" w:pos="1296"/>
          <w:tab w:val="left" w:pos="851" w:leader="none"/>
        </w:tabs>
        <w:suppressAutoHyphens w:val="true"/>
        <w:ind w:firstLine="794"/>
        <w:jc w:val="both"/>
        <w:rPr>
          <w:color w:val="000000"/>
        </w:rPr>
      </w:pPr>
      <w:r>
        <w:rPr>
          <w:rFonts w:eastAsia="SimSun;宋体"/>
          <w:color w:val="000000"/>
          <w:szCs w:val="24"/>
          <w:lang w:eastAsia="zh-CN" w:bidi="hi-IN"/>
        </w:rPr>
        <w:t xml:space="preserve">14. Paraiškos atmetamos, projektai nevertinami ir lėšos jiems neskiriamos, jeigu: </w:t>
      </w:r>
    </w:p>
    <w:p>
      <w:pPr>
        <w:pStyle w:val="Normal"/>
        <w:tabs>
          <w:tab w:val="clear" w:pos="1296"/>
          <w:tab w:val="left" w:pos="851" w:leader="none"/>
        </w:tabs>
        <w:suppressAutoHyphens w:val="true"/>
        <w:ind w:firstLine="794"/>
        <w:jc w:val="both"/>
        <w:rPr>
          <w:color w:val="000000"/>
        </w:rPr>
      </w:pPr>
      <w:r>
        <w:rPr>
          <w:rFonts w:eastAsia="SimSun;宋体"/>
          <w:color w:val="000000"/>
          <w:szCs w:val="24"/>
          <w:lang w:eastAsia="zh-CN" w:bidi="hi-IN"/>
        </w:rPr>
        <w:t xml:space="preserve">14.1. paraiška pateikta pasibaigus galutiniam jos pateikimo terminui; </w:t>
      </w:r>
    </w:p>
    <w:p>
      <w:pPr>
        <w:pStyle w:val="Normal"/>
        <w:tabs>
          <w:tab w:val="clear" w:pos="1296"/>
          <w:tab w:val="left" w:pos="851" w:leader="none"/>
        </w:tabs>
        <w:suppressAutoHyphens w:val="true"/>
        <w:ind w:firstLine="794"/>
        <w:jc w:val="both"/>
        <w:rPr>
          <w:color w:val="000000"/>
        </w:rPr>
      </w:pPr>
      <w:r>
        <w:rPr>
          <w:rFonts w:eastAsia="SimSun;宋体"/>
          <w:color w:val="000000"/>
          <w:szCs w:val="24"/>
          <w:lang w:eastAsia="zh-CN" w:bidi="hi-IN"/>
        </w:rPr>
        <w:t>14.2. Pareiškėjas per 5 darbo dienas nepateikė visų reikalaujamų dokumentų ir (ar) nepateikė paaiškinimų bei patikslinimų;</w:t>
      </w:r>
    </w:p>
    <w:p>
      <w:pPr>
        <w:pStyle w:val="Normal"/>
        <w:tabs>
          <w:tab w:val="clear" w:pos="1296"/>
          <w:tab w:val="left" w:pos="851" w:leader="none"/>
          <w:tab w:val="left" w:pos="1134" w:leader="none"/>
        </w:tabs>
        <w:suppressAutoHyphens w:val="true"/>
        <w:ind w:firstLine="794"/>
        <w:jc w:val="both"/>
        <w:rPr>
          <w:color w:val="000000"/>
        </w:rPr>
      </w:pPr>
      <w:r>
        <w:rPr>
          <w:rFonts w:eastAsia="SimSun;宋体"/>
          <w:color w:val="000000"/>
          <w:szCs w:val="24"/>
          <w:lang w:eastAsia="zh-CN" w:bidi="hi-IN"/>
        </w:rPr>
        <w:t>14.3. Pareiškėjas neatsiskaitė už ankstesniais kalendoriniais metais iš Savivaldybės biudžeto gautas lėšas ir (arba) gautas lėšas panaudojo netikslingai.</w:t>
      </w:r>
    </w:p>
    <w:p>
      <w:pPr>
        <w:pStyle w:val="Normal"/>
        <w:tabs>
          <w:tab w:val="clear" w:pos="1296"/>
          <w:tab w:val="left" w:pos="851" w:leader="none"/>
          <w:tab w:val="left" w:pos="1134" w:leader="none"/>
        </w:tabs>
        <w:suppressAutoHyphens w:val="true"/>
        <w:ind w:firstLine="794"/>
        <w:jc w:val="both"/>
        <w:rPr>
          <w:rFonts w:eastAsia="SimSun;宋体"/>
          <w:color w:val="000000"/>
          <w:szCs w:val="24"/>
          <w:lang w:eastAsia="zh-CN" w:bidi="hi-IN"/>
        </w:rPr>
      </w:pPr>
      <w:r>
        <w:rPr>
          <w:rFonts w:eastAsia="SimSun;宋体"/>
          <w:color w:val="000000"/>
          <w:szCs w:val="24"/>
          <w:lang w:eastAsia="zh-CN" w:bidi="hi-IN"/>
        </w:rPr>
        <w:t>14.4. Paraiška neatitinka Aprašo 6 punkte nustatytų reikalavimų.</w:t>
      </w:r>
    </w:p>
    <w:p>
      <w:pPr>
        <w:pStyle w:val="Normal"/>
        <w:tabs>
          <w:tab w:val="clear" w:pos="1296"/>
          <w:tab w:val="left" w:pos="855" w:leader="none"/>
        </w:tabs>
        <w:suppressAutoHyphens w:val="true"/>
        <w:ind w:firstLine="794"/>
        <w:jc w:val="both"/>
        <w:rPr>
          <w:color w:val="000000"/>
        </w:rPr>
      </w:pPr>
      <w:r>
        <w:rPr>
          <w:rFonts w:eastAsia="SimSun;宋体"/>
          <w:color w:val="000000"/>
          <w:szCs w:val="24"/>
          <w:lang w:eastAsia="zh-CN" w:bidi="hi-IN"/>
        </w:rPr>
        <w:t xml:space="preserve">15. </w:t>
      </w:r>
      <w:r>
        <w:rPr>
          <w:rFonts w:eastAsia="Calibri"/>
          <w:color w:val="000000"/>
          <w:szCs w:val="24"/>
        </w:rPr>
        <w:t>Įvertinus paraiškų administracinę atitiktį, paraiškos perduodamos Komisijai, kurios darbo ir paraiškų vertinimo tvarka nustatyta Komisijos darbo reglamente.</w:t>
      </w:r>
    </w:p>
    <w:p>
      <w:pPr>
        <w:pStyle w:val="Normal"/>
        <w:tabs>
          <w:tab w:val="clear" w:pos="1296"/>
          <w:tab w:val="left" w:pos="855" w:leader="none"/>
        </w:tabs>
        <w:suppressAutoHyphens w:val="true"/>
        <w:jc w:val="both"/>
        <w:rPr>
          <w:rFonts w:eastAsia="Calibri"/>
          <w:color w:val="000000"/>
          <w:szCs w:val="24"/>
        </w:rPr>
      </w:pPr>
      <w:r>
        <w:rPr>
          <w:rFonts w:eastAsia="Calibri"/>
          <w:color w:val="000000"/>
          <w:szCs w:val="24"/>
        </w:rPr>
      </w:r>
    </w:p>
    <w:p>
      <w:pPr>
        <w:pStyle w:val="Normal"/>
        <w:tabs>
          <w:tab w:val="clear" w:pos="1296"/>
          <w:tab w:val="left" w:pos="851" w:leader="none"/>
        </w:tabs>
        <w:suppressAutoHyphens w:val="true"/>
        <w:jc w:val="center"/>
        <w:rPr>
          <w:rFonts w:eastAsia="SimSun;宋体"/>
          <w:b/>
          <w:color w:val="000000"/>
          <w:szCs w:val="24"/>
          <w:lang w:eastAsia="zh-CN" w:bidi="hi-IN"/>
        </w:rPr>
      </w:pPr>
      <w:r>
        <w:rPr>
          <w:rFonts w:eastAsia="SimSun;宋体"/>
          <w:b/>
          <w:color w:val="000000"/>
          <w:szCs w:val="24"/>
          <w:lang w:eastAsia="zh-CN" w:bidi="hi-IN"/>
        </w:rPr>
        <w:t>IV SKYRIUS</w:t>
      </w:r>
    </w:p>
    <w:p>
      <w:pPr>
        <w:pStyle w:val="Normal"/>
        <w:keepNext w:val="true"/>
        <w:numPr>
          <w:ilvl w:val="0"/>
          <w:numId w:val="0"/>
        </w:numPr>
        <w:suppressAutoHyphens w:val="true"/>
        <w:jc w:val="center"/>
        <w:outlineLvl w:val="2"/>
        <w:rPr>
          <w:b/>
          <w:color w:val="000000"/>
          <w:szCs w:val="24"/>
          <w:lang w:eastAsia="lt-LT"/>
        </w:rPr>
      </w:pPr>
      <w:r>
        <w:rPr>
          <w:b/>
          <w:color w:val="000000"/>
          <w:szCs w:val="24"/>
          <w:lang w:eastAsia="lt-LT"/>
        </w:rPr>
        <w:t>LĖŠŲ SKYRIMAS IR ATSISKAITYMAS</w:t>
      </w:r>
    </w:p>
    <w:p>
      <w:pPr>
        <w:pStyle w:val="Normal"/>
        <w:keepNext w:val="true"/>
        <w:numPr>
          <w:ilvl w:val="0"/>
          <w:numId w:val="0"/>
        </w:numPr>
        <w:suppressAutoHyphens w:val="true"/>
        <w:jc w:val="center"/>
        <w:outlineLvl w:val="2"/>
        <w:rPr>
          <w:color w:val="000000"/>
        </w:rPr>
      </w:pPr>
      <w:r>
        <w:rPr>
          <w:color w:val="000000"/>
        </w:rPr>
      </w:r>
    </w:p>
    <w:p>
      <w:pPr>
        <w:pStyle w:val="Normal"/>
        <w:tabs>
          <w:tab w:val="clear" w:pos="1296"/>
          <w:tab w:val="left" w:pos="851" w:leader="none"/>
        </w:tabs>
        <w:suppressAutoHyphens w:val="true"/>
        <w:ind w:firstLine="850"/>
        <w:jc w:val="both"/>
        <w:rPr>
          <w:color w:val="000000"/>
        </w:rPr>
      </w:pPr>
      <w:r>
        <w:rPr>
          <w:rFonts w:eastAsia="SimSun;宋体"/>
          <w:color w:val="000000"/>
          <w:szCs w:val="24"/>
          <w:lang w:eastAsia="zh-CN" w:bidi="hi-IN"/>
        </w:rPr>
        <w:t xml:space="preserve">16. Savivaldybės meras, gavęs Komisijos protokolą ir įvertinęs siūlymus, paveda juos vykdyti Administracijos direktoriui </w:t>
      </w:r>
      <w:r>
        <w:rPr>
          <w:rFonts w:eastAsia="SimSun"/>
          <w:color w:val="000000"/>
          <w:szCs w:val="24"/>
          <w:lang w:eastAsia="zh-CN" w:bidi="hi-IN"/>
        </w:rPr>
        <w:t>arba grąžina Komisijai pakartotiniam svarstymui.</w:t>
      </w:r>
    </w:p>
    <w:p>
      <w:pPr>
        <w:pStyle w:val="Normal"/>
        <w:tabs>
          <w:tab w:val="clear" w:pos="1296"/>
          <w:tab w:val="left" w:pos="851" w:leader="none"/>
        </w:tabs>
        <w:suppressAutoHyphens w:val="true"/>
        <w:ind w:firstLine="850"/>
        <w:jc w:val="both"/>
        <w:rPr>
          <w:rFonts w:eastAsia="SimSun"/>
          <w:color w:val="000000"/>
          <w:szCs w:val="24"/>
          <w:lang w:eastAsia="zh-CN" w:bidi="hi-IN"/>
        </w:rPr>
      </w:pPr>
      <w:r>
        <w:rPr>
          <w:rFonts w:eastAsia="SimSun"/>
          <w:color w:val="000000"/>
          <w:szCs w:val="24"/>
          <w:lang w:eastAsia="zh-CN" w:bidi="hi-IN"/>
        </w:rPr>
        <w:t xml:space="preserve">17. Komisija, gavusi Savivaldybės mero argumentuotą teikimą pakartotiniam paraiškų svarstymui, per 5 darbo dienas išanalizuoja Savivaldybės mero argumentus ir pakartotinai įvertina. Pakartotinio įvertinimo protokolas teikiamas Savivaldybės merui. </w:t>
      </w:r>
    </w:p>
    <w:p>
      <w:pPr>
        <w:pStyle w:val="Normal"/>
        <w:tabs>
          <w:tab w:val="clear" w:pos="1296"/>
          <w:tab w:val="left" w:pos="851" w:leader="none"/>
        </w:tabs>
        <w:suppressAutoHyphens w:val="true"/>
        <w:ind w:firstLine="851"/>
        <w:jc w:val="both"/>
        <w:rPr>
          <w:color w:val="000000"/>
        </w:rPr>
      </w:pPr>
      <w:r>
        <w:rPr>
          <w:rFonts w:eastAsia="SimSun;宋体"/>
          <w:color w:val="000000"/>
          <w:szCs w:val="24"/>
          <w:lang w:eastAsia="zh-CN" w:bidi="hi-IN"/>
        </w:rPr>
        <w:t>18. Administracijos specialistas per  5 darbo dienas informuoja Pareiškėją apie skirtas ar neskirtas lėšas. Pareiškėjas ne vėliau kaip per 10 darbo dienų nuo lėšų skyrimo dienos paštu arba elektroniniu paštu patvirtina, kad sutinka su siūloma skirti suma, ir pateikia Administracijos specialistui patikslintą sąmatą (Aprašo 2 priedas), kurioje išlaidų rūšys negali būti keičiamos.</w:t>
      </w:r>
    </w:p>
    <w:p>
      <w:pPr>
        <w:pStyle w:val="Normal"/>
        <w:tabs>
          <w:tab w:val="clear" w:pos="1296"/>
          <w:tab w:val="left" w:pos="851" w:leader="none"/>
        </w:tabs>
        <w:suppressAutoHyphens w:val="true"/>
        <w:ind w:firstLine="851"/>
        <w:jc w:val="both"/>
        <w:rPr>
          <w:color w:val="000000"/>
        </w:rPr>
      </w:pPr>
      <w:r>
        <w:rPr>
          <w:rFonts w:eastAsia="SimSun;宋体"/>
          <w:color w:val="000000"/>
          <w:szCs w:val="24"/>
          <w:lang w:eastAsia="zh-CN" w:bidi="hi-IN"/>
        </w:rPr>
        <w:t>19. Jei Pareiškėjas nesutinka su Komisijos priimtu sprendimu skirti dalį projektui įgyvendinti prašomų lėšų, tai projektas Savivaldybės administracijos direktoriaus įsakymu nefinansuojamas.</w:t>
      </w:r>
    </w:p>
    <w:p>
      <w:pPr>
        <w:pStyle w:val="Normal"/>
        <w:tabs>
          <w:tab w:val="clear" w:pos="1296"/>
          <w:tab w:val="left" w:pos="851" w:leader="none"/>
        </w:tabs>
        <w:suppressAutoHyphens w:val="true"/>
        <w:ind w:firstLine="851"/>
        <w:jc w:val="both"/>
        <w:rPr>
          <w:color w:val="000000"/>
        </w:rPr>
      </w:pPr>
      <w:r>
        <w:rPr>
          <w:rFonts w:eastAsia="SimSun;宋体"/>
          <w:color w:val="000000"/>
          <w:szCs w:val="24"/>
          <w:lang w:eastAsia="zh-CN" w:bidi="hi-IN"/>
        </w:rPr>
        <w:t xml:space="preserve">20. Pareiškėjas </w:t>
      </w:r>
      <w:r>
        <w:rPr>
          <w:rFonts w:eastAsia="SimSun;宋体"/>
          <w:bCs/>
          <w:color w:val="000000"/>
          <w:szCs w:val="24"/>
          <w:lang w:eastAsia="zh-CN" w:bidi="hi-IN"/>
        </w:rPr>
        <w:t xml:space="preserve">ne vėliau kaip per 30 kalendorinių dienų nuo Savivaldybės administracijos direktoriaus sprendimo dėl lėšų skyrimo su Pareiškėju sudaro </w:t>
      </w:r>
      <w:r>
        <w:rPr>
          <w:rFonts w:eastAsia="SimSun;宋体"/>
          <w:color w:val="000000"/>
          <w:szCs w:val="24"/>
          <w:lang w:eastAsia="zh-CN" w:bidi="hi-IN"/>
        </w:rPr>
        <w:t>Savivaldybės biudžeto lėšų naudojimo</w:t>
      </w:r>
      <w:r>
        <w:rPr>
          <w:rFonts w:eastAsia="SimSun;宋体"/>
          <w:bCs/>
          <w:color w:val="000000"/>
          <w:szCs w:val="24"/>
          <w:lang w:eastAsia="zh-CN" w:bidi="hi-IN"/>
        </w:rPr>
        <w:t xml:space="preserve"> sutartį su patikslinta sąmata.</w:t>
      </w:r>
    </w:p>
    <w:p>
      <w:pPr>
        <w:pStyle w:val="Normal"/>
        <w:tabs>
          <w:tab w:val="clear" w:pos="1296"/>
          <w:tab w:val="left" w:pos="855" w:leader="none"/>
        </w:tabs>
        <w:suppressAutoHyphens w:val="true"/>
        <w:ind w:firstLine="855"/>
        <w:jc w:val="both"/>
        <w:rPr>
          <w:color w:val="000000"/>
        </w:rPr>
      </w:pPr>
      <w:r>
        <w:rPr>
          <w:color w:val="000000"/>
          <w:szCs w:val="24"/>
          <w:lang w:eastAsia="lt-LT"/>
        </w:rPr>
        <w:t xml:space="preserve">21. Savivaldybės administracijos Buhalterijos skyrius, remdamasis direktoriaus įsakymu, Savivaldybės biudžeto lėšų naudojimo sutartimi ir patvirtinta sąmata, perveda į nurodytą sąskaitą Pareiškėjui skirtas lėšas. </w:t>
      </w:r>
    </w:p>
    <w:p>
      <w:pPr>
        <w:pStyle w:val="Normal"/>
        <w:tabs>
          <w:tab w:val="clear" w:pos="1296"/>
          <w:tab w:val="left" w:pos="855" w:leader="none"/>
        </w:tabs>
        <w:suppressAutoHyphens w:val="true"/>
        <w:ind w:firstLine="855"/>
        <w:jc w:val="both"/>
        <w:rPr/>
      </w:pPr>
      <w:r>
        <w:rPr>
          <w:color w:val="000000"/>
          <w:szCs w:val="24"/>
          <w:lang w:eastAsia="lt-LT"/>
        </w:rPr>
        <w:t xml:space="preserve">22. Pareiškėjas </w:t>
      </w:r>
      <w:r>
        <w:rPr>
          <w:rFonts w:eastAsia="SimSun;宋体"/>
          <w:color w:val="000000"/>
          <w:szCs w:val="24"/>
          <w:highlight w:val="white"/>
          <w:lang w:eastAsia="lt-LT" w:bidi="hi-IN"/>
        </w:rPr>
        <w:t>Savivaldybės biudžeto lėšas naudoja pagal išlaidų sąmatoje pateiktą lėšų paskirstymą ketvirčiais ir už panaudotas lėšas atsiskaito vadovaudamasis galiojančiomis Prienų rajono savivaldybės veiklos programų finansavimo ir atsiskaitymo taisyklėmis.</w:t>
      </w:r>
    </w:p>
    <w:p>
      <w:pPr>
        <w:pStyle w:val="Normal"/>
        <w:tabs>
          <w:tab w:val="clear" w:pos="1296"/>
          <w:tab w:val="left" w:pos="851" w:leader="none"/>
        </w:tabs>
        <w:suppressAutoHyphens w:val="true"/>
        <w:ind w:firstLine="851"/>
        <w:jc w:val="both"/>
        <w:rPr>
          <w:color w:val="000000"/>
        </w:rPr>
      </w:pPr>
      <w:r>
        <w:rPr>
          <w:color w:val="000000"/>
          <w:szCs w:val="24"/>
          <w:lang w:eastAsia="lt-LT"/>
        </w:rPr>
        <w:t>23. Pareiškėjas turi viešinti vykdomą projektą, kad projekto tikslinė (-ės) grupė (-ės) ir visuomenė daugiau sužinotų apie projekto tikslus, uždavinius, eigą, jo rezultatus. Viešinant projektą naudojamas Savivaldybės logotipas.</w:t>
      </w:r>
    </w:p>
    <w:p>
      <w:pPr>
        <w:pStyle w:val="Normal"/>
        <w:tabs>
          <w:tab w:val="clear" w:pos="1296"/>
          <w:tab w:val="left" w:pos="855" w:leader="none"/>
        </w:tabs>
        <w:suppressAutoHyphens w:val="true"/>
        <w:ind w:firstLine="855"/>
        <w:jc w:val="both"/>
        <w:rPr>
          <w:color w:val="000000"/>
          <w:szCs w:val="24"/>
        </w:rPr>
      </w:pPr>
      <w:r>
        <w:rPr>
          <w:color w:val="000000"/>
          <w:szCs w:val="24"/>
        </w:rPr>
      </w:r>
    </w:p>
    <w:p>
      <w:pPr>
        <w:pStyle w:val="Normal"/>
        <w:keepNext w:val="true"/>
        <w:numPr>
          <w:ilvl w:val="0"/>
          <w:numId w:val="0"/>
        </w:numPr>
        <w:suppressAutoHyphens w:val="true"/>
        <w:jc w:val="center"/>
        <w:outlineLvl w:val="2"/>
        <w:rPr>
          <w:color w:val="000000"/>
        </w:rPr>
      </w:pPr>
      <w:r>
        <w:rPr>
          <w:b/>
          <w:color w:val="000000"/>
          <w:szCs w:val="24"/>
          <w:lang w:eastAsia="lt-LT"/>
        </w:rPr>
        <w:t>V SKYRIUS</w:t>
      </w:r>
    </w:p>
    <w:p>
      <w:pPr>
        <w:pStyle w:val="Normal"/>
        <w:suppressAutoHyphens w:val="true"/>
        <w:jc w:val="center"/>
        <w:rPr>
          <w:b/>
          <w:color w:val="000000"/>
          <w:szCs w:val="24"/>
          <w:lang w:eastAsia="lt-LT"/>
        </w:rPr>
      </w:pPr>
      <w:r>
        <w:rPr>
          <w:b/>
          <w:color w:val="000000"/>
          <w:szCs w:val="24"/>
          <w:lang w:eastAsia="lt-LT"/>
        </w:rPr>
        <w:t>BAIGIAMOSIOS NUOSTATOS</w:t>
      </w:r>
    </w:p>
    <w:p>
      <w:pPr>
        <w:pStyle w:val="Normal"/>
        <w:tabs>
          <w:tab w:val="clear" w:pos="1296"/>
          <w:tab w:val="left" w:pos="851" w:leader="none"/>
        </w:tabs>
        <w:suppressAutoHyphens w:val="true"/>
        <w:ind w:firstLine="709"/>
        <w:jc w:val="both"/>
        <w:rPr>
          <w:rFonts w:eastAsia="Calibri"/>
          <w:b/>
          <w:color w:val="000000"/>
          <w:szCs w:val="24"/>
        </w:rPr>
      </w:pPr>
      <w:r>
        <w:rPr>
          <w:rFonts w:eastAsia="Calibri"/>
          <w:b/>
          <w:color w:val="000000"/>
          <w:szCs w:val="24"/>
        </w:rPr>
      </w:r>
    </w:p>
    <w:p>
      <w:pPr>
        <w:pStyle w:val="Normal"/>
        <w:tabs>
          <w:tab w:val="clear" w:pos="1296"/>
          <w:tab w:val="left" w:pos="851" w:leader="none"/>
        </w:tabs>
        <w:suppressAutoHyphens w:val="true"/>
        <w:ind w:firstLine="850"/>
        <w:jc w:val="both"/>
        <w:rPr/>
      </w:pPr>
      <w:r>
        <w:rPr>
          <w:color w:val="000000"/>
          <w:szCs w:val="24"/>
          <w:lang w:eastAsia="lt-LT"/>
        </w:rPr>
        <w:t xml:space="preserve">24. Pareiškėjas, teikdamas paraišką, sutinka, kad su paraiška susijusi informacija (Pareiškėjo pavadinimas, projekto pavadinimas ir trumpas veiklų aprašymas, projekto įgyvendinimo vieta, laikas, skirta) būtų skelbiama </w:t>
      </w:r>
      <w:r>
        <w:rPr>
          <w:color w:val="000000"/>
          <w:szCs w:val="24"/>
        </w:rPr>
        <w:t xml:space="preserve">Prienų rajono savivaldybės interneto svetainėje </w:t>
      </w:r>
      <w:r>
        <w:rPr>
          <w:rFonts w:eastAsia="SimSun;宋体"/>
          <w:color w:val="000000"/>
          <w:szCs w:val="24"/>
          <w:lang w:eastAsia="zh-CN" w:bidi="hi-IN"/>
        </w:rPr>
        <w:t xml:space="preserve">www.prienai.lt. </w:t>
      </w:r>
    </w:p>
    <w:p>
      <w:pPr>
        <w:pStyle w:val="Normal"/>
        <w:tabs>
          <w:tab w:val="clear" w:pos="1296"/>
          <w:tab w:val="left" w:pos="855" w:leader="none"/>
        </w:tabs>
        <w:suppressAutoHyphens w:val="true"/>
        <w:ind w:firstLine="850"/>
        <w:jc w:val="both"/>
        <w:rPr>
          <w:color w:val="000000"/>
        </w:rPr>
      </w:pPr>
      <w:r>
        <w:rPr>
          <w:color w:val="000000"/>
          <w:szCs w:val="24"/>
          <w:lang w:eastAsia="lt-LT"/>
        </w:rPr>
        <w:t xml:space="preserve">25. Pareiškėjas </w:t>
      </w:r>
      <w:r>
        <w:rPr>
          <w:color w:val="000000"/>
          <w:szCs w:val="24"/>
        </w:rPr>
        <w:t xml:space="preserve">atsako už projektui vykdyti gautų lėšų naudojimo teisėtumą, ekonomiškumą, efektyvumą ir rezultatyvumą. Lėšų </w:t>
      </w:r>
      <w:r>
        <w:rPr>
          <w:color w:val="000000"/>
          <w:szCs w:val="24"/>
          <w:lang w:eastAsia="lt-LT"/>
        </w:rPr>
        <w:t>apskaitą tvarko vadovaudamasis Lietuvos Respublikos teisės aktais ir Savivaldybės biudžeto lėšų naudojimo sutartyje nustatyta tvarka.</w:t>
      </w:r>
    </w:p>
    <w:p>
      <w:pPr>
        <w:pStyle w:val="Normal"/>
        <w:tabs>
          <w:tab w:val="clear" w:pos="1296"/>
          <w:tab w:val="left" w:pos="855" w:leader="none"/>
        </w:tabs>
        <w:suppressAutoHyphens w:val="true"/>
        <w:ind w:firstLine="850"/>
        <w:jc w:val="both"/>
        <w:rPr>
          <w:color w:val="000000"/>
          <w:szCs w:val="24"/>
        </w:rPr>
      </w:pPr>
      <w:r>
        <w:rPr>
          <w:color w:val="000000"/>
          <w:szCs w:val="24"/>
        </w:rPr>
        <w:t>26. Ginčai sprendžiami abipusiu susitarimu, o nesusitarus – teisės aktų nustatyta tvarka.</w:t>
      </w:r>
    </w:p>
    <w:p>
      <w:pPr>
        <w:pStyle w:val="Normal"/>
        <w:tabs>
          <w:tab w:val="clear" w:pos="1296"/>
          <w:tab w:val="left" w:pos="855" w:leader="none"/>
        </w:tabs>
        <w:suppressAutoHyphens w:val="true"/>
        <w:ind w:firstLine="850"/>
        <w:jc w:val="both"/>
        <w:rPr>
          <w:color w:val="000000"/>
          <w:szCs w:val="24"/>
        </w:rPr>
      </w:pPr>
      <w:r>
        <w:rPr>
          <w:color w:val="000000"/>
          <w:szCs w:val="24"/>
        </w:rPr>
        <w:t>27. Šalys atleidžiamos nuo įsipareigojimų vykdymo ir nuostolių atlyginimo, jei jos tų įsipareigojimų negali vykdyti dėl priežasčių, nepriklausančių nuo jų valios.</w:t>
      </w:r>
    </w:p>
    <w:p>
      <w:pPr>
        <w:pStyle w:val="Normal"/>
        <w:tabs>
          <w:tab w:val="clear" w:pos="1296"/>
          <w:tab w:val="left" w:pos="855" w:leader="none"/>
        </w:tabs>
        <w:suppressAutoHyphens w:val="true"/>
        <w:ind w:firstLine="850"/>
        <w:jc w:val="both"/>
        <w:rPr>
          <w:color w:val="000000"/>
        </w:rPr>
      </w:pPr>
      <w:r>
        <w:rPr>
          <w:color w:val="000000"/>
          <w:szCs w:val="24"/>
        </w:rPr>
        <w:t>28. Projekto vykdytojas, kuris yra perkančioji organizacija, vykdydamas pirkimą, privalo vadovautis Viešųjų pirkimų įstatymu.</w:t>
      </w:r>
    </w:p>
    <w:p>
      <w:pPr>
        <w:pStyle w:val="Normal"/>
        <w:tabs>
          <w:tab w:val="clear" w:pos="1296"/>
          <w:tab w:val="left" w:pos="855" w:leader="none"/>
        </w:tabs>
        <w:suppressAutoHyphens w:val="true"/>
        <w:ind w:firstLine="850"/>
        <w:jc w:val="both"/>
        <w:rPr>
          <w:color w:val="000000"/>
        </w:rPr>
      </w:pPr>
      <w:r>
        <w:rPr>
          <w:color w:val="000000"/>
          <w:szCs w:val="24"/>
        </w:rPr>
        <w:t>29. Savivaldybės kontrolės ir audito tarnyba, Savivaldybės administracijos Centralizuotas vidaus audito skyrius turi teisę tikrinti biudžeto lėšų naudojimo tikslingumą ir efektyvumą.</w:t>
      </w:r>
    </w:p>
    <w:p>
      <w:pPr>
        <w:pStyle w:val="Normal"/>
        <w:widowControl w:val="false"/>
        <w:tabs>
          <w:tab w:val="clear" w:pos="1296"/>
          <w:tab w:val="left" w:pos="855" w:leader="none"/>
        </w:tabs>
        <w:suppressAutoHyphens w:val="true"/>
        <w:ind w:firstLine="850"/>
        <w:jc w:val="both"/>
        <w:rPr>
          <w:color w:val="000000"/>
        </w:rPr>
      </w:pPr>
      <w:r>
        <w:rPr>
          <w:color w:val="000000"/>
          <w:szCs w:val="24"/>
          <w:highlight w:val="white"/>
          <w:lang w:eastAsia="lt-LT"/>
        </w:rPr>
        <w:t>30. Aprašas tvirtinamas ir keičiamas Savivaldybės mero potvarkiu.</w:t>
      </w:r>
    </w:p>
    <w:p>
      <w:pPr>
        <w:pStyle w:val="Normal"/>
        <w:widowControl w:val="false"/>
        <w:tabs>
          <w:tab w:val="clear" w:pos="1296"/>
          <w:tab w:val="left" w:pos="709" w:leader="none"/>
        </w:tabs>
        <w:suppressAutoHyphens w:val="true"/>
        <w:spacing w:lineRule="auto" w:line="276"/>
        <w:jc w:val="center"/>
        <w:rPr>
          <w:szCs w:val="24"/>
          <w:highlight w:val="white"/>
          <w:lang w:eastAsia="lt-LT"/>
        </w:rPr>
      </w:pPr>
      <w:r>
        <w:rPr>
          <w:szCs w:val="24"/>
          <w:highlight w:val="white"/>
          <w:lang w:eastAsia="lt-LT"/>
        </w:rPr>
        <w:t>______________________________</w:t>
      </w:r>
    </w:p>
    <w:p>
      <w:pPr>
        <w:pStyle w:val="Normal"/>
        <w:rPr>
          <w:rFonts w:ascii="Times New Roman" w:hAnsi="Times New Roman"/>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701" w:right="567" w:gutter="0" w:header="284" w:top="709" w:footer="1134" w:bottom="1191"/>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suppressAutoHyphens w:val="true"/>
      <w:jc w:val="center"/>
      <w:rPr/>
    </w:pPr>
    <w:r>
      <w:rPr/>
    </w:r>
  </w:p>
  <w:p>
    <w:pPr>
      <w:pStyle w:val="Normal"/>
      <w:tabs>
        <w:tab w:val="clear" w:pos="1296"/>
        <w:tab w:val="center" w:pos="4819" w:leader="none"/>
        <w:tab w:val="right" w:pos="9638" w:leader="none"/>
      </w:tabs>
      <w:suppressAutoHyphens w:val="tru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suppressAutoHyphens w:val="tru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suppressAutoHyphens w:val="true"/>
      <w:jc w:val="center"/>
      <w:rPr/>
    </w:pPr>
    <w:r>
      <w:rPr/>
      <w:fldChar w:fldCharType="begin"/>
    </w:r>
    <w:r>
      <w:rPr/>
      <w:instrText xml:space="preserve"> PAGE </w:instrText>
    </w:r>
    <w:r>
      <w:rPr/>
      <w:fldChar w:fldCharType="separate"/>
    </w:r>
    <w:r>
      <w:rPr/>
      <w:t>3</w:t>
    </w:r>
    <w:r>
      <w:rPr/>
      <w:fldChar w:fldCharType="end"/>
    </w:r>
  </w:p>
  <w:p>
    <w:pPr>
      <w:pStyle w:val="Normal"/>
      <w:tabs>
        <w:tab w:val="clear" w:pos="1296"/>
        <w:tab w:val="center" w:pos="4819" w:leader="none"/>
        <w:tab w:val="right" w:pos="9638" w:leader="none"/>
      </w:tabs>
      <w:suppressAutoHyphens w:val="tru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819" w:leader="none"/>
        <w:tab w:val="right" w:pos="9638" w:leader="none"/>
      </w:tabs>
      <w:suppressAutoHyphens w:val="true"/>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Pr>
      <w:color w:val="808080"/>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egalAct.html?documentId=3234a662f37111ef8bf78f8ccc0e0474" TargetMode="External"/><Relationship Id="rId3" Type="http://schemas.openxmlformats.org/officeDocument/2006/relationships/hyperlink" Target="https://www.e-tar.lt/portal/legalAct.html?documentId=3234a662f37111ef8bf78f8ccc0e0474" TargetMode="External"/><Relationship Id="rId4" Type="http://schemas.openxmlformats.org/officeDocument/2006/relationships/hyperlink" Target="https://www.e-tar.lt/portal/legalAct.html?documentId=3234a662f37111ef8bf78f8ccc0e0474"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LibreOffice/25.2.7.2$Windows_X86_64 LibreOffice_project/5cbfd1ab6520636bb5f7b99185aa69bd7456825d</Application>
  <AppVersion>15.0000</AppVersion>
  <Pages>3</Pages>
  <Words>1032</Words>
  <Characters>7615</Characters>
  <CharactersWithSpaces>8597</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2025-02-26T09:07:00Z</dcterms:created>
  <dc:creator>IrenaU</dc:creator>
  <dc:description/>
  <dc:language>lt-LT</dc:language>
  <cp:lastModifiedBy/>
  <cp:lastPrinted>2024-02-19T12:45:00Z</cp:lastPrinted>
  <dcterms:modified xsi:type="dcterms:W3CDTF">2026-02-23T11:51:46Z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